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bookmarkStart w:id="0" w:name="_GoBack"/>
      <w:bookmarkEnd w:id="0"/>
    </w:p>
    <w:p w:rsidR="00721AC7" w:rsidRDefault="00721AC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721AC7">
        <w:trPr>
          <w:divId w:val="26222282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1.  Základné údaje</w:t>
            </w:r>
          </w:p>
        </w:tc>
      </w:tr>
      <w:tr w:rsidR="00721AC7">
        <w:trPr>
          <w:divId w:val="26222282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Názov materiálu</w:t>
            </w:r>
          </w:p>
        </w:tc>
      </w:tr>
      <w:tr w:rsidR="00721AC7">
        <w:trPr>
          <w:divId w:val="26222282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21AC7" w:rsidRDefault="004409A0" w:rsidP="004409A0">
            <w:pPr>
              <w:jc w:val="both"/>
              <w:rPr>
                <w:rFonts w:ascii="Times" w:hAnsi="Times" w:cs="Times"/>
                <w:sz w:val="20"/>
                <w:szCs w:val="20"/>
              </w:rPr>
            </w:pPr>
            <w:r w:rsidRPr="004409A0">
              <w:rPr>
                <w:rFonts w:ascii="Times" w:hAnsi="Times" w:cs="Times"/>
                <w:sz w:val="20"/>
                <w:szCs w:val="20"/>
              </w:rPr>
              <w:t>Návrh zákona, ktorým sa mení a dopĺňa zákon č. 207/2009 Z. z. o podmienkach vývozu a dovozu predmetu kultúrnej hodnoty a o doplnení zákona č. 652/2004 Z. z. o orgánoch štátnej správy v colníctve a o zmene a doplnení niektorých zákonov v znení neskorších predpisov v znení neskorších predpisov a ktorým sa dopĺňa zákon č. 199/2004 Z. z. Colný zákon a o zmene a doplnení niektorých zákonov v znení neskorších predpisov</w:t>
            </w:r>
          </w:p>
        </w:tc>
      </w:tr>
      <w:tr w:rsidR="00721AC7">
        <w:trPr>
          <w:divId w:val="26222282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Predkladateľ (a spolupredkladateľ)</w:t>
            </w:r>
          </w:p>
        </w:tc>
      </w:tr>
      <w:tr w:rsidR="00721AC7">
        <w:trPr>
          <w:divId w:val="26222282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21AC7" w:rsidRDefault="00721AC7">
            <w:pPr>
              <w:rPr>
                <w:rFonts w:ascii="Times" w:hAnsi="Times" w:cs="Times"/>
                <w:sz w:val="20"/>
                <w:szCs w:val="20"/>
              </w:rPr>
            </w:pPr>
            <w:r>
              <w:rPr>
                <w:rFonts w:ascii="Times" w:hAnsi="Times" w:cs="Times"/>
                <w:sz w:val="20"/>
                <w:szCs w:val="20"/>
              </w:rPr>
              <w:t>Ministerstvo kultúry Slovenskej republiky</w:t>
            </w:r>
          </w:p>
        </w:tc>
      </w:tr>
      <w:tr w:rsidR="00721AC7">
        <w:trPr>
          <w:divId w:val="262222822"/>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21AC7" w:rsidRDefault="00721AC7">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721AC7">
        <w:trPr>
          <w:divId w:val="26222282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721AC7">
        <w:trPr>
          <w:divId w:val="262222822"/>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721AC7">
        <w:trPr>
          <w:divId w:val="262222822"/>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721AC7" w:rsidRDefault="00721AC7">
            <w:pPr>
              <w:rPr>
                <w:rFonts w:ascii="Times" w:hAnsi="Times" w:cs="Times"/>
                <w:sz w:val="20"/>
                <w:szCs w:val="20"/>
              </w:rPr>
            </w:pPr>
          </w:p>
        </w:tc>
      </w:tr>
      <w:tr w:rsidR="00721AC7">
        <w:trPr>
          <w:divId w:val="26222282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721AC7" w:rsidRDefault="004409A0">
            <w:pPr>
              <w:rPr>
                <w:rFonts w:ascii="Times" w:hAnsi="Times" w:cs="Times"/>
                <w:sz w:val="20"/>
                <w:szCs w:val="20"/>
              </w:rPr>
            </w:pPr>
            <w:r w:rsidRPr="004409A0">
              <w:rPr>
                <w:rFonts w:ascii="Times" w:hAnsi="Times" w:cs="Times"/>
                <w:sz w:val="20"/>
                <w:szCs w:val="20"/>
              </w:rPr>
              <w:t>december 2020 – január 2021</w:t>
            </w:r>
          </w:p>
        </w:tc>
      </w:tr>
      <w:tr w:rsidR="00721AC7">
        <w:trPr>
          <w:divId w:val="26222282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721AC7" w:rsidRDefault="004409A0">
            <w:pPr>
              <w:rPr>
                <w:rFonts w:ascii="Times" w:hAnsi="Times" w:cs="Times"/>
                <w:sz w:val="20"/>
                <w:szCs w:val="20"/>
              </w:rPr>
            </w:pPr>
            <w:r w:rsidRPr="004409A0">
              <w:rPr>
                <w:rFonts w:ascii="Times" w:hAnsi="Times" w:cs="Times"/>
                <w:sz w:val="20"/>
                <w:szCs w:val="20"/>
              </w:rPr>
              <w:t>15. január 2021</w:t>
            </w:r>
          </w:p>
        </w:tc>
      </w:tr>
      <w:tr w:rsidR="00721AC7">
        <w:trPr>
          <w:divId w:val="262222822"/>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721AC7" w:rsidRPr="004409A0" w:rsidRDefault="004409A0">
            <w:pPr>
              <w:rPr>
                <w:rFonts w:ascii="Times" w:hAnsi="Times" w:cs="Times"/>
                <w:bCs/>
                <w:sz w:val="20"/>
                <w:szCs w:val="20"/>
              </w:rPr>
            </w:pPr>
            <w:r w:rsidRPr="004409A0">
              <w:rPr>
                <w:rFonts w:ascii="Times" w:hAnsi="Times" w:cs="Times"/>
                <w:bCs/>
                <w:sz w:val="20"/>
                <w:szCs w:val="20"/>
              </w:rPr>
              <w:t>február 2021</w:t>
            </w:r>
          </w:p>
        </w:tc>
      </w:tr>
    </w:tbl>
    <w:p w:rsidR="00325440" w:rsidRDefault="00325440" w:rsidP="00C579E9">
      <w:pPr>
        <w:pStyle w:val="Normlnywebov"/>
        <w:spacing w:before="0" w:beforeAutospacing="0" w:after="0" w:afterAutospacing="0"/>
        <w:rPr>
          <w:bCs/>
          <w:sz w:val="22"/>
          <w:szCs w:val="22"/>
        </w:rPr>
      </w:pPr>
    </w:p>
    <w:p w:rsidR="00721AC7" w:rsidRDefault="00721AC7"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721AC7">
        <w:trPr>
          <w:divId w:val="13854506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2.  Definícia problému</w:t>
            </w:r>
          </w:p>
        </w:tc>
      </w:tr>
      <w:tr w:rsidR="00721AC7">
        <w:trPr>
          <w:divId w:val="13854506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09A0" w:rsidRPr="004409A0" w:rsidRDefault="004409A0" w:rsidP="004409A0">
            <w:pPr>
              <w:jc w:val="both"/>
              <w:rPr>
                <w:rFonts w:ascii="Times" w:hAnsi="Times" w:cs="Times"/>
                <w:sz w:val="20"/>
                <w:szCs w:val="20"/>
              </w:rPr>
            </w:pPr>
            <w:r w:rsidRPr="004409A0">
              <w:rPr>
                <w:rFonts w:ascii="Times" w:hAnsi="Times" w:cs="Times"/>
                <w:sz w:val="20"/>
                <w:szCs w:val="20"/>
              </w:rPr>
              <w:t>Podľa správy Európskej komisie (2019) je nezákonný obchod s predmetmi kultúrnej hodnoty nielen ohrozením kultúrneho dedičstva, ale výnosy z neho sa používajú aj na financovanie organizovaného zločinu, korupcie a ozbrojeného násilia. Hoci medzinárodní hráči (UNESCO, Svetová colná organizácia, Európska rada, Európska únia) prijali množstvo nástrojov na zamedzenie tejto nezákonnej činnosti, nedostatok spoľahlivých dát cezhraničného pohybu predmetov kultúrnej hodnoty znižuje efektivitu týchto opatrení. Štúdia tiež konštatuje presun nezákonného obchodu do online priestoru, najmä pri drobných predmetoch ako mince.</w:t>
            </w:r>
          </w:p>
          <w:p w:rsidR="004409A0" w:rsidRPr="004409A0" w:rsidRDefault="004409A0" w:rsidP="004409A0">
            <w:pPr>
              <w:jc w:val="both"/>
              <w:rPr>
                <w:rFonts w:ascii="Times" w:hAnsi="Times" w:cs="Times"/>
                <w:sz w:val="20"/>
                <w:szCs w:val="20"/>
              </w:rPr>
            </w:pPr>
          </w:p>
          <w:p w:rsidR="004409A0" w:rsidRPr="004409A0" w:rsidRDefault="004409A0" w:rsidP="004409A0">
            <w:pPr>
              <w:jc w:val="both"/>
              <w:rPr>
                <w:rFonts w:ascii="Times" w:hAnsi="Times" w:cs="Times"/>
                <w:sz w:val="20"/>
                <w:szCs w:val="20"/>
              </w:rPr>
            </w:pPr>
            <w:r w:rsidRPr="004409A0">
              <w:rPr>
                <w:rFonts w:ascii="Times" w:hAnsi="Times" w:cs="Times"/>
                <w:sz w:val="20"/>
                <w:szCs w:val="20"/>
              </w:rPr>
              <w:t>Z obmedzených dostupných zdrojov správa EK odhaduje, že európski predajcovia na území EÚ ročne predajú starožitnosti rôznej proveniencie v hodnote medzi 64 a 318 mil. eur a stredoveké mince v objeme 56 mil. eur. Zo zdokladovaných transakcií však nie je možné identifikovať, koľko predmetov bolo predaných nezákonne, napr. ide o falzifikáty, ukradnuté alebo stratené predmety. Nemecká štúdia (2019) na vzorke 6,000 predmetov kultúrnej hodnoty obchodovaných v Nemecku na základe expertných odhadov identifikovala 33 % ako falzifikáty. Z predmetov pochádzajúcich z konfliktných zón (Sýria, Irak) menej ako 10  % bolo možné identifikovať ako legálne predávaných, ostatné boli v tzv. "šedej zóne", kedy zákonnosť nie je z dokumentácie možné verifikovať.</w:t>
            </w:r>
          </w:p>
          <w:p w:rsidR="004409A0" w:rsidRPr="004409A0" w:rsidRDefault="004409A0" w:rsidP="004409A0">
            <w:pPr>
              <w:jc w:val="both"/>
              <w:rPr>
                <w:rFonts w:ascii="Times" w:hAnsi="Times" w:cs="Times"/>
                <w:sz w:val="20"/>
                <w:szCs w:val="20"/>
              </w:rPr>
            </w:pPr>
          </w:p>
          <w:p w:rsidR="004409A0" w:rsidRPr="004409A0" w:rsidRDefault="004409A0" w:rsidP="004409A0">
            <w:pPr>
              <w:jc w:val="both"/>
              <w:rPr>
                <w:rFonts w:ascii="Times" w:hAnsi="Times" w:cs="Times"/>
                <w:sz w:val="20"/>
                <w:szCs w:val="20"/>
              </w:rPr>
            </w:pPr>
            <w:r w:rsidRPr="004409A0">
              <w:rPr>
                <w:rFonts w:ascii="Times" w:hAnsi="Times" w:cs="Times"/>
                <w:sz w:val="20"/>
                <w:szCs w:val="20"/>
              </w:rPr>
              <w:t>Návrh nového zákona je primárne predkladaný na účely adaptácie národnej právnej úpravy na Nariadenie  Európskeho parlamentu a Rady (EÚ) č. 2019/880 zo 17. apríla 2019 o vstupe a dovoze tovaru kultúrnej hodnoty (ďalej len „Nariadenie“). Cieľom nariadenia je zvýšiť efektívnosť ochrany tovarov kultúrnej hodnoty zosúladením legislatívy na národnej úrovni.</w:t>
            </w:r>
          </w:p>
          <w:p w:rsidR="004409A0" w:rsidRPr="004409A0" w:rsidRDefault="004409A0" w:rsidP="004409A0">
            <w:pPr>
              <w:jc w:val="both"/>
              <w:rPr>
                <w:rFonts w:ascii="Times" w:hAnsi="Times" w:cs="Times"/>
                <w:sz w:val="20"/>
                <w:szCs w:val="20"/>
              </w:rPr>
            </w:pPr>
          </w:p>
          <w:p w:rsidR="00721AC7" w:rsidRDefault="004409A0" w:rsidP="004409A0">
            <w:pPr>
              <w:jc w:val="both"/>
              <w:rPr>
                <w:rFonts w:ascii="Times" w:hAnsi="Times" w:cs="Times"/>
                <w:sz w:val="20"/>
                <w:szCs w:val="20"/>
              </w:rPr>
            </w:pPr>
            <w:r w:rsidRPr="004409A0">
              <w:rPr>
                <w:rFonts w:ascii="Times" w:hAnsi="Times" w:cs="Times"/>
                <w:sz w:val="20"/>
                <w:szCs w:val="20"/>
              </w:rPr>
              <w:t xml:space="preserve">Navrhovaný zákon predstavuje zatiaľ len čiastočnú implementáciu Nariadenia - prvú fázu adaptácie vnútroštátneho predpisu vo vzťahu na čl. 3 ods. 1 a čiastočne čl. 11 Nariadenia, kde je stanovená implementačná lehota do 28. decembra 2020. Na základe čl. 3 ods. 1 Nariadenia je zakázaný vstup kultúrnych hodnôt uvedených v časti A prílohy je na colné územie Európskej únie, ktoré opustili územie krajiny, v ktorej boli vytvorené alebo objavené, v rozpore s jej právnymi predpismi. Členské štáty sú povinné prijať opatrenia, ktoré sa uplatnia, ak bude uvedený zákaz porušený a dôjde k pokusu o nelegálny vstup kultúrneho statku. Preto návrh zákona stanovuje postup kompetentných orgánov Slovenskej republiky (Colný úrad a Ministerstvo kultúry), ktorý sa uplatní, ak by táto situácia nastala, a to od zadržania (potenciálneho) kultúrneho statku colným úradom, cez </w:t>
            </w:r>
            <w:r w:rsidRPr="004409A0">
              <w:rPr>
                <w:rFonts w:ascii="Times" w:hAnsi="Times" w:cs="Times"/>
                <w:sz w:val="20"/>
                <w:szCs w:val="20"/>
              </w:rPr>
              <w:lastRenderedPageBreak/>
              <w:t>bezpečné uchovanie zadržaného predmetu príslušnou odbornou organizáciou (podľa typu predmetu napr. Národným múzeom, Slovenskou národnou knižnicou, Pamiatkovým úradom Slovenskej republiky) a rozhodnutie Ministerstva kultúry o zabavení predmetu kultúrnej hodnoty, až po jeho vrátenie do krajiny jeho pôvodu.</w:t>
            </w:r>
          </w:p>
        </w:tc>
      </w:tr>
      <w:tr w:rsidR="00721AC7">
        <w:trPr>
          <w:divId w:val="13854506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lastRenderedPageBreak/>
              <w:t>  3.  Ciele a výsledný stav</w:t>
            </w:r>
          </w:p>
        </w:tc>
      </w:tr>
      <w:tr w:rsidR="00721AC7">
        <w:trPr>
          <w:divId w:val="13854506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09A0" w:rsidRPr="004409A0" w:rsidRDefault="004409A0" w:rsidP="004409A0">
            <w:pPr>
              <w:jc w:val="both"/>
              <w:rPr>
                <w:rFonts w:ascii="Times" w:hAnsi="Times" w:cs="Times"/>
                <w:sz w:val="20"/>
                <w:szCs w:val="20"/>
              </w:rPr>
            </w:pPr>
            <w:r w:rsidRPr="004409A0">
              <w:rPr>
                <w:rFonts w:ascii="Times" w:hAnsi="Times" w:cs="Times"/>
                <w:sz w:val="20"/>
                <w:szCs w:val="20"/>
              </w:rPr>
              <w:t>Cieľom je zabezpečenie implementácie nariadenia Európskeho parlamentu a Rady (EÚ) 2019/880 zo 17. apríla 2019 o vstupe a dovoze tovaru kultúrnej hodnoty a zapracovanie niektorých poznatkov vyplývajúcich z požiadaviek z aplikačnej praxe doteraz platného znenia zákona č. 207/2009 Z. z. vo vzťahu k povinnostiam predajcov a príležitostných predajcov (nepodnikateľské subjekty) predmetov kultúrnej hodnoty, najmä stanovením odradzujúcich sankcií pri realizácií nelegálneho predaja predmetov kultúrnej hodnoty, najmä vo vzťahu k javu nelegálnej archeológie a obchodovaniu s nelegálnymi archeologickými nálezmi, bez ohľadu na to kto s nimi obchoduje, a bez ohľadu na pôvod, provenienciu a spôsob nelegálneho nadobudnutia týchto nálezov. Na základe aplikačnej praxe v oblasti ochrany kultúrneho dedičstva definuje sa aj príležitostný predajca predmetov kultúrnej hodnoty.</w:t>
            </w:r>
          </w:p>
          <w:p w:rsidR="004409A0" w:rsidRPr="004409A0" w:rsidRDefault="004409A0" w:rsidP="004409A0">
            <w:pPr>
              <w:jc w:val="both"/>
              <w:rPr>
                <w:rFonts w:ascii="Times" w:hAnsi="Times" w:cs="Times"/>
                <w:sz w:val="20"/>
                <w:szCs w:val="20"/>
              </w:rPr>
            </w:pPr>
          </w:p>
          <w:p w:rsidR="00721AC7" w:rsidRDefault="004409A0" w:rsidP="004409A0">
            <w:pPr>
              <w:jc w:val="both"/>
              <w:rPr>
                <w:rFonts w:ascii="Times" w:hAnsi="Times" w:cs="Times"/>
                <w:sz w:val="20"/>
                <w:szCs w:val="20"/>
              </w:rPr>
            </w:pPr>
            <w:r w:rsidRPr="004409A0">
              <w:rPr>
                <w:rFonts w:ascii="Times" w:hAnsi="Times" w:cs="Times"/>
                <w:sz w:val="20"/>
                <w:szCs w:val="20"/>
              </w:rPr>
              <w:t>Snahou novelizácie je aj zosúladenie administratívnej záťaže, ktorú majú oficiálni predajcovia, vykonávajúci svoju obchodnú činnosť s predmetmi kultúrnej hodnoty ako registrovaní podnikatelia v súlade s platným právnym poriadkom, na rozdiel od príležitostných predajcov, ktorí v danom segmente aktivít na trhu (v súčasnosti stále častejšie v kyber-priestore) doteraz stáli  mimo akéhokoľvek právneho vymedzenia a administratívnej záťaže a svojím často neetickým alebo aj nezákonným správaním deformujú rovnosť postavenia jednotlivých subjektov na trhu s predmetmi kultúrnej hodnoty. Definovaním  tých príležitostných predajcov a stanovením povinnosti rešpektovať princíp náležitej starostlivosti aj pre nich, spolu s možným uplatnením sankcií za nezákonný predaj predmetov kultúrnej hodnoty, sa očakáva kladný efekt smerujúci k ozdraveniu podnikateľského prostredia, ako aj transparentnosti trhu s predmetmi kultúrnej hodnoty. Zavedením uvedených opatrení sa dôslednejšie napĺňajú aj záväzky Slovenskej republiky, ktoré jej ako zmluvnej strane vyplývajú z dohovorov  UNESCO a UNIDROIT.</w:t>
            </w:r>
          </w:p>
        </w:tc>
      </w:tr>
      <w:tr w:rsidR="00721AC7">
        <w:trPr>
          <w:divId w:val="13854506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4.  Dotknuté subjekty</w:t>
            </w:r>
          </w:p>
        </w:tc>
      </w:tr>
      <w:tr w:rsidR="00721AC7">
        <w:trPr>
          <w:divId w:val="13854506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09A0" w:rsidRPr="004409A0" w:rsidRDefault="004409A0" w:rsidP="004409A0">
            <w:pPr>
              <w:jc w:val="both"/>
              <w:rPr>
                <w:rFonts w:ascii="Times" w:hAnsi="Times" w:cs="Times"/>
                <w:sz w:val="20"/>
                <w:szCs w:val="20"/>
              </w:rPr>
            </w:pPr>
            <w:r w:rsidRPr="004409A0">
              <w:rPr>
                <w:rFonts w:ascii="Times" w:hAnsi="Times" w:cs="Times"/>
                <w:sz w:val="20"/>
                <w:szCs w:val="20"/>
              </w:rPr>
              <w:t>Dotknutými subjektmi sú všetky fyzické i právnické osoby (podnikateľské subjekty, obchodníci  i nepodnikatelia, príležitostní predajcovia, fyzické osoby zberatelia...), ktoré sú buď vlastníkmi alebo majú v držbe predmety kultúrnej hodnoty, ako aj všetky subjekty, ktoré sa budú podieľať na vstupe a dovoze tovarov kultúrnej povahy na colné územie Európskej únie. Ustanovenie sa dotýka všetkých osôb, ktoré by sa chceli podieľať na nedovolenom dovoze alebo obchode s nelegálne dovezenými alebo inak získanými predmetmi kultúrnej hodnoty, ktoré majú v nelegálnej držbe alebo vlastníctve.</w:t>
            </w:r>
          </w:p>
          <w:p w:rsidR="004409A0" w:rsidRPr="004409A0" w:rsidRDefault="004409A0" w:rsidP="004409A0">
            <w:pPr>
              <w:jc w:val="both"/>
              <w:rPr>
                <w:rFonts w:ascii="Times" w:hAnsi="Times" w:cs="Times"/>
                <w:sz w:val="20"/>
                <w:szCs w:val="20"/>
              </w:rPr>
            </w:pPr>
          </w:p>
          <w:p w:rsidR="00721AC7" w:rsidRDefault="004409A0" w:rsidP="004409A0">
            <w:pPr>
              <w:jc w:val="both"/>
              <w:rPr>
                <w:rFonts w:ascii="Times" w:hAnsi="Times" w:cs="Times"/>
                <w:sz w:val="20"/>
                <w:szCs w:val="20"/>
              </w:rPr>
            </w:pPr>
            <w:r w:rsidRPr="004409A0">
              <w:rPr>
                <w:rFonts w:ascii="Times" w:hAnsi="Times" w:cs="Times"/>
                <w:sz w:val="20"/>
                <w:szCs w:val="20"/>
              </w:rPr>
              <w:t>Pri aplikácii samotného nariadenia EÚ sa návrh zákona priamo dotýka  predovšetkým Ministerstva kultúry Slovenskej republiky a organizácií v jeho pôsobnosti a miestne príslušných colných úradov.</w:t>
            </w:r>
          </w:p>
        </w:tc>
      </w:tr>
      <w:tr w:rsidR="00721AC7">
        <w:trPr>
          <w:divId w:val="13854506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5.  Alternatívne riešenia</w:t>
            </w:r>
          </w:p>
        </w:tc>
      </w:tr>
      <w:tr w:rsidR="00721AC7">
        <w:trPr>
          <w:divId w:val="13854506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09A0" w:rsidRPr="004409A0" w:rsidRDefault="004409A0" w:rsidP="004409A0">
            <w:pPr>
              <w:jc w:val="both"/>
              <w:rPr>
                <w:rFonts w:ascii="Times" w:hAnsi="Times" w:cs="Times"/>
                <w:sz w:val="20"/>
                <w:szCs w:val="20"/>
              </w:rPr>
            </w:pPr>
            <w:r w:rsidRPr="004409A0">
              <w:rPr>
                <w:rFonts w:ascii="Times" w:hAnsi="Times" w:cs="Times"/>
                <w:sz w:val="20"/>
                <w:szCs w:val="20"/>
              </w:rPr>
              <w:t>Vzhľadom na nutnosť parciálnej implementačnej povinnosti a súčasnej neexistencie vykonávacieho predpisu k danému Nariadeniu, neboli posudzované iné alternatívne spôsoby alebo možnosti vypracovania právnej normy riešiacej celú problematiku predmetného Nariadenia.</w:t>
            </w:r>
          </w:p>
          <w:p w:rsidR="004409A0" w:rsidRPr="004409A0" w:rsidRDefault="004409A0" w:rsidP="004409A0">
            <w:pPr>
              <w:jc w:val="both"/>
              <w:rPr>
                <w:rFonts w:ascii="Times" w:hAnsi="Times" w:cs="Times"/>
                <w:sz w:val="20"/>
                <w:szCs w:val="20"/>
              </w:rPr>
            </w:pPr>
          </w:p>
          <w:p w:rsidR="00721AC7" w:rsidRDefault="004409A0" w:rsidP="004409A0">
            <w:pPr>
              <w:jc w:val="both"/>
              <w:rPr>
                <w:rFonts w:ascii="Times" w:hAnsi="Times" w:cs="Times"/>
                <w:sz w:val="20"/>
                <w:szCs w:val="20"/>
              </w:rPr>
            </w:pPr>
            <w:r w:rsidRPr="004409A0">
              <w:rPr>
                <w:rFonts w:ascii="Times" w:hAnsi="Times" w:cs="Times"/>
                <w:sz w:val="20"/>
                <w:szCs w:val="20"/>
              </w:rPr>
              <w:t>Ak by na vykonanie navrhovaných zmien nedošlo, nemohla by byť adaptácia tuzemského právneho rámca uskutočnená. Súčasne je nevyhnutné previazať právnu úpravu, a to ako európsku, ako vnútroštátnu, v oblasti colníctva na právnu úpravu Nariadenie. Slovenská právna úprava by nebola plne kompatibilná s právnou úpravou európskou, čo by znamenalo značné ťažkosti pre orgány Colnej správy Slovenskej republiky pri výkone ich pôsobnosti v oblasti colníctva. Zároveň by došlo k zníženiu miery právnej istoty dotknutých subjektov, pretože národná úprava by nenadväzovala na európsku právnu úpravu. Návrh tak určujú príslušné orgány pre naplnenie postupov v súlade s Nariadením.</w:t>
            </w:r>
          </w:p>
        </w:tc>
      </w:tr>
      <w:tr w:rsidR="00721AC7">
        <w:trPr>
          <w:divId w:val="13854506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6.  Vykonávacie predpisy</w:t>
            </w:r>
          </w:p>
        </w:tc>
      </w:tr>
      <w:tr w:rsidR="00721AC7">
        <w:trPr>
          <w:divId w:val="13854506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21AC7" w:rsidRDefault="00721AC7">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721AC7">
        <w:trPr>
          <w:divId w:val="13854506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xml:space="preserve">  7.  Transpozícia práva EÚ </w:t>
            </w:r>
          </w:p>
        </w:tc>
      </w:tr>
      <w:tr w:rsidR="00721AC7">
        <w:trPr>
          <w:divId w:val="13854506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21AC7" w:rsidRDefault="004409A0" w:rsidP="004409A0">
            <w:pPr>
              <w:jc w:val="both"/>
              <w:rPr>
                <w:rFonts w:ascii="Times" w:hAnsi="Times" w:cs="Times"/>
                <w:sz w:val="20"/>
                <w:szCs w:val="20"/>
              </w:rPr>
            </w:pPr>
            <w:r w:rsidRPr="004409A0">
              <w:rPr>
                <w:rFonts w:ascii="Times" w:hAnsi="Times" w:cs="Times"/>
                <w:sz w:val="20"/>
                <w:szCs w:val="20"/>
              </w:rPr>
              <w:t>Predložený právny predpisom v časti implementácie predpisu EÚ nejde nad rámec minimálnych požiadaviek vyplývajúcich z prijatého Nariadenia.</w:t>
            </w:r>
          </w:p>
        </w:tc>
      </w:tr>
      <w:tr w:rsidR="00721AC7">
        <w:trPr>
          <w:divId w:val="1385450672"/>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8.  Preskúmanie účelnosti**</w:t>
            </w:r>
          </w:p>
        </w:tc>
      </w:tr>
      <w:tr w:rsidR="00721AC7">
        <w:trPr>
          <w:divId w:val="1385450672"/>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21AC7" w:rsidRDefault="00721AC7">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721AC7" w:rsidRDefault="00721AC7"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721AC7">
        <w:trPr>
          <w:divId w:val="1992100218"/>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0"/>
                <w:szCs w:val="20"/>
              </w:rPr>
            </w:pPr>
            <w:r>
              <w:rPr>
                <w:rFonts w:ascii="Times" w:hAnsi="Times" w:cs="Times"/>
                <w:b/>
                <w:bCs/>
                <w:sz w:val="20"/>
                <w:szCs w:val="20"/>
              </w:rPr>
              <w:t>  9.   Vplyvy navrhovaného materiálu</w:t>
            </w:r>
          </w:p>
        </w:tc>
      </w:tr>
      <w:tr w:rsidR="00721AC7">
        <w:trPr>
          <w:divId w:val="199210021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21AC7" w:rsidRDefault="00721AC7">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21AC7">
        <w:trPr>
          <w:divId w:val="199210021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721AC7">
        <w:trPr>
          <w:divId w:val="199210021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21AC7" w:rsidRDefault="00721AC7">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721AC7">
        <w:trPr>
          <w:divId w:val="199210021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721AC7">
        <w:trPr>
          <w:divId w:val="199210021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21AC7" w:rsidRDefault="00721AC7">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21AC7">
        <w:trPr>
          <w:divId w:val="199210021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21AC7" w:rsidRDefault="00721AC7">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21AC7">
        <w:trPr>
          <w:divId w:val="199210021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21AC7" w:rsidRDefault="00721AC7">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21AC7">
        <w:trPr>
          <w:divId w:val="1992100218"/>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21AC7" w:rsidRDefault="00721AC7">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721AC7">
        <w:trPr>
          <w:divId w:val="1992100218"/>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21AC7">
        <w:trPr>
          <w:divId w:val="199210021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21AC7" w:rsidRDefault="00721AC7">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21AC7" w:rsidRDefault="00721AC7">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721AC7" w:rsidRDefault="00721AC7"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721AC7">
        <w:trPr>
          <w:divId w:val="11791931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10.  Poznámky</w:t>
            </w:r>
          </w:p>
        </w:tc>
      </w:tr>
      <w:tr w:rsidR="00721AC7">
        <w:trPr>
          <w:divId w:val="11791931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21AC7" w:rsidRDefault="00721AC7">
            <w:pPr>
              <w:rPr>
                <w:rFonts w:ascii="Times" w:hAnsi="Times" w:cs="Times"/>
                <w:b/>
                <w:bCs/>
                <w:sz w:val="22"/>
                <w:szCs w:val="22"/>
              </w:rPr>
            </w:pPr>
          </w:p>
        </w:tc>
      </w:tr>
      <w:tr w:rsidR="00721AC7">
        <w:trPr>
          <w:divId w:val="11791931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11.  Kontakt na spracovateľa</w:t>
            </w:r>
          </w:p>
        </w:tc>
      </w:tr>
      <w:tr w:rsidR="00721AC7">
        <w:trPr>
          <w:divId w:val="11791931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21AC7" w:rsidRPr="005D6808" w:rsidRDefault="004409A0">
            <w:pPr>
              <w:pStyle w:val="Normlnywebov"/>
              <w:rPr>
                <w:rFonts w:ascii="Times" w:hAnsi="Times" w:cs="Times"/>
                <w:sz w:val="20"/>
                <w:szCs w:val="20"/>
              </w:rPr>
            </w:pPr>
            <w:r w:rsidRPr="004409A0">
              <w:rPr>
                <w:rFonts w:ascii="Times" w:hAnsi="Times" w:cs="Times"/>
                <w:sz w:val="20"/>
                <w:szCs w:val="20"/>
              </w:rPr>
              <w:t xml:space="preserve">Ing. Mgr. Bojan Radovanović, odbor múzeí, galérií a knižníc sekcie kultúrneho dedičstva MK SR, </w:t>
            </w:r>
            <w:hyperlink r:id="rId7" w:history="1">
              <w:r w:rsidRPr="0094224E">
                <w:rPr>
                  <w:rStyle w:val="Hypertextovprepojenie"/>
                  <w:rFonts w:ascii="Times" w:hAnsi="Times" w:cs="Times"/>
                  <w:sz w:val="20"/>
                  <w:szCs w:val="20"/>
                </w:rPr>
                <w:t>bojan.radovanovic@culture.gov.sk</w:t>
              </w:r>
            </w:hyperlink>
            <w:r>
              <w:rPr>
                <w:rFonts w:ascii="Times" w:hAnsi="Times" w:cs="Times"/>
                <w:sz w:val="20"/>
                <w:szCs w:val="20"/>
              </w:rPr>
              <w:t xml:space="preserve">  </w:t>
            </w:r>
          </w:p>
        </w:tc>
      </w:tr>
      <w:tr w:rsidR="00721AC7">
        <w:trPr>
          <w:divId w:val="11791931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12.  Zdroje</w:t>
            </w:r>
          </w:p>
        </w:tc>
      </w:tr>
      <w:tr w:rsidR="00721AC7">
        <w:trPr>
          <w:divId w:val="117919318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09A0" w:rsidRPr="004409A0" w:rsidRDefault="004409A0" w:rsidP="004409A0">
            <w:pPr>
              <w:rPr>
                <w:bCs/>
                <w:sz w:val="20"/>
                <w:szCs w:val="20"/>
              </w:rPr>
            </w:pPr>
            <w:r w:rsidRPr="004409A0">
              <w:rPr>
                <w:bCs/>
                <w:sz w:val="20"/>
                <w:szCs w:val="20"/>
              </w:rPr>
              <w:t>European Commission (2019): Illicit trade in cultural goods in Europe (final report)</w:t>
            </w:r>
          </w:p>
          <w:p w:rsidR="004409A0" w:rsidRPr="004409A0" w:rsidRDefault="004409A0" w:rsidP="004409A0">
            <w:pPr>
              <w:rPr>
                <w:bCs/>
                <w:sz w:val="20"/>
                <w:szCs w:val="20"/>
              </w:rPr>
            </w:pPr>
            <w:r w:rsidRPr="004409A0">
              <w:rPr>
                <w:bCs/>
                <w:sz w:val="20"/>
                <w:szCs w:val="20"/>
              </w:rPr>
              <w:t xml:space="preserve">Dostupné online: </w:t>
            </w:r>
            <w:hyperlink r:id="rId8" w:history="1">
              <w:r w:rsidRPr="0094224E">
                <w:rPr>
                  <w:rStyle w:val="Hypertextovprepojenie"/>
                  <w:bCs/>
                  <w:sz w:val="20"/>
                  <w:szCs w:val="20"/>
                </w:rPr>
                <w:t>https://op.europa.eu/en/publication-detail/-/publication/d79a105a-a6aa-11e9-9d01-01aa75ed71a1</w:t>
              </w:r>
            </w:hyperlink>
            <w:r>
              <w:rPr>
                <w:bCs/>
                <w:sz w:val="20"/>
                <w:szCs w:val="20"/>
              </w:rPr>
              <w:t xml:space="preserve">   </w:t>
            </w:r>
          </w:p>
          <w:p w:rsidR="004409A0" w:rsidRPr="004409A0" w:rsidRDefault="004409A0" w:rsidP="004409A0">
            <w:pPr>
              <w:rPr>
                <w:bCs/>
                <w:sz w:val="20"/>
                <w:szCs w:val="20"/>
              </w:rPr>
            </w:pPr>
          </w:p>
          <w:p w:rsidR="004409A0" w:rsidRPr="004409A0" w:rsidRDefault="004409A0" w:rsidP="004409A0">
            <w:pPr>
              <w:rPr>
                <w:bCs/>
                <w:sz w:val="20"/>
                <w:szCs w:val="20"/>
              </w:rPr>
            </w:pPr>
            <w:r w:rsidRPr="004409A0">
              <w:rPr>
                <w:bCs/>
                <w:sz w:val="20"/>
                <w:szCs w:val="20"/>
              </w:rPr>
              <w:t>Federal Ministry of Education and Research Germany (2019): Transparency, Provenance and Consumer Protection Facts and Policy Recommendations Concerning the Trade in Ancient Cultural Property in Germany</w:t>
            </w:r>
          </w:p>
          <w:p w:rsidR="00721AC7" w:rsidRDefault="004409A0" w:rsidP="004409A0">
            <w:pPr>
              <w:rPr>
                <w:rFonts w:ascii="Times" w:hAnsi="Times" w:cs="Times"/>
                <w:b/>
                <w:bCs/>
                <w:sz w:val="22"/>
                <w:szCs w:val="22"/>
              </w:rPr>
            </w:pPr>
            <w:r w:rsidRPr="004409A0">
              <w:rPr>
                <w:bCs/>
                <w:sz w:val="20"/>
                <w:szCs w:val="20"/>
              </w:rPr>
              <w:t xml:space="preserve">Dostupné online: </w:t>
            </w:r>
            <w:hyperlink r:id="rId9" w:history="1">
              <w:r w:rsidRPr="0094224E">
                <w:rPr>
                  <w:rStyle w:val="Hypertextovprepojenie"/>
                  <w:bCs/>
                  <w:sz w:val="20"/>
                  <w:szCs w:val="20"/>
                </w:rPr>
                <w:t>https://cultural-heritage-and-multilateralism2020.com/storage/documents/Illicid_report_english.pdf</w:t>
              </w:r>
            </w:hyperlink>
            <w:r>
              <w:rPr>
                <w:bCs/>
                <w:sz w:val="20"/>
                <w:szCs w:val="20"/>
              </w:rPr>
              <w:t xml:space="preserve"> </w:t>
            </w:r>
          </w:p>
        </w:tc>
      </w:tr>
      <w:tr w:rsidR="00721AC7">
        <w:trPr>
          <w:divId w:val="117919318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21AC7" w:rsidRDefault="00721AC7">
            <w:pPr>
              <w:rPr>
                <w:rFonts w:ascii="Times" w:hAnsi="Times" w:cs="Times"/>
                <w:b/>
                <w:bCs/>
                <w:sz w:val="22"/>
                <w:szCs w:val="22"/>
              </w:rPr>
            </w:pPr>
            <w:r>
              <w:rPr>
                <w:rFonts w:ascii="Times" w:hAnsi="Times" w:cs="Times"/>
                <w:b/>
                <w:bCs/>
                <w:sz w:val="22"/>
                <w:szCs w:val="22"/>
              </w:rPr>
              <w:t>  13.  Stanovisko Komisie pre posudzovanie vybraných vplyvov z PPK</w:t>
            </w:r>
          </w:p>
        </w:tc>
      </w:tr>
      <w:tr w:rsidR="00721AC7">
        <w:trPr>
          <w:divId w:val="1179193188"/>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auto"/>
              <w:tblInd w:w="217" w:type="dxa"/>
              <w:tblLook w:val="04A0" w:firstRow="1" w:lastRow="0" w:firstColumn="1" w:lastColumn="0" w:noHBand="0" w:noVBand="1"/>
            </w:tblPr>
            <w:tblGrid>
              <w:gridCol w:w="3929"/>
              <w:gridCol w:w="4927"/>
            </w:tblGrid>
            <w:tr w:rsidR="004409A0" w:rsidRPr="004409A0" w:rsidTr="008877CA">
              <w:tc>
                <w:tcPr>
                  <w:tcW w:w="4252" w:type="dxa"/>
                  <w:shd w:val="clear" w:color="auto" w:fill="FFFFFF"/>
                </w:tcPr>
                <w:p w:rsidR="004409A0" w:rsidRPr="004409A0" w:rsidRDefault="004409A0" w:rsidP="008877CA">
                  <w:pPr>
                    <w:suppressAutoHyphens/>
                    <w:snapToGrid w:val="0"/>
                    <w:spacing w:line="100" w:lineRule="atLeast"/>
                    <w:jc w:val="both"/>
                    <w:rPr>
                      <w:i/>
                      <w:smallCaps/>
                      <w:sz w:val="20"/>
                      <w:szCs w:val="20"/>
                      <w:lang w:eastAsia="ar-SA"/>
                    </w:rPr>
                  </w:pPr>
                </w:p>
              </w:tc>
              <w:tc>
                <w:tcPr>
                  <w:tcW w:w="5243" w:type="dxa"/>
                  <w:shd w:val="clear" w:color="auto" w:fill="FFFFFF"/>
                  <w:hideMark/>
                </w:tcPr>
                <w:p w:rsidR="004409A0" w:rsidRPr="004409A0" w:rsidRDefault="004409A0" w:rsidP="008877CA">
                  <w:pPr>
                    <w:rPr>
                      <w:sz w:val="20"/>
                      <w:szCs w:val="20"/>
                      <w:lang w:val="cs-CZ" w:eastAsia="ar-SA"/>
                    </w:rPr>
                  </w:pPr>
                  <w:r w:rsidRPr="004409A0">
                    <w:rPr>
                      <w:smallCaps/>
                      <w:sz w:val="20"/>
                      <w:szCs w:val="20"/>
                    </w:rPr>
                    <w:t xml:space="preserve">                                       Bratislava:  08.01.2021</w:t>
                  </w:r>
                </w:p>
                <w:p w:rsidR="004409A0" w:rsidRPr="004409A0" w:rsidRDefault="004409A0" w:rsidP="008877CA">
                  <w:pPr>
                    <w:rPr>
                      <w:sz w:val="20"/>
                      <w:szCs w:val="20"/>
                    </w:rPr>
                  </w:pPr>
                  <w:r w:rsidRPr="004409A0">
                    <w:rPr>
                      <w:smallCaps/>
                      <w:sz w:val="20"/>
                      <w:szCs w:val="20"/>
                    </w:rPr>
                    <w:t xml:space="preserve">                                       Číslo: 197/2020</w:t>
                  </w:r>
                </w:p>
                <w:p w:rsidR="004409A0" w:rsidRPr="004409A0" w:rsidRDefault="004409A0" w:rsidP="008877CA">
                  <w:pPr>
                    <w:suppressAutoHyphens/>
                    <w:spacing w:line="100" w:lineRule="atLeast"/>
                    <w:rPr>
                      <w:sz w:val="20"/>
                      <w:szCs w:val="20"/>
                      <w:lang w:val="cs-CZ" w:eastAsia="ar-SA"/>
                    </w:rPr>
                  </w:pPr>
                  <w:r w:rsidRPr="004409A0">
                    <w:rPr>
                      <w:smallCaps/>
                      <w:sz w:val="20"/>
                      <w:szCs w:val="20"/>
                    </w:rPr>
                    <w:t xml:space="preserve">                                       Vybavuje: Mgr. Kováč</w:t>
                  </w:r>
                </w:p>
              </w:tc>
            </w:tr>
          </w:tbl>
          <w:p w:rsidR="004409A0" w:rsidRPr="004409A0" w:rsidRDefault="004409A0" w:rsidP="004409A0">
            <w:pPr>
              <w:pStyle w:val="Nadpis4"/>
              <w:jc w:val="left"/>
              <w:rPr>
                <w:sz w:val="20"/>
              </w:rPr>
            </w:pPr>
          </w:p>
          <w:p w:rsidR="004409A0" w:rsidRPr="004409A0" w:rsidRDefault="004409A0" w:rsidP="004409A0">
            <w:pPr>
              <w:pStyle w:val="Nadpis4"/>
              <w:rPr>
                <w:sz w:val="20"/>
              </w:rPr>
            </w:pPr>
            <w:r w:rsidRPr="004409A0">
              <w:rPr>
                <w:spacing w:val="20"/>
                <w:sz w:val="20"/>
              </w:rPr>
              <w:t>stanovisko komisie</w:t>
            </w:r>
            <w:r w:rsidRPr="004409A0">
              <w:rPr>
                <w:sz w:val="20"/>
              </w:rPr>
              <w:t xml:space="preserve"> </w:t>
            </w:r>
          </w:p>
          <w:p w:rsidR="004409A0" w:rsidRPr="004409A0" w:rsidRDefault="004409A0" w:rsidP="004409A0">
            <w:pPr>
              <w:ind w:right="-2"/>
              <w:jc w:val="center"/>
              <w:rPr>
                <w:b/>
                <w:smallCaps/>
                <w:sz w:val="20"/>
                <w:szCs w:val="20"/>
              </w:rPr>
            </w:pPr>
          </w:p>
          <w:p w:rsidR="004409A0" w:rsidRPr="004409A0" w:rsidRDefault="004409A0" w:rsidP="004409A0">
            <w:pPr>
              <w:ind w:right="-2"/>
              <w:jc w:val="center"/>
              <w:rPr>
                <w:sz w:val="20"/>
                <w:szCs w:val="20"/>
                <w:lang w:val="cs-CZ"/>
              </w:rPr>
            </w:pPr>
            <w:r w:rsidRPr="004409A0">
              <w:rPr>
                <w:b/>
                <w:smallCaps/>
                <w:sz w:val="20"/>
                <w:szCs w:val="20"/>
              </w:rPr>
              <w:t>(predbežné pripomienkové konanie)</w:t>
            </w:r>
          </w:p>
          <w:p w:rsidR="004409A0" w:rsidRPr="004409A0" w:rsidRDefault="004409A0" w:rsidP="004409A0">
            <w:pPr>
              <w:ind w:right="-2"/>
              <w:jc w:val="center"/>
              <w:rPr>
                <w:b/>
                <w:smallCaps/>
                <w:sz w:val="20"/>
                <w:szCs w:val="20"/>
              </w:rPr>
            </w:pPr>
          </w:p>
          <w:p w:rsidR="004409A0" w:rsidRPr="004409A0" w:rsidRDefault="004409A0" w:rsidP="004409A0">
            <w:pPr>
              <w:ind w:right="-2"/>
              <w:jc w:val="center"/>
              <w:rPr>
                <w:sz w:val="20"/>
                <w:szCs w:val="20"/>
                <w:lang w:val="cs-CZ"/>
              </w:rPr>
            </w:pPr>
            <w:r w:rsidRPr="004409A0">
              <w:rPr>
                <w:b/>
                <w:smallCaps/>
                <w:sz w:val="20"/>
                <w:szCs w:val="20"/>
              </w:rPr>
              <w:t>k materiálu</w:t>
            </w:r>
          </w:p>
          <w:p w:rsidR="004409A0" w:rsidRPr="004409A0" w:rsidRDefault="004409A0" w:rsidP="004409A0">
            <w:pPr>
              <w:ind w:right="-2"/>
              <w:jc w:val="center"/>
              <w:rPr>
                <w:b/>
                <w:smallCaps/>
                <w:sz w:val="20"/>
                <w:szCs w:val="20"/>
              </w:rPr>
            </w:pPr>
          </w:p>
          <w:p w:rsidR="004409A0" w:rsidRPr="004409A0" w:rsidRDefault="004409A0" w:rsidP="004409A0">
            <w:pPr>
              <w:pBdr>
                <w:bottom w:val="single" w:sz="4" w:space="1" w:color="000000"/>
              </w:pBdr>
              <w:ind w:right="-2"/>
              <w:jc w:val="center"/>
              <w:rPr>
                <w:b/>
                <w:smallCaps/>
                <w:sz w:val="20"/>
                <w:szCs w:val="20"/>
              </w:rPr>
            </w:pPr>
            <w:r w:rsidRPr="004409A0">
              <w:rPr>
                <w:b/>
                <w:bCs/>
                <w:sz w:val="20"/>
                <w:szCs w:val="20"/>
              </w:rPr>
              <w:t>Návrh zákona, ktorým sa mení a dopĺňa zákon č. 207/2009 Z. z. o podmienkach vývozu a dovozu predmetu kultúrnej hodnoty a o doplnení zákona č. 652/2004 Z. z. o orgánoch štátnej správy v colníctve a o zmene a doplnení niektorých zákonov v znení neskorších predpisov v znení zákona č. 38/2014 Z. z. a ktorým sa menia a dopĺňajú niektoré zákony</w:t>
            </w:r>
          </w:p>
          <w:p w:rsidR="004409A0" w:rsidRPr="004409A0" w:rsidRDefault="004409A0" w:rsidP="004409A0">
            <w:pPr>
              <w:jc w:val="both"/>
              <w:rPr>
                <w:b/>
                <w:bCs/>
                <w:sz w:val="20"/>
                <w:szCs w:val="20"/>
              </w:rPr>
            </w:pPr>
          </w:p>
          <w:p w:rsidR="004409A0" w:rsidRPr="004409A0" w:rsidRDefault="004409A0" w:rsidP="004409A0">
            <w:pPr>
              <w:jc w:val="both"/>
              <w:rPr>
                <w:bCs/>
                <w:iCs/>
                <w:sz w:val="20"/>
                <w:szCs w:val="20"/>
              </w:rPr>
            </w:pPr>
            <w:r w:rsidRPr="004409A0">
              <w:rPr>
                <w:b/>
                <w:bCs/>
                <w:sz w:val="20"/>
                <w:szCs w:val="20"/>
              </w:rPr>
              <w:t xml:space="preserve">I. Úvod: </w:t>
            </w:r>
            <w:r w:rsidRPr="004409A0">
              <w:rPr>
                <w:bCs/>
                <w:sz w:val="20"/>
                <w:szCs w:val="20"/>
              </w:rPr>
              <w:t>Ministerstvo kultúry SR dňa 21. decembra 2020 predložilo na PPK materiál „</w:t>
            </w:r>
            <w:r w:rsidRPr="004409A0">
              <w:rPr>
                <w:bCs/>
                <w:i/>
                <w:iCs/>
                <w:sz w:val="20"/>
                <w:szCs w:val="20"/>
              </w:rPr>
              <w:t xml:space="preserve">Návrh zákona, ktorým sa </w:t>
            </w:r>
            <w:r w:rsidRPr="004409A0">
              <w:rPr>
                <w:bCs/>
                <w:i/>
                <w:iCs/>
                <w:sz w:val="20"/>
                <w:szCs w:val="20"/>
              </w:rPr>
              <w:lastRenderedPageBreak/>
              <w:t>mení a dopĺňa zákon č. 207/2009 Z. z. o podmienkach vývozu a dovozu predmetu kultúrnej hodnoty a o doplnení zákona č. 652/2004 Z. z. o orgánoch štátnej správy v colníctve a o zmene a doplnení niektorých zákonov v znení neskorších predpisov v znení zákona č. 38/2014 Z. z. a ktorým sa menia a dopĺňajú niektoré zákony“</w:t>
            </w:r>
            <w:r w:rsidRPr="004409A0">
              <w:rPr>
                <w:bCs/>
                <w:iCs/>
                <w:sz w:val="20"/>
                <w:szCs w:val="20"/>
              </w:rPr>
              <w:t xml:space="preserve">. Materiál predpokladá pozitívno-negatívne vplyvy na podnikateľské prostredie. </w:t>
            </w:r>
          </w:p>
          <w:p w:rsidR="004409A0" w:rsidRPr="004409A0" w:rsidRDefault="004409A0" w:rsidP="004409A0">
            <w:pPr>
              <w:jc w:val="both"/>
              <w:rPr>
                <w:b/>
                <w:bCs/>
                <w:sz w:val="20"/>
                <w:szCs w:val="20"/>
              </w:rPr>
            </w:pPr>
          </w:p>
          <w:p w:rsidR="004409A0" w:rsidRPr="004409A0" w:rsidRDefault="004409A0" w:rsidP="004409A0">
            <w:pPr>
              <w:jc w:val="both"/>
              <w:rPr>
                <w:sz w:val="20"/>
                <w:szCs w:val="20"/>
                <w:lang w:val="cs-CZ"/>
              </w:rPr>
            </w:pPr>
            <w:r w:rsidRPr="004409A0">
              <w:rPr>
                <w:b/>
                <w:bCs/>
                <w:sz w:val="20"/>
                <w:szCs w:val="20"/>
              </w:rPr>
              <w:t>II. P</w:t>
            </w:r>
            <w:r w:rsidRPr="004409A0">
              <w:rPr>
                <w:b/>
                <w:sz w:val="20"/>
                <w:szCs w:val="20"/>
              </w:rPr>
              <w:t>r</w:t>
            </w:r>
            <w:r w:rsidRPr="004409A0">
              <w:rPr>
                <w:b/>
                <w:bCs/>
                <w:sz w:val="20"/>
                <w:szCs w:val="20"/>
              </w:rPr>
              <w:t>ipomienky a návrhy zm</w:t>
            </w:r>
            <w:r w:rsidRPr="004409A0">
              <w:rPr>
                <w:b/>
                <w:sz w:val="20"/>
                <w:szCs w:val="20"/>
              </w:rPr>
              <w:t>ie</w:t>
            </w:r>
            <w:r w:rsidRPr="004409A0">
              <w:rPr>
                <w:b/>
                <w:bCs/>
                <w:sz w:val="20"/>
                <w:szCs w:val="20"/>
              </w:rPr>
              <w:t xml:space="preserve">n: </w:t>
            </w:r>
            <w:r w:rsidRPr="004409A0">
              <w:rPr>
                <w:bCs/>
                <w:sz w:val="20"/>
                <w:szCs w:val="20"/>
              </w:rPr>
              <w:t>Komisia uplatňuje k materiálu nasledovné pripomienky a odporúčania:</w:t>
            </w:r>
          </w:p>
          <w:p w:rsidR="004409A0" w:rsidRPr="004409A0" w:rsidRDefault="004409A0" w:rsidP="004409A0">
            <w:pPr>
              <w:tabs>
                <w:tab w:val="center" w:pos="6379"/>
              </w:tabs>
              <w:ind w:right="-2"/>
              <w:jc w:val="both"/>
              <w:rPr>
                <w:bCs/>
                <w:sz w:val="20"/>
                <w:szCs w:val="20"/>
              </w:rPr>
            </w:pPr>
          </w:p>
          <w:p w:rsidR="004409A0" w:rsidRPr="004409A0" w:rsidRDefault="004409A0" w:rsidP="004409A0">
            <w:pPr>
              <w:tabs>
                <w:tab w:val="center" w:pos="6379"/>
              </w:tabs>
              <w:ind w:right="-2"/>
              <w:jc w:val="both"/>
              <w:rPr>
                <w:b/>
                <w:bCs/>
                <w:sz w:val="20"/>
                <w:szCs w:val="20"/>
              </w:rPr>
            </w:pPr>
            <w:r w:rsidRPr="004409A0">
              <w:rPr>
                <w:b/>
                <w:bCs/>
                <w:sz w:val="20"/>
                <w:szCs w:val="20"/>
              </w:rPr>
              <w:t>K doložke vybraných vplyvov</w:t>
            </w:r>
          </w:p>
          <w:p w:rsidR="004409A0" w:rsidRPr="004409A0" w:rsidRDefault="004409A0" w:rsidP="004409A0">
            <w:pPr>
              <w:tabs>
                <w:tab w:val="center" w:pos="6379"/>
              </w:tabs>
              <w:ind w:right="-2"/>
              <w:jc w:val="both"/>
              <w:rPr>
                <w:bCs/>
                <w:sz w:val="20"/>
                <w:szCs w:val="20"/>
              </w:rPr>
            </w:pPr>
            <w:r w:rsidRPr="004409A0">
              <w:rPr>
                <w:bCs/>
                <w:sz w:val="20"/>
                <w:szCs w:val="20"/>
              </w:rPr>
              <w:t>Komisia v doložke vybraných vplyvov odporúča doplniť chýbajúcu časť - 12. Zdroje.</w:t>
            </w:r>
          </w:p>
          <w:p w:rsidR="004409A0" w:rsidRPr="004409A0" w:rsidRDefault="004409A0" w:rsidP="004409A0">
            <w:pPr>
              <w:tabs>
                <w:tab w:val="center" w:pos="6379"/>
              </w:tabs>
              <w:ind w:right="-2"/>
              <w:jc w:val="both"/>
              <w:rPr>
                <w:bCs/>
                <w:sz w:val="20"/>
                <w:szCs w:val="20"/>
              </w:rPr>
            </w:pPr>
          </w:p>
          <w:p w:rsidR="004409A0" w:rsidRPr="004409A0" w:rsidRDefault="004409A0" w:rsidP="004409A0">
            <w:pPr>
              <w:tabs>
                <w:tab w:val="center" w:pos="6379"/>
              </w:tabs>
              <w:ind w:right="-2"/>
              <w:jc w:val="both"/>
              <w:rPr>
                <w:bCs/>
                <w:i/>
                <w:sz w:val="20"/>
                <w:szCs w:val="20"/>
              </w:rPr>
            </w:pPr>
            <w:r w:rsidRPr="004409A0">
              <w:rPr>
                <w:bCs/>
                <w:i/>
                <w:sz w:val="20"/>
                <w:szCs w:val="20"/>
              </w:rPr>
              <w:t>Doplnené.</w:t>
            </w:r>
          </w:p>
          <w:p w:rsidR="004409A0" w:rsidRPr="004409A0" w:rsidRDefault="004409A0" w:rsidP="004409A0">
            <w:pPr>
              <w:tabs>
                <w:tab w:val="center" w:pos="6379"/>
              </w:tabs>
              <w:ind w:right="-2"/>
              <w:jc w:val="both"/>
              <w:rPr>
                <w:bCs/>
                <w:sz w:val="20"/>
                <w:szCs w:val="20"/>
              </w:rPr>
            </w:pPr>
          </w:p>
          <w:p w:rsidR="004409A0" w:rsidRPr="004409A0" w:rsidRDefault="004409A0" w:rsidP="004409A0">
            <w:pPr>
              <w:tabs>
                <w:tab w:val="center" w:pos="6379"/>
              </w:tabs>
              <w:ind w:right="-2"/>
              <w:jc w:val="both"/>
              <w:rPr>
                <w:bCs/>
                <w:sz w:val="20"/>
                <w:szCs w:val="20"/>
              </w:rPr>
            </w:pPr>
            <w:r w:rsidRPr="004409A0">
              <w:rPr>
                <w:bCs/>
                <w:sz w:val="20"/>
                <w:szCs w:val="20"/>
              </w:rPr>
              <w:t>Komisia žiada predkladateľa, aby v súlade s Jednotnou metodikou dopracoval Doložku vybraných vplyvov. Z časti Definovanie problému nie je zrejmé, na aké existujúce nedostatky predkladaný návrh reaguje, resp. aké problémy rieši. Časť v súčasnom znení prezentuje skôr kroky potrebné na dosiahnutie žiadúceho stavu. Je potrebné uviesť príčiny, podstatu, podobu a predpokladaný rozsah nelegálneho obchodu s predmetmi kultúrnej hodnoty, na ktoré daný návrh reaguje.</w:t>
            </w:r>
          </w:p>
          <w:p w:rsidR="004409A0" w:rsidRPr="004409A0" w:rsidRDefault="004409A0" w:rsidP="004409A0">
            <w:pPr>
              <w:tabs>
                <w:tab w:val="center" w:pos="6379"/>
              </w:tabs>
              <w:ind w:right="-2"/>
              <w:jc w:val="both"/>
              <w:rPr>
                <w:bCs/>
                <w:sz w:val="20"/>
                <w:szCs w:val="20"/>
              </w:rPr>
            </w:pPr>
          </w:p>
          <w:p w:rsidR="004409A0" w:rsidRPr="004409A0" w:rsidRDefault="004409A0" w:rsidP="004409A0">
            <w:pPr>
              <w:tabs>
                <w:tab w:val="center" w:pos="6379"/>
              </w:tabs>
              <w:ind w:right="-2"/>
              <w:jc w:val="both"/>
              <w:rPr>
                <w:bCs/>
                <w:i/>
                <w:sz w:val="20"/>
                <w:szCs w:val="20"/>
              </w:rPr>
            </w:pPr>
            <w:r w:rsidRPr="004409A0">
              <w:rPr>
                <w:bCs/>
                <w:i/>
                <w:sz w:val="20"/>
                <w:szCs w:val="20"/>
              </w:rPr>
              <w:t>Doplnené.</w:t>
            </w:r>
          </w:p>
          <w:p w:rsidR="004409A0" w:rsidRPr="004409A0" w:rsidRDefault="004409A0" w:rsidP="004409A0">
            <w:pPr>
              <w:tabs>
                <w:tab w:val="center" w:pos="6379"/>
              </w:tabs>
              <w:ind w:right="-2"/>
              <w:jc w:val="both"/>
              <w:rPr>
                <w:bCs/>
                <w:sz w:val="20"/>
                <w:szCs w:val="20"/>
              </w:rPr>
            </w:pPr>
          </w:p>
          <w:p w:rsidR="004409A0" w:rsidRPr="004409A0" w:rsidRDefault="004409A0" w:rsidP="004409A0">
            <w:pPr>
              <w:tabs>
                <w:tab w:val="center" w:pos="6379"/>
              </w:tabs>
              <w:ind w:right="-2"/>
              <w:jc w:val="both"/>
              <w:rPr>
                <w:b/>
                <w:bCs/>
                <w:sz w:val="20"/>
                <w:szCs w:val="20"/>
              </w:rPr>
            </w:pPr>
            <w:r w:rsidRPr="004409A0">
              <w:rPr>
                <w:b/>
                <w:bCs/>
                <w:sz w:val="20"/>
                <w:szCs w:val="20"/>
              </w:rPr>
              <w:t>K vplyvom na podnikateľské prostredie</w:t>
            </w:r>
          </w:p>
          <w:p w:rsidR="004409A0" w:rsidRPr="004409A0" w:rsidRDefault="004409A0" w:rsidP="004409A0">
            <w:pPr>
              <w:tabs>
                <w:tab w:val="center" w:pos="6379"/>
              </w:tabs>
              <w:ind w:right="-2"/>
              <w:jc w:val="both"/>
              <w:rPr>
                <w:bCs/>
                <w:sz w:val="20"/>
                <w:szCs w:val="20"/>
              </w:rPr>
            </w:pPr>
            <w:r w:rsidRPr="004409A0">
              <w:rPr>
                <w:bCs/>
                <w:sz w:val="20"/>
                <w:szCs w:val="20"/>
              </w:rPr>
              <w:t>V Analýze vplyvov na podnikateľské prostredie Komisia odporúča do časti 3.3.1. Priame finančné náklady doplniť, ako negatívny vplyv na podnikateľské prostredie, aj sankcie - pokuty za nelegálnu činnosť.</w:t>
            </w:r>
          </w:p>
          <w:p w:rsidR="004409A0" w:rsidRPr="004409A0" w:rsidRDefault="004409A0" w:rsidP="004409A0">
            <w:pPr>
              <w:tabs>
                <w:tab w:val="center" w:pos="6379"/>
              </w:tabs>
              <w:ind w:right="-2"/>
              <w:jc w:val="both"/>
              <w:rPr>
                <w:bCs/>
                <w:sz w:val="20"/>
                <w:szCs w:val="20"/>
              </w:rPr>
            </w:pPr>
          </w:p>
          <w:p w:rsidR="004409A0" w:rsidRPr="004409A0" w:rsidRDefault="004409A0" w:rsidP="004409A0">
            <w:pPr>
              <w:tabs>
                <w:tab w:val="center" w:pos="6379"/>
              </w:tabs>
              <w:ind w:right="-2"/>
              <w:jc w:val="both"/>
              <w:rPr>
                <w:bCs/>
                <w:i/>
                <w:sz w:val="20"/>
                <w:szCs w:val="20"/>
              </w:rPr>
            </w:pPr>
            <w:r w:rsidRPr="004409A0">
              <w:rPr>
                <w:bCs/>
                <w:i/>
                <w:sz w:val="20"/>
                <w:szCs w:val="20"/>
              </w:rPr>
              <w:t>Doplnené.</w:t>
            </w:r>
          </w:p>
          <w:p w:rsidR="004409A0" w:rsidRPr="004409A0" w:rsidRDefault="004409A0" w:rsidP="004409A0">
            <w:pPr>
              <w:pStyle w:val="norm00e1lny"/>
              <w:spacing w:line="240" w:lineRule="atLeast"/>
              <w:jc w:val="both"/>
              <w:rPr>
                <w:rStyle w:val="norm00e1lnychar1"/>
                <w:b/>
                <w:lang w:eastAsia="ar-SA"/>
              </w:rPr>
            </w:pPr>
          </w:p>
          <w:p w:rsidR="004409A0" w:rsidRPr="004409A0" w:rsidRDefault="004409A0" w:rsidP="004409A0">
            <w:pPr>
              <w:tabs>
                <w:tab w:val="center" w:pos="6379"/>
              </w:tabs>
              <w:ind w:right="-2"/>
              <w:jc w:val="both"/>
              <w:rPr>
                <w:sz w:val="20"/>
                <w:szCs w:val="20"/>
              </w:rPr>
            </w:pPr>
            <w:r w:rsidRPr="004409A0">
              <w:rPr>
                <w:bCs/>
                <w:sz w:val="20"/>
                <w:szCs w:val="20"/>
              </w:rPr>
              <w:t>Predkladateľ v časti 9. Doložky vybraných vplyvov vyznačil, že predložený materiál nemá žiadny vplyv na MSP, avšak v Analýze vplyvov na podnikateľské prostredie uviedol, že predmetný materiál má vplyv len na MSP.</w:t>
            </w:r>
          </w:p>
          <w:p w:rsidR="004409A0" w:rsidRPr="004409A0" w:rsidRDefault="004409A0" w:rsidP="004409A0">
            <w:pPr>
              <w:tabs>
                <w:tab w:val="center" w:pos="6379"/>
              </w:tabs>
              <w:ind w:right="-2"/>
              <w:jc w:val="both"/>
              <w:rPr>
                <w:bCs/>
                <w:sz w:val="20"/>
                <w:szCs w:val="20"/>
              </w:rPr>
            </w:pPr>
            <w:r w:rsidRPr="004409A0">
              <w:rPr>
                <w:bCs/>
                <w:sz w:val="20"/>
                <w:szCs w:val="20"/>
              </w:rPr>
              <w:t>Komisia žiada predkladateľa o odstránenie uvedených rozporov.</w:t>
            </w:r>
          </w:p>
          <w:p w:rsidR="004409A0" w:rsidRPr="004409A0" w:rsidRDefault="004409A0" w:rsidP="004409A0">
            <w:pPr>
              <w:tabs>
                <w:tab w:val="center" w:pos="6379"/>
              </w:tabs>
              <w:ind w:right="-2"/>
              <w:jc w:val="both"/>
              <w:rPr>
                <w:bCs/>
                <w:sz w:val="20"/>
                <w:szCs w:val="20"/>
              </w:rPr>
            </w:pPr>
          </w:p>
          <w:p w:rsidR="004409A0" w:rsidRPr="004409A0" w:rsidRDefault="004409A0" w:rsidP="004409A0">
            <w:pPr>
              <w:tabs>
                <w:tab w:val="center" w:pos="6379"/>
              </w:tabs>
              <w:ind w:right="-2"/>
              <w:jc w:val="both"/>
              <w:rPr>
                <w:bCs/>
                <w:i/>
                <w:sz w:val="20"/>
                <w:szCs w:val="20"/>
              </w:rPr>
            </w:pPr>
            <w:r w:rsidRPr="004409A0">
              <w:rPr>
                <w:bCs/>
                <w:i/>
                <w:sz w:val="20"/>
                <w:szCs w:val="20"/>
              </w:rPr>
              <w:t>Rozpor odstránený.</w:t>
            </w:r>
          </w:p>
          <w:p w:rsidR="004409A0" w:rsidRPr="004409A0" w:rsidRDefault="004409A0" w:rsidP="004409A0">
            <w:pPr>
              <w:tabs>
                <w:tab w:val="center" w:pos="6379"/>
              </w:tabs>
              <w:ind w:right="-2"/>
              <w:jc w:val="both"/>
              <w:rPr>
                <w:bCs/>
                <w:sz w:val="20"/>
                <w:szCs w:val="20"/>
              </w:rPr>
            </w:pPr>
          </w:p>
          <w:p w:rsidR="004409A0" w:rsidRPr="004409A0" w:rsidRDefault="004409A0" w:rsidP="004409A0">
            <w:pPr>
              <w:tabs>
                <w:tab w:val="center" w:pos="6379"/>
              </w:tabs>
              <w:ind w:right="-2"/>
              <w:jc w:val="both"/>
              <w:rPr>
                <w:bCs/>
                <w:sz w:val="20"/>
                <w:szCs w:val="20"/>
              </w:rPr>
            </w:pPr>
            <w:r w:rsidRPr="004409A0">
              <w:rPr>
                <w:bCs/>
                <w:sz w:val="20"/>
                <w:szCs w:val="20"/>
              </w:rPr>
              <w:t>Komisia žiada predkladateľa o doplnenie popisu pozitívnych i negatívnych vplyvov konkrétne na MSP do Analýzy vplyvov na podnikateľské prostredie.</w:t>
            </w:r>
          </w:p>
          <w:p w:rsidR="004409A0" w:rsidRPr="004409A0" w:rsidRDefault="004409A0" w:rsidP="004409A0">
            <w:pPr>
              <w:tabs>
                <w:tab w:val="center" w:pos="6379"/>
              </w:tabs>
              <w:ind w:right="-2"/>
              <w:jc w:val="both"/>
              <w:rPr>
                <w:bCs/>
                <w:sz w:val="20"/>
                <w:szCs w:val="20"/>
              </w:rPr>
            </w:pPr>
          </w:p>
          <w:p w:rsidR="004409A0" w:rsidRPr="004409A0" w:rsidRDefault="004409A0" w:rsidP="004409A0">
            <w:pPr>
              <w:jc w:val="both"/>
              <w:rPr>
                <w:bCs/>
                <w:i/>
                <w:sz w:val="20"/>
                <w:szCs w:val="20"/>
              </w:rPr>
            </w:pPr>
            <w:r w:rsidRPr="004409A0">
              <w:rPr>
                <w:bCs/>
                <w:i/>
                <w:sz w:val="20"/>
                <w:szCs w:val="20"/>
              </w:rPr>
              <w:t>Na základe dostupných dát nie je možné presne určiť počet ani veľkosť podnikov, ktoré sú  predajcami predmetov kultúrnej hodnoty. Všetky uvedené vplyvy sa dotýkajú v rovnakej miere veľkých podnikov, MSP aj  nepodnikateľov (fyzických a právnických osôb). Táto skutočnosť je doplnená v časti 3.1. Analýzy vplyvov na podnikateľské prostredie.</w:t>
            </w:r>
          </w:p>
          <w:p w:rsidR="004409A0" w:rsidRPr="004409A0" w:rsidRDefault="004409A0" w:rsidP="004409A0">
            <w:pPr>
              <w:tabs>
                <w:tab w:val="center" w:pos="6379"/>
              </w:tabs>
              <w:ind w:right="-2"/>
              <w:jc w:val="both"/>
              <w:rPr>
                <w:bCs/>
                <w:sz w:val="20"/>
                <w:szCs w:val="20"/>
              </w:rPr>
            </w:pPr>
          </w:p>
          <w:p w:rsidR="004409A0" w:rsidRPr="004409A0" w:rsidRDefault="004409A0" w:rsidP="004409A0">
            <w:pPr>
              <w:pStyle w:val="norm00e1lny"/>
              <w:spacing w:line="240" w:lineRule="atLeast"/>
              <w:jc w:val="both"/>
            </w:pPr>
            <w:r w:rsidRPr="004409A0">
              <w:rPr>
                <w:rStyle w:val="norm00e1lnychar1"/>
                <w:b/>
                <w:bCs/>
                <w:lang w:eastAsia="ar-SA"/>
              </w:rPr>
              <w:t>I</w:t>
            </w:r>
            <w:r w:rsidRPr="004409A0">
              <w:rPr>
                <w:rStyle w:val="norm00e1lnychar1"/>
                <w:b/>
                <w:bCs/>
              </w:rPr>
              <w:t xml:space="preserve">II. Záver: </w:t>
            </w:r>
            <w:r w:rsidRPr="004409A0">
              <w:rPr>
                <w:rStyle w:val="norm00e1lnychar1"/>
              </w:rPr>
              <w:t xml:space="preserve">Stála pracovná komisia na posudzovanie vybraných vplyvov vyjadruje </w:t>
            </w:r>
          </w:p>
          <w:p w:rsidR="004409A0" w:rsidRPr="004409A0" w:rsidRDefault="004409A0" w:rsidP="004409A0">
            <w:pPr>
              <w:pStyle w:val="norm00e1lny"/>
            </w:pPr>
            <w:r w:rsidRPr="004409A0">
              <w:t> </w:t>
            </w:r>
          </w:p>
          <w:p w:rsidR="004409A0" w:rsidRPr="004409A0" w:rsidRDefault="004409A0" w:rsidP="004409A0">
            <w:pPr>
              <w:pStyle w:val="norm00e1lny"/>
              <w:spacing w:line="240" w:lineRule="atLeast"/>
              <w:jc w:val="center"/>
            </w:pPr>
            <w:r w:rsidRPr="004409A0">
              <w:rPr>
                <w:rStyle w:val="norm00e1lnychar1"/>
                <w:b/>
                <w:bCs/>
              </w:rPr>
              <w:t>nesúhlasné stanovisko</w:t>
            </w:r>
          </w:p>
          <w:p w:rsidR="004409A0" w:rsidRPr="004409A0" w:rsidRDefault="004409A0" w:rsidP="004409A0">
            <w:pPr>
              <w:pStyle w:val="norm00e1lny"/>
            </w:pPr>
            <w:r w:rsidRPr="004409A0">
              <w:t> </w:t>
            </w:r>
          </w:p>
          <w:p w:rsidR="004409A0" w:rsidRPr="004409A0" w:rsidRDefault="004409A0" w:rsidP="004409A0">
            <w:pPr>
              <w:pStyle w:val="norm00e1lny"/>
              <w:spacing w:line="240" w:lineRule="atLeast"/>
              <w:jc w:val="both"/>
            </w:pPr>
            <w:r w:rsidRPr="004409A0">
              <w:rPr>
                <w:rStyle w:val="norm00e1lnychar1"/>
              </w:rPr>
              <w:t>s materiálom predloženým na predbežné pripomienkové konanie s odporúčaním na jeho dopracovanie podľa pripomienok v bode II.</w:t>
            </w:r>
          </w:p>
          <w:p w:rsidR="004409A0" w:rsidRPr="004409A0" w:rsidRDefault="004409A0" w:rsidP="004409A0">
            <w:pPr>
              <w:pStyle w:val="norm00e1lny"/>
            </w:pPr>
            <w:r w:rsidRPr="004409A0">
              <w:t> </w:t>
            </w:r>
          </w:p>
          <w:p w:rsidR="004409A0" w:rsidRPr="004409A0" w:rsidRDefault="004409A0" w:rsidP="004409A0">
            <w:pPr>
              <w:pStyle w:val="norm00e1lny"/>
              <w:spacing w:line="240" w:lineRule="atLeast"/>
              <w:jc w:val="both"/>
            </w:pPr>
            <w:r w:rsidRPr="004409A0">
              <w:rPr>
                <w:rStyle w:val="norm00e1lnychar1"/>
                <w:b/>
                <w:bCs/>
              </w:rPr>
              <w:t>IV. Poznámka:</w:t>
            </w:r>
            <w:r w:rsidRPr="004409A0">
              <w:rPr>
                <w:rStyle w:val="norm00e1lnychar1"/>
              </w:rPr>
              <w:t xml:space="preserve"> Predkladateľ zapracuje pripomienky a odporúčania na úpravu uvedené v bode II a uvedie stanovisko Komisie do doložky vybraných vplyvov spolu s vyhodnotením pripomienok.</w:t>
            </w:r>
          </w:p>
          <w:p w:rsidR="004409A0" w:rsidRPr="004409A0" w:rsidRDefault="004409A0" w:rsidP="004409A0">
            <w:pPr>
              <w:pStyle w:val="norm00e1lny"/>
            </w:pPr>
            <w:r w:rsidRPr="004409A0">
              <w:t> </w:t>
            </w:r>
          </w:p>
          <w:p w:rsidR="004409A0" w:rsidRPr="004409A0" w:rsidRDefault="004409A0" w:rsidP="004409A0">
            <w:pPr>
              <w:pStyle w:val="z00e1kladn00fd0020text"/>
              <w:spacing w:after="0" w:line="240" w:lineRule="atLeast"/>
              <w:jc w:val="both"/>
            </w:pPr>
            <w:r w:rsidRPr="004409A0">
              <w:rPr>
                <w:rStyle w:val="z00e1kladn00fd0020textchar1"/>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4409A0" w:rsidRDefault="004409A0" w:rsidP="004409A0">
            <w:pPr>
              <w:tabs>
                <w:tab w:val="center" w:pos="6379"/>
              </w:tabs>
              <w:ind w:right="-2"/>
              <w:rPr>
                <w:sz w:val="20"/>
                <w:szCs w:val="20"/>
              </w:rPr>
            </w:pPr>
          </w:p>
          <w:p w:rsidR="004409A0" w:rsidRPr="004409A0" w:rsidRDefault="004409A0" w:rsidP="004409A0">
            <w:pPr>
              <w:tabs>
                <w:tab w:val="center" w:pos="6379"/>
              </w:tabs>
              <w:ind w:right="-2"/>
              <w:rPr>
                <w:b/>
                <w:bCs/>
                <w:sz w:val="20"/>
                <w:szCs w:val="20"/>
              </w:rPr>
            </w:pPr>
          </w:p>
          <w:p w:rsidR="004409A0" w:rsidRPr="004409A0" w:rsidRDefault="004409A0" w:rsidP="004409A0">
            <w:pPr>
              <w:tabs>
                <w:tab w:val="center" w:pos="6379"/>
              </w:tabs>
              <w:ind w:left="4536" w:right="-2"/>
              <w:jc w:val="center"/>
              <w:rPr>
                <w:sz w:val="20"/>
                <w:szCs w:val="20"/>
                <w:lang w:val="cs-CZ"/>
              </w:rPr>
            </w:pPr>
            <w:r w:rsidRPr="004409A0">
              <w:rPr>
                <w:b/>
                <w:bCs/>
                <w:sz w:val="20"/>
                <w:szCs w:val="20"/>
              </w:rPr>
              <w:t>PhDr. Ján Oravec, CSc.</w:t>
            </w:r>
          </w:p>
          <w:p w:rsidR="00721AC7" w:rsidRPr="004409A0" w:rsidRDefault="004409A0" w:rsidP="004409A0">
            <w:pPr>
              <w:tabs>
                <w:tab w:val="center" w:pos="6379"/>
              </w:tabs>
              <w:ind w:left="4536" w:right="-2"/>
              <w:jc w:val="center"/>
              <w:rPr>
                <w:sz w:val="20"/>
                <w:szCs w:val="20"/>
              </w:rPr>
            </w:pPr>
            <w:r w:rsidRPr="004409A0">
              <w:rPr>
                <w:bCs/>
                <w:sz w:val="20"/>
                <w:szCs w:val="20"/>
              </w:rPr>
              <w:t>predseda Komisie</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40" w:rsidRDefault="00B35A40">
      <w:r>
        <w:separator/>
      </w:r>
    </w:p>
  </w:endnote>
  <w:endnote w:type="continuationSeparator" w:id="0">
    <w:p w:rsidR="00B35A40" w:rsidRDefault="00B3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40" w:rsidRDefault="00B35A40">
      <w:r>
        <w:separator/>
      </w:r>
    </w:p>
  </w:footnote>
  <w:footnote w:type="continuationSeparator" w:id="0">
    <w:p w:rsidR="00B35A40" w:rsidRDefault="00B35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2E50"/>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09A0"/>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363C"/>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AC7"/>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35A40"/>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37CFB6F0-C3AD-43B6-B467-C813BFC2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semiHidden/>
    <w:unhideWhenUsed/>
    <w:qFormat/>
    <w:rsid w:val="004409A0"/>
    <w:pPr>
      <w:keepNext/>
      <w:tabs>
        <w:tab w:val="num" w:pos="0"/>
      </w:tabs>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basedOn w:val="Predvolenpsmoodseku"/>
    <w:uiPriority w:val="99"/>
    <w:unhideWhenUsed/>
    <w:rsid w:val="004409A0"/>
    <w:rPr>
      <w:color w:val="0000FF" w:themeColor="hyperlink"/>
      <w:u w:val="single"/>
    </w:rPr>
  </w:style>
  <w:style w:type="character" w:customStyle="1" w:styleId="Nadpis4Char">
    <w:name w:val="Nadpis 4 Char"/>
    <w:basedOn w:val="Predvolenpsmoodseku"/>
    <w:link w:val="Nadpis4"/>
    <w:semiHidden/>
    <w:rsid w:val="004409A0"/>
    <w:rPr>
      <w:b/>
      <w:smallCaps/>
      <w:sz w:val="26"/>
      <w:szCs w:val="20"/>
      <w:lang w:eastAsia="ar-SA"/>
    </w:rPr>
  </w:style>
  <w:style w:type="paragraph" w:customStyle="1" w:styleId="norm00e1lny">
    <w:name w:val="norm_00e1lny"/>
    <w:basedOn w:val="Normlny"/>
    <w:rsid w:val="004409A0"/>
    <w:pPr>
      <w:spacing w:line="200" w:lineRule="atLeast"/>
    </w:pPr>
    <w:rPr>
      <w:sz w:val="20"/>
      <w:szCs w:val="20"/>
    </w:rPr>
  </w:style>
  <w:style w:type="paragraph" w:customStyle="1" w:styleId="z00e1kladn00fd0020text">
    <w:name w:val="z_00e1kladn_00fd_0020text"/>
    <w:basedOn w:val="Normlny"/>
    <w:rsid w:val="004409A0"/>
    <w:pPr>
      <w:spacing w:after="120" w:line="200" w:lineRule="atLeast"/>
    </w:pPr>
    <w:rPr>
      <w:sz w:val="20"/>
      <w:szCs w:val="20"/>
    </w:rPr>
  </w:style>
  <w:style w:type="character" w:customStyle="1" w:styleId="norm00e1lnychar1">
    <w:name w:val="norm_00e1lny__char1"/>
    <w:rsid w:val="004409A0"/>
    <w:rPr>
      <w:rFonts w:ascii="Times New Roman" w:hAnsi="Times New Roman" w:cs="Times New Roman" w:hint="default"/>
      <w:strike w:val="0"/>
      <w:dstrike w:val="0"/>
      <w:sz w:val="20"/>
      <w:szCs w:val="20"/>
      <w:u w:val="none"/>
      <w:effect w:val="none"/>
    </w:rPr>
  </w:style>
  <w:style w:type="character" w:customStyle="1" w:styleId="z00e1kladn00fd0020textchar1">
    <w:name w:val="z_00e1kladn_00fd_0020text__char1"/>
    <w:rsid w:val="004409A0"/>
    <w:rPr>
      <w:rFonts w:ascii="Times New Roman" w:hAnsi="Times New Roman" w:cs="Times New Roman" w:hint="default"/>
      <w:strike w:val="0"/>
      <w:dstrike w:val="0"/>
      <w:sz w:val="20"/>
      <w:szCs w:val="20"/>
      <w:u w:val="none"/>
      <w:effect w:val="none"/>
    </w:rPr>
  </w:style>
  <w:style w:type="paragraph" w:styleId="Textbubliny">
    <w:name w:val="Balloon Text"/>
    <w:basedOn w:val="Normlny"/>
    <w:link w:val="TextbublinyChar"/>
    <w:uiPriority w:val="99"/>
    <w:semiHidden/>
    <w:unhideWhenUsed/>
    <w:rsid w:val="0068363C"/>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3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2822">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79193188">
      <w:bodyDiv w:val="1"/>
      <w:marLeft w:val="0"/>
      <w:marRight w:val="0"/>
      <w:marTop w:val="0"/>
      <w:marBottom w:val="0"/>
      <w:divBdr>
        <w:top w:val="none" w:sz="0" w:space="0" w:color="auto"/>
        <w:left w:val="none" w:sz="0" w:space="0" w:color="auto"/>
        <w:bottom w:val="none" w:sz="0" w:space="0" w:color="auto"/>
        <w:right w:val="none" w:sz="0" w:space="0" w:color="auto"/>
      </w:divBdr>
    </w:div>
    <w:div w:id="1385450672">
      <w:bodyDiv w:val="1"/>
      <w:marLeft w:val="0"/>
      <w:marRight w:val="0"/>
      <w:marTop w:val="0"/>
      <w:marBottom w:val="0"/>
      <w:divBdr>
        <w:top w:val="none" w:sz="0" w:space="0" w:color="auto"/>
        <w:left w:val="none" w:sz="0" w:space="0" w:color="auto"/>
        <w:bottom w:val="none" w:sz="0" w:space="0" w:color="auto"/>
        <w:right w:val="none" w:sz="0" w:space="0" w:color="auto"/>
      </w:divBdr>
    </w:div>
    <w:div w:id="199210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uropa.eu/en/publication-detail/-/publication/d79a105a-a6aa-11e9-9d01-01aa75ed71a1" TargetMode="External"/><Relationship Id="rId3" Type="http://schemas.openxmlformats.org/officeDocument/2006/relationships/settings" Target="settings.xml"/><Relationship Id="rId7" Type="http://schemas.openxmlformats.org/officeDocument/2006/relationships/hyperlink" Target="mailto:bojan.radovanovic@culture.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ultural-heritage-and-multilateralism2020.com/storage/documents/Illicid_report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0.2.2021 8:45:58"/>
    <f:field ref="objchangedby" par="" text="Administrator, System"/>
    <f:field ref="objmodifiedat" par="" text="10.2.2021 8:46:0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2053</Words>
  <Characters>11705</Characters>
  <Application>Microsoft Office Word</Application>
  <DocSecurity>0</DocSecurity>
  <Lines>97</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Radovanovič Bojan</cp:lastModifiedBy>
  <cp:revision>2</cp:revision>
  <cp:lastPrinted>2021-02-15T10:35:00Z</cp:lastPrinted>
  <dcterms:created xsi:type="dcterms:W3CDTF">2021-02-15T10:36:00Z</dcterms:created>
  <dcterms:modified xsi:type="dcterms:W3CDTF">2021-02-15T10:36:00Z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Opatrenie</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Kultúra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Dalibor Maťko</vt:lpwstr>
  </property>
  <property fmtid="{D5CDD505-2E9C-101B-9397-08002B2CF9AE}" pid="9" name="FSC#SKEDITIONSLOVLEX@103.510:zodppredkladatel">
    <vt:lpwstr>Mgr. Natália Milanová</vt:lpwstr>
  </property>
  <property fmtid="{D5CDD505-2E9C-101B-9397-08002B2CF9AE}" pid="10" name="FSC#SKEDITIONSLOVLEX@103.510:nazovpredpis">
    <vt:lpwstr> z ... 2020 č. MK-5782/2020-110/19273 o podrobnostiach poskytovania dotácií zo štátneho rozpočtu</vt:lpwstr>
  </property>
  <property fmtid="{D5CDD505-2E9C-101B-9397-08002B2CF9AE}" pid="11" name="FSC#SKEDITIONSLOVLEX@103.510:cislopredpis">
    <vt:lpwstr/>
  </property>
  <property fmtid="{D5CDD505-2E9C-101B-9397-08002B2CF9AE}" pid="12" name="FSC#SKEDITIONSLOVLEX@103.510:zodpinstitucia">
    <vt:lpwstr>Ministerstvo kultúry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 </vt:lpwstr>
  </property>
  <property fmtid="{D5CDD505-2E9C-101B-9397-08002B2CF9AE}" pid="16" name="FSC#SKEDITIONSLOVLEX@103.510:plnynazovpredpis">
    <vt:lpwstr> Opatrenie Ministerstva kultúry Slovenskej republiky z ... 2020 č. MK-5782/2020-110/19273 o podrobnostiach poskytovania dotácií zo štátneho rozpočtu</vt:lpwstr>
  </property>
  <property fmtid="{D5CDD505-2E9C-101B-9397-08002B2CF9AE}" pid="17" name="FSC#SKEDITIONSLOVLEX@103.510:rezortcislopredpis">
    <vt:lpwstr>MK-5899/2020-110/20149</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LP/2020/490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107 a 108 Zmluvy o fungovaní Európskej únie</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Pre posudzovanie žiadosti o poskytnutie dotácie odbornou komisiou je potrebné doplniť doplňujúce prílohy. V súčasnosti by prílohou k žiadosti boli len prílohy v zmysle zákona č. ...... Z. z. o poskytovaní dotácií v pôsobnosti Ministerstva kultúry Slovensk</vt:lpwstr>
  </property>
  <property fmtid="{D5CDD505-2E9C-101B-9397-08002B2CF9AE}" pid="57" name="FSC#SKEDITIONSLOVLEX@103.510:AttrStrListDocPropStanoviskoGest">
    <vt:lpwstr>&lt;p&gt;Na žiadosť Ministerstva kultúry Slovenskej republiky vyjadrila Stála pracovná komisia Legislatívnej rady vlády Slovenskej republiky pre posudzovanie vybraných vplyvov súhlasné stanovisko k&amp;nbsp;udeleniu výnimky pri uplatňovaní postupu podľa Jednotnej m</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
  </property>
  <property fmtid="{D5CDD505-2E9C-101B-9397-08002B2CF9AE}" pid="130" name="FSC#COOSYSTEM@1.1:Container">
    <vt:lpwstr>COO.2145.1000.3.4241457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justify;"&gt;Verejnosť bola o&amp;nbsp;príprave návrhu opatrenia Ministerstva kultúry Slovenskej republiky&amp;nbsp;o podrobnostiach poskytovania dotácií zo štátneho rozpočtu informovaná prostredníctvom predbežnej informácie k&amp;nbsp;predmetnému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vt:lpwstr>
  </property>
  <property fmtid="{D5CDD505-2E9C-101B-9397-08002B2CF9AE}" pid="145" name="FSC#SKEDITIONSLOVLEX@103.510:funkciaZodpPredAkuzativ">
    <vt:lpwstr>ministerku</vt:lpwstr>
  </property>
  <property fmtid="{D5CDD505-2E9C-101B-9397-08002B2CF9AE}" pid="146" name="FSC#SKEDITIONSLOVLEX@103.510:funkciaZodpPredDativ">
    <vt:lpwstr>ministerke</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Natália Milanová_x000d_
ministerka</vt:lpwstr>
  </property>
  <property fmtid="{D5CDD505-2E9C-101B-9397-08002B2CF9AE}" pid="151" name="FSC#SKEDITIONSLOVLEX@103.510:aktualnyrok">
    <vt:lpwstr>2021</vt:lpwstr>
  </property>
  <property fmtid="{D5CDD505-2E9C-101B-9397-08002B2CF9AE}" pid="152" name="FSC#SKEDITIONSLOVLEX@103.510:vytvorenedna">
    <vt:lpwstr>10. 2. 2021</vt:lpwstr>
  </property>
</Properties>
</file>