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77" w:rsidRPr="00806F77" w:rsidRDefault="00806F77" w:rsidP="000A032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5F1675"/>
          <w:sz w:val="35"/>
          <w:szCs w:val="35"/>
          <w:lang w:eastAsia="sk-SK"/>
        </w:rPr>
      </w:pPr>
      <w:bookmarkStart w:id="0" w:name="_GoBack"/>
      <w:bookmarkEnd w:id="0"/>
      <w:r w:rsidRPr="00806F77">
        <w:rPr>
          <w:rFonts w:ascii="Segoe UI" w:eastAsia="Times New Roman" w:hAnsi="Segoe UI" w:cs="Segoe UI"/>
          <w:color w:val="5F1675"/>
          <w:sz w:val="35"/>
          <w:szCs w:val="35"/>
          <w:lang w:eastAsia="sk-SK"/>
        </w:rPr>
        <w:t>115</w:t>
      </w:r>
    </w:p>
    <w:p w:rsidR="00806F77" w:rsidRPr="00806F77" w:rsidRDefault="00806F77" w:rsidP="000A032E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/>
          <w:bCs/>
          <w:color w:val="000000"/>
          <w:lang w:eastAsia="sk-SK"/>
        </w:rPr>
      </w:pPr>
      <w:r w:rsidRPr="00806F77">
        <w:rPr>
          <w:rFonts w:ascii="Segoe UI" w:eastAsia="Times New Roman" w:hAnsi="Segoe UI" w:cs="Segoe UI"/>
          <w:b/>
          <w:bCs/>
          <w:color w:val="000000"/>
          <w:lang w:eastAsia="sk-SK"/>
        </w:rPr>
        <w:t>NARIADENIE VLÁDY</w:t>
      </w:r>
    </w:p>
    <w:p w:rsidR="00806F77" w:rsidRPr="00806F77" w:rsidRDefault="00806F77" w:rsidP="000A032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lang w:eastAsia="sk-SK"/>
        </w:rPr>
      </w:pPr>
      <w:r w:rsidRPr="00806F77">
        <w:rPr>
          <w:rFonts w:ascii="Segoe UI" w:eastAsia="Times New Roman" w:hAnsi="Segoe UI" w:cs="Segoe UI"/>
          <w:b/>
          <w:bCs/>
          <w:color w:val="000000"/>
          <w:lang w:eastAsia="sk-SK"/>
        </w:rPr>
        <w:t>Slovenskej republiky</w:t>
      </w:r>
    </w:p>
    <w:p w:rsidR="00806F77" w:rsidRPr="00806F77" w:rsidRDefault="00806F77" w:rsidP="000A032E">
      <w:pPr>
        <w:shd w:val="clear" w:color="auto" w:fill="FFFFFF"/>
        <w:spacing w:after="100" w:line="240" w:lineRule="auto"/>
        <w:jc w:val="center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 28. marca 2018,</w:t>
      </w:r>
    </w:p>
    <w:p w:rsidR="000A032E" w:rsidRPr="00806F77" w:rsidRDefault="00806F77" w:rsidP="000A032E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/>
          <w:bCs/>
          <w:color w:val="000000"/>
          <w:lang w:eastAsia="sk-SK"/>
        </w:rPr>
      </w:pPr>
      <w:r w:rsidRPr="00806F77">
        <w:rPr>
          <w:rFonts w:ascii="Segoe UI" w:eastAsia="Times New Roman" w:hAnsi="Segoe UI" w:cs="Segoe UI"/>
          <w:b/>
          <w:bCs/>
          <w:color w:val="000000"/>
          <w:lang w:eastAsia="sk-SK"/>
        </w:rPr>
        <w:t>ktorým sa ustanovuje výška úhrad zdravotnej poisťovne za poskytovanie zubno-lekárskej pohotovostnej služby a ambulantnej pohotovostnej služby, spôsob výpočtu a pravidlá výpočtu týchto úhrad</w:t>
      </w:r>
      <w:r w:rsidR="000A032E">
        <w:rPr>
          <w:rFonts w:ascii="Segoe UI" w:eastAsia="Times New Roman" w:hAnsi="Segoe UI" w:cs="Segoe UI"/>
          <w:b/>
          <w:bCs/>
          <w:color w:val="000000"/>
          <w:lang w:eastAsia="sk-SK"/>
        </w:rPr>
        <w:t xml:space="preserve"> v znení </w:t>
      </w:r>
      <w:r w:rsidR="000A032E" w:rsidRPr="000A032E">
        <w:rPr>
          <w:rFonts w:ascii="Segoe UI" w:eastAsia="Times New Roman" w:hAnsi="Segoe UI" w:cs="Segoe UI"/>
          <w:b/>
          <w:bCs/>
          <w:color w:val="000000"/>
          <w:lang w:eastAsia="sk-SK"/>
        </w:rPr>
        <w:t>nariadenia vlády Slovenskej republik</w:t>
      </w:r>
      <w:r w:rsidR="000A032E">
        <w:rPr>
          <w:rFonts w:ascii="Segoe UI" w:eastAsia="Times New Roman" w:hAnsi="Segoe UI" w:cs="Segoe UI"/>
          <w:b/>
          <w:bCs/>
          <w:color w:val="000000"/>
          <w:lang w:eastAsia="sk-SK"/>
        </w:rPr>
        <w:t>y č. 58/2019 Z. z.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Vláda Slovenskej republiky podľa </w:t>
      </w:r>
      <w:hyperlink r:id="rId5" w:anchor="paragraf-8.odsek-6" w:tooltip="Odkaz na predpis alebo ustanovenie" w:history="1">
        <w:r w:rsidRPr="00806F7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u w:val="single"/>
            <w:lang w:eastAsia="sk-SK"/>
          </w:rPr>
          <w:t>§ 8 ods. 6</w:t>
        </w:r>
      </w:hyperlink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a </w:t>
      </w:r>
      <w:hyperlink r:id="rId6" w:anchor="paragraf-8.odsek-9" w:tooltip="Odkaz na predpis alebo ustanovenie" w:history="1">
        <w:r w:rsidRPr="00806F7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u w:val="single"/>
            <w:lang w:eastAsia="sk-SK"/>
          </w:rPr>
          <w:t>9 zákona č. 581/2004</w:t>
        </w:r>
      </w:hyperlink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Z. z. o zdravotných poisťovniach, dohľade nad zdravotnou starostlivosťou a o zmene a doplnení niektorých zákonov v znení zákona č. 257/2017 Z. z. nariaďuje: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1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Výška úhrady zdravotnej poisťovne poskytovateľovi zubno-lekárskej pohotovostnej služby</w:t>
      </w:r>
      <w:hyperlink r:id="rId7" w:anchor="poznamky.poznamka-1" w:tooltip="Odkaz na predpis alebo ustanovenie" w:history="1">
        <w:r w:rsidRPr="00806F7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u w:val="single"/>
            <w:vertAlign w:val="superscript"/>
            <w:lang w:eastAsia="sk-SK"/>
          </w:rPr>
          <w:t>1</w:t>
        </w:r>
        <w:r w:rsidRPr="00806F7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u w:val="single"/>
            <w:lang w:eastAsia="sk-SK"/>
          </w:rPr>
          <w:t>)</w:t>
        </w:r>
      </w:hyperlink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za poskytnutú zdravotnú starostlivosť, výška úhrady zdravotnej poisťovne za poskytnutú zdravotnú starostlivosť v ambulancii pevnej ambulantnej pohotovostnej služby</w:t>
      </w:r>
      <w:hyperlink r:id="rId8" w:anchor="poznamky.poznamka-2" w:tooltip="Odkaz na predpis alebo ustanovenie" w:history="1">
        <w:r w:rsidRPr="00806F7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u w:val="single"/>
            <w:vertAlign w:val="superscript"/>
            <w:lang w:eastAsia="sk-SK"/>
          </w:rPr>
          <w:t>2</w:t>
        </w:r>
        <w:r w:rsidRPr="00806F7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u w:val="single"/>
            <w:lang w:eastAsia="sk-SK"/>
          </w:rPr>
          <w:t>)</w:t>
        </w:r>
      </w:hyperlink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a výška úhrady zdravotnej poisťovne za poskytnutú zdravotnú starostlivosť v ambulancii doplnkovej ambulantnej pohotovostnej služby</w:t>
      </w:r>
      <w:hyperlink r:id="rId9" w:anchor="poznamky.poznamka-3" w:tooltip="Odkaz na predpis alebo ustanovenie" w:history="1">
        <w:r w:rsidRPr="00806F7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u w:val="single"/>
            <w:vertAlign w:val="superscript"/>
            <w:lang w:eastAsia="sk-SK"/>
          </w:rPr>
          <w:t>3</w:t>
        </w:r>
        <w:r w:rsidRPr="00806F7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u w:val="single"/>
            <w:lang w:eastAsia="sk-SK"/>
          </w:rPr>
          <w:t>)</w:t>
        </w:r>
      </w:hyperlink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sa určuje podľa zdravotných výkonov poskytovaných v rámci ambulantnej zdravotnej starostlivosti podľa osobitného predpisu.</w:t>
      </w:r>
      <w:hyperlink r:id="rId10" w:anchor="poznamky.poznamka-4" w:tooltip="Odkaz na predpis alebo ustanovenie" w:history="1">
        <w:r w:rsidRPr="00806F7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u w:val="single"/>
            <w:vertAlign w:val="superscript"/>
            <w:lang w:eastAsia="sk-SK"/>
          </w:rPr>
          <w:t>4</w:t>
        </w:r>
        <w:r w:rsidRPr="00806F7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u w:val="single"/>
            <w:lang w:eastAsia="sk-SK"/>
          </w:rPr>
          <w:t>)</w:t>
        </w:r>
      </w:hyperlink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Zdravotné výkony sa ohodnocujú počtom bodov uvedených v prílohe.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2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Základom pre výpočet výšky úhrady zdravotnej poisťovne poskytovateľovi zubno-lekárskej pohotovostnej služby za poskytnutú zdravotnú starostlivosť je súčin bodového ohodnotenia zdravotného výkonu a výšky úhrady za jeden bod zdravotného výkonu. Maximálna výška úhrady za jeden bod zdravotného výkonu je 0,029875 eura.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K základu pre výpočet výšky úhrady podľa odseku 1 sa pripočítava výška úhrady na jedného poistenca verejného zdravotného poistenia</w:t>
      </w:r>
      <w:hyperlink r:id="rId11" w:anchor="poznamky.poznamka-5" w:tooltip="Odkaz na predpis alebo ustanovenie" w:history="1">
        <w:r w:rsidRPr="00806F7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u w:val="single"/>
            <w:vertAlign w:val="superscript"/>
            <w:lang w:eastAsia="sk-SK"/>
          </w:rPr>
          <w:t>5</w:t>
        </w:r>
        <w:r w:rsidRPr="00806F7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u w:val="single"/>
            <w:lang w:eastAsia="sk-SK"/>
          </w:rPr>
          <w:t>)</w:t>
        </w:r>
      </w:hyperlink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mesačne. Maximálna výška úhrady na jedného poistenca verejného zdravotného poistenia mesačne je 0,032862 eura.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3</w:t>
      </w:r>
    </w:p>
    <w:p w:rsidR="00806F77" w:rsidRPr="00806F77" w:rsidRDefault="00806F77" w:rsidP="00806F77">
      <w:pPr>
        <w:shd w:val="clear" w:color="auto" w:fill="D6F9D9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806F77" w:rsidRPr="00806F77" w:rsidRDefault="00806F77" w:rsidP="00806F77">
      <w:pPr>
        <w:shd w:val="clear" w:color="auto" w:fill="D6F9D9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Výška paušálnej úhrady za poskytovanie zdravotnej starostlivosti v ambulancii pevnej ambulantnej pohotovostnej služby je </w:t>
      </w:r>
      <w:r w:rsidRPr="00806F77">
        <w:rPr>
          <w:rFonts w:ascii="Times New Roman" w:hAnsi="Times New Roman"/>
          <w:color w:val="FF0000"/>
          <w:sz w:val="24"/>
        </w:rPr>
        <w:t>10 303</w:t>
      </w: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eur mesačne na jednu ambulanciu pevnej ambulantnej pohotovostnej služby. Podiel zdravotnej poisťovne na paušálnej úhrade zodpovedá podielu poistencov zdravotnej poisťovne na celkovom počte poistencov pre príslušný kalendárny rok.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Základom pre výpočet výšky úhrady zdravotnej poisťovne za poskytnutú zdravotnú starostlivosť v ambulancii pevnej ambulantnej pohotovostnej služby je súčin bodového ohodnotenia zdravotného výkonu a výšky úhrady za jeden bod zdravotného výkonu. Minimálna výška úhrady za jeden bod zdravotného výkonu je 0,019916 eura.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(3)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Ak je podiel zdravotnej poisťovne na paušálnej úhrade podľa odseku 1 nižší ako základ pre výpočet výšky úhrady podľa odseku 2, k podielu zdravotnej poisťovne na paušálnej úhrade sa pripočítava rozdiel medzi základom pre výpočet výšky úhrady podľa odseku 2 a podielom zdravotnej poisťovne na paušálnej úhrade podľa odseku 1.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lastRenderedPageBreak/>
        <w:t>(4)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Ak sa v rámci pevnej ambulantnej pohotovostnej služby poskytuje návštevná služba, k výške úhrady vypočítanej podľa odsekov 1 až 3 sa pripočítava výška úhrady za dopravu lekára. Maximálna výška úhrady za dopravu lekára je 0,50 eura za jeden kilometer jazdy.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4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Výška úhrady zdravotnej poisťovne za poskytnutú zdravotnú starostlivosť v ambulancii doplnkovej ambulantnej pohotovostnej služby sa vypočítava ako súčin bodového ohodnotenia zdravotného výkonu a výšky úhrady za jeden bod zdravotného výkonu. Minimálna výška úhrady za jeden bod zdravotného výkonu je 0,019916 eura.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5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Toto nariadenie vlády nadobúda účinnosť 15. apríla 2018.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Peter Pellegrini v. r.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1)</w:t>
      </w:r>
    </w:p>
    <w:p w:rsidR="00806F77" w:rsidRPr="00806F77" w:rsidRDefault="00021FB9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hyperlink r:id="rId12" w:anchor="paragraf-2.odsek-29" w:tooltip="Odkaz na predpis alebo ustanovenie" w:history="1">
        <w:r w:rsidR="00806F77" w:rsidRPr="00806F77">
          <w:rPr>
            <w:rFonts w:ascii="Segoe UI" w:eastAsia="Times New Roman" w:hAnsi="Segoe UI" w:cs="Segoe UI"/>
            <w:i/>
            <w:iCs/>
            <w:color w:val="5B677D"/>
            <w:sz w:val="21"/>
            <w:szCs w:val="21"/>
            <w:u w:val="single"/>
            <w:lang w:eastAsia="sk-SK"/>
          </w:rPr>
          <w:t>§ 2 ods. 29 zákona č. 576/2004</w:t>
        </w:r>
      </w:hyperlink>
      <w:r w:rsidR="00806F77"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Z. z. o zdravotnej starostlivosti, službách súvisiacich s poskytovaním zdravotnej starostlivosti a o zmene a doplnení niektorých zákonov v znení zákona č. 257/2017 Z. z.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2)</w:t>
      </w:r>
    </w:p>
    <w:p w:rsidR="00806F77" w:rsidRPr="00806F77" w:rsidRDefault="00021FB9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hyperlink r:id="rId13" w:anchor="paragraf-7.odsek-3.pismeno-a.bod-3.bod-3a" w:tooltip="Odkaz na predpis alebo ustanovenie" w:history="1">
        <w:r w:rsidR="00806F77" w:rsidRPr="00806F77">
          <w:rPr>
            <w:rFonts w:ascii="Segoe UI" w:eastAsia="Times New Roman" w:hAnsi="Segoe UI" w:cs="Segoe UI"/>
            <w:i/>
            <w:iCs/>
            <w:color w:val="5B677D"/>
            <w:sz w:val="21"/>
            <w:szCs w:val="21"/>
            <w:u w:val="single"/>
            <w:lang w:eastAsia="sk-SK"/>
          </w:rPr>
          <w:t>§ 7 ods. 3 písm. a) bod 3a zákona č. 578/2004</w:t>
        </w:r>
      </w:hyperlink>
      <w:r w:rsidR="00806F77"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Z. z. o poskytovateľoch zdravotnej starostlivosti, zdravotníckych pracovníkoch, stavovských organizáciách v zdravotníctve a o zmene a doplnení niektorých zákonov v znení zákona č. 257/2017 Z. z.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3)</w:t>
      </w:r>
    </w:p>
    <w:p w:rsidR="00806F77" w:rsidRPr="00806F77" w:rsidRDefault="00021FB9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hyperlink r:id="rId14" w:anchor="paragraf-7.odsek-3.pismeno-a.bod-3.bod-3b" w:tooltip="Odkaz na predpis alebo ustanovenie" w:history="1">
        <w:r w:rsidR="00806F77" w:rsidRPr="00806F77">
          <w:rPr>
            <w:rFonts w:ascii="Segoe UI" w:eastAsia="Times New Roman" w:hAnsi="Segoe UI" w:cs="Segoe UI"/>
            <w:i/>
            <w:iCs/>
            <w:color w:val="5B677D"/>
            <w:sz w:val="21"/>
            <w:szCs w:val="21"/>
            <w:u w:val="single"/>
            <w:lang w:eastAsia="sk-SK"/>
          </w:rPr>
          <w:t>§ 7 ods. 3 písm. a) bod 3b zákona č. 578/2004</w:t>
        </w:r>
      </w:hyperlink>
      <w:r w:rsidR="00806F77"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Z. z. v znení zákona č. 257/2017 Z. z.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4)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Nariadenie vlády Slovenskej republiky č. </w:t>
      </w:r>
      <w:hyperlink r:id="rId15" w:tooltip="Odkaz na predpis alebo ustanovenie" w:history="1">
        <w:r w:rsidRPr="00806F77">
          <w:rPr>
            <w:rFonts w:ascii="Segoe UI" w:eastAsia="Times New Roman" w:hAnsi="Segoe UI" w:cs="Segoe UI"/>
            <w:i/>
            <w:iCs/>
            <w:color w:val="5B677D"/>
            <w:sz w:val="21"/>
            <w:szCs w:val="21"/>
            <w:u w:val="single"/>
            <w:lang w:eastAsia="sk-SK"/>
          </w:rPr>
          <w:t>776/2004</w:t>
        </w:r>
      </w:hyperlink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Z. z., ktorým sa vydáva Katalóg zdravotných výkonov v znení nariadenia vlády Slovenskej republiky č. 223/2005 Z. z.</w:t>
      </w:r>
    </w:p>
    <w:p w:rsidR="00806F77" w:rsidRPr="00806F77" w:rsidRDefault="00806F77" w:rsidP="00806F7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5)</w:t>
      </w:r>
    </w:p>
    <w:p w:rsidR="00806F77" w:rsidRPr="00806F77" w:rsidRDefault="00021FB9" w:rsidP="00806F77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hyperlink r:id="rId16" w:anchor="paragraf-2.odsek-1.pismeno-a" w:tooltip="Odkaz na predpis alebo ustanovenie" w:history="1">
        <w:r w:rsidR="00806F77" w:rsidRPr="00806F77">
          <w:rPr>
            <w:rFonts w:ascii="Segoe UI" w:eastAsia="Times New Roman" w:hAnsi="Segoe UI" w:cs="Segoe UI"/>
            <w:i/>
            <w:iCs/>
            <w:color w:val="5B677D"/>
            <w:sz w:val="21"/>
            <w:szCs w:val="21"/>
            <w:u w:val="single"/>
            <w:lang w:eastAsia="sk-SK"/>
          </w:rPr>
          <w:t>§ 2 ods. 1 písm. a) zákona č. 580/2004</w:t>
        </w:r>
      </w:hyperlink>
      <w:r w:rsidR="00806F77" w:rsidRPr="00806F7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Z. z. zdravotnom poistení a o zmene a doplnení zákona č. 95/2002 Z. z. o poisťovníctve a o zmene a doplnení niektorých zákonov v znení neskorších predpisov.</w:t>
      </w:r>
    </w:p>
    <w:p w:rsidR="007D44D0" w:rsidRDefault="00021FB9"/>
    <w:sectPr w:rsidR="007D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77"/>
    <w:rsid w:val="00021FB9"/>
    <w:rsid w:val="000A032E"/>
    <w:rsid w:val="005035CA"/>
    <w:rsid w:val="00806F77"/>
    <w:rsid w:val="00A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06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06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58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55223089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6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53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8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092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11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86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90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148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2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893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4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4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6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389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2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80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896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548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0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2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820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026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34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614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115/20190301" TargetMode="External"/><Relationship Id="rId13" Type="http://schemas.openxmlformats.org/officeDocument/2006/relationships/hyperlink" Target="https://www.slov-lex.sk/pravne-predpisy/SK/ZZ/2004/57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8/115/20190301" TargetMode="External"/><Relationship Id="rId12" Type="http://schemas.openxmlformats.org/officeDocument/2006/relationships/hyperlink" Target="https://www.slov-lex.sk/pravne-predpisy/SK/ZZ/2004/576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lov-lex.sk/pravne-predpisy/SK/ZZ/2004/58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04/581/" TargetMode="External"/><Relationship Id="rId11" Type="http://schemas.openxmlformats.org/officeDocument/2006/relationships/hyperlink" Target="https://www.slov-lex.sk/pravne-predpisy/SK/ZZ/2018/115/20190301" TargetMode="External"/><Relationship Id="rId5" Type="http://schemas.openxmlformats.org/officeDocument/2006/relationships/hyperlink" Target="https://www.slov-lex.sk/pravne-predpisy/SK/ZZ/2004/581/" TargetMode="External"/><Relationship Id="rId15" Type="http://schemas.openxmlformats.org/officeDocument/2006/relationships/hyperlink" Target="https://www.slov-lex.sk/pravne-predpisy/SK/ZZ/2004/776/" TargetMode="External"/><Relationship Id="rId10" Type="http://schemas.openxmlformats.org/officeDocument/2006/relationships/hyperlink" Target="https://www.slov-lex.sk/pravne-predpisy/SK/ZZ/2018/115/20190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8/115/20190301" TargetMode="External"/><Relationship Id="rId14" Type="http://schemas.openxmlformats.org/officeDocument/2006/relationships/hyperlink" Target="https://www.slov-lex.sk/pravne-predpisy/SK/ZZ/2004/578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Petinka</cp:lastModifiedBy>
  <cp:revision>2</cp:revision>
  <dcterms:created xsi:type="dcterms:W3CDTF">2021-02-12T09:44:00Z</dcterms:created>
  <dcterms:modified xsi:type="dcterms:W3CDTF">2021-02-12T09:44:00Z</dcterms:modified>
</cp:coreProperties>
</file>