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A00D" w14:textId="77777777" w:rsidR="00292AA5" w:rsidRPr="00E95F9E" w:rsidRDefault="00292AA5" w:rsidP="00292AA5">
      <w:pPr>
        <w:pStyle w:val="Normlnywebov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E95F9E">
        <w:rPr>
          <w:b/>
          <w:bCs/>
          <w:sz w:val="20"/>
          <w:szCs w:val="20"/>
        </w:rPr>
        <w:t>Doložka vybraných vplyvov</w:t>
      </w:r>
    </w:p>
    <w:p w14:paraId="0ECBE91E" w14:textId="77777777" w:rsidR="00292AA5" w:rsidRPr="00E95F9E" w:rsidRDefault="00292AA5" w:rsidP="00292AA5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292AA5" w:rsidRPr="00E95F9E" w14:paraId="006092F8" w14:textId="77777777" w:rsidTr="009C4758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FBAE7EF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 w:rsidR="00292AA5" w:rsidRPr="00E95F9E" w14:paraId="6A17AD49" w14:textId="77777777" w:rsidTr="009C4758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3F2F117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 w:rsidR="00292AA5" w:rsidRPr="00E95F9E" w14:paraId="73187B41" w14:textId="77777777" w:rsidTr="009C4758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95FBEFD" w14:textId="226AD7AF" w:rsidR="00292AA5" w:rsidRDefault="00B025CB" w:rsidP="009C475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B025CB">
              <w:rPr>
                <w:rFonts w:ascii="Times" w:hAnsi="Times" w:cs="Times"/>
                <w:sz w:val="20"/>
                <w:szCs w:val="20"/>
              </w:rPr>
              <w:t xml:space="preserve">Návrh zákona, </w:t>
            </w:r>
            <w:r w:rsidR="007A6CE5" w:rsidRPr="007A6CE5">
              <w:rPr>
                <w:rFonts w:ascii="Times" w:hAnsi="Times" w:cs="Times"/>
                <w:sz w:val="20"/>
                <w:szCs w:val="20"/>
              </w:rPr>
              <w:t xml:space="preserve">ktorým sa mení a dopĺňa zákon č. 307/2016 Z. z. o </w:t>
            </w:r>
            <w:proofErr w:type="spellStart"/>
            <w:r w:rsidR="007A6CE5" w:rsidRPr="007A6CE5">
              <w:rPr>
                <w:rFonts w:ascii="Times" w:hAnsi="Times" w:cs="Times"/>
                <w:sz w:val="20"/>
                <w:szCs w:val="20"/>
              </w:rPr>
              <w:t>upomínacom</w:t>
            </w:r>
            <w:proofErr w:type="spellEnd"/>
            <w:r w:rsidR="007A6CE5" w:rsidRPr="007A6CE5">
              <w:rPr>
                <w:rFonts w:ascii="Times" w:hAnsi="Times" w:cs="Times"/>
                <w:sz w:val="20"/>
                <w:szCs w:val="20"/>
              </w:rPr>
              <w:t xml:space="preserve"> konaní a o doplnení niektorých zákonov a ktorým sa menia a dopĺňajú niektoré zákony</w:t>
            </w:r>
          </w:p>
          <w:p w14:paraId="592ECA6C" w14:textId="009664A5" w:rsidR="00A07BF9" w:rsidRPr="00E95F9E" w:rsidRDefault="00A07BF9" w:rsidP="009C475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92AA5" w:rsidRPr="00E95F9E" w14:paraId="08A3FE54" w14:textId="77777777" w:rsidTr="009C4758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D3D6DA5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292AA5" w:rsidRPr="00E95F9E" w14:paraId="127AE9B2" w14:textId="77777777" w:rsidTr="009C4758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6609683" w14:textId="77777777" w:rsidR="00292AA5" w:rsidRPr="00E95F9E" w:rsidRDefault="00292AA5" w:rsidP="009C4758">
            <w:pPr>
              <w:rPr>
                <w:rFonts w:ascii="Times" w:hAnsi="Times" w:cs="Times"/>
                <w:sz w:val="20"/>
                <w:szCs w:val="20"/>
              </w:rPr>
            </w:pPr>
            <w:r w:rsidRPr="00E95F9E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292AA5" w:rsidRPr="00E95F9E" w14:paraId="4E82402B" w14:textId="77777777" w:rsidTr="009C4758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641DCB" w14:textId="77777777" w:rsidR="00292AA5" w:rsidRPr="00E95F9E" w:rsidRDefault="00292AA5" w:rsidP="009C475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BD7BD33" w14:textId="77777777" w:rsidR="00292AA5" w:rsidRPr="00E95F9E" w:rsidRDefault="00292AA5" w:rsidP="009C4758">
            <w:pPr>
              <w:rPr>
                <w:rFonts w:ascii="Times" w:hAnsi="Times" w:cs="Times"/>
                <w:sz w:val="20"/>
                <w:szCs w:val="20"/>
              </w:rPr>
            </w:pPr>
            <w:r w:rsidRPr="00E95F9E">
              <w:rPr>
                <w:rFonts w:ascii="Times" w:hAnsi="Times" w:cs="Times"/>
                <w:sz w:val="20"/>
                <w:szCs w:val="20"/>
              </w:rPr>
              <w:t> </w:t>
            </w:r>
            <w:r w:rsidRPr="00E95F9E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E95F9E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92AA5" w:rsidRPr="00E95F9E" w14:paraId="082BF77D" w14:textId="77777777" w:rsidTr="009C4758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48829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B48853A" w14:textId="77777777" w:rsidR="00292AA5" w:rsidRPr="00E95F9E" w:rsidRDefault="00292AA5" w:rsidP="009C4758">
            <w:pPr>
              <w:rPr>
                <w:rFonts w:ascii="Times" w:hAnsi="Times" w:cs="Times"/>
                <w:sz w:val="20"/>
                <w:szCs w:val="20"/>
              </w:rPr>
            </w:pPr>
            <w:r w:rsidRPr="00E95F9E">
              <w:rPr>
                <w:rFonts w:ascii="Times" w:hAnsi="Times" w:cs="Times"/>
                <w:sz w:val="20"/>
                <w:szCs w:val="20"/>
              </w:rPr>
              <w:t> </w:t>
            </w:r>
            <w:r w:rsidRPr="00E95F9E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95F9E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92AA5" w:rsidRPr="00E95F9E" w14:paraId="2D94D9C5" w14:textId="77777777" w:rsidTr="009C4758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21BBA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6AE7394" w14:textId="77777777" w:rsidR="00292AA5" w:rsidRPr="00E95F9E" w:rsidRDefault="00292AA5" w:rsidP="009C4758">
            <w:pPr>
              <w:rPr>
                <w:rFonts w:ascii="Times" w:hAnsi="Times" w:cs="Times"/>
                <w:sz w:val="20"/>
                <w:szCs w:val="20"/>
              </w:rPr>
            </w:pPr>
            <w:r w:rsidRPr="00E95F9E">
              <w:rPr>
                <w:rFonts w:ascii="Times" w:hAnsi="Times" w:cs="Times"/>
                <w:sz w:val="20"/>
                <w:szCs w:val="20"/>
              </w:rPr>
              <w:t> </w:t>
            </w:r>
            <w:r w:rsidRPr="00E95F9E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E95F9E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92AA5" w:rsidRPr="00E95F9E" w14:paraId="57D3D548" w14:textId="77777777" w:rsidTr="009C4758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2732EB6" w14:textId="77777777" w:rsidR="00292AA5" w:rsidRPr="00E95F9E" w:rsidRDefault="00292AA5" w:rsidP="009C475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92AA5" w:rsidRPr="00E95F9E" w14:paraId="04D3FC66" w14:textId="77777777" w:rsidTr="009C4758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4AA0AD6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3A6EB239" w14:textId="4544819A" w:rsidR="00353D47" w:rsidRPr="00E95F9E" w:rsidRDefault="00292AA5" w:rsidP="00353D47">
            <w:pPr>
              <w:rPr>
                <w:rFonts w:ascii="Times" w:hAnsi="Times" w:cs="Times"/>
                <w:sz w:val="20"/>
                <w:szCs w:val="20"/>
              </w:rPr>
            </w:pPr>
            <w:r w:rsidRPr="00E95F9E">
              <w:rPr>
                <w:rFonts w:ascii="Times" w:hAnsi="Times" w:cs="Times"/>
                <w:sz w:val="20"/>
                <w:szCs w:val="20"/>
              </w:rPr>
              <w:t xml:space="preserve">Začiatok:     </w:t>
            </w:r>
            <w:r w:rsidR="002624EF">
              <w:rPr>
                <w:rFonts w:ascii="Times" w:hAnsi="Times" w:cs="Times"/>
                <w:sz w:val="20"/>
                <w:szCs w:val="20"/>
              </w:rPr>
              <w:t xml:space="preserve">December </w:t>
            </w:r>
            <w:r w:rsidR="00A07BF9">
              <w:rPr>
                <w:rFonts w:ascii="Times" w:hAnsi="Times" w:cs="Times"/>
                <w:sz w:val="20"/>
                <w:szCs w:val="20"/>
              </w:rPr>
              <w:t>2020</w:t>
            </w:r>
          </w:p>
          <w:p w14:paraId="43B7FF8F" w14:textId="77777777" w:rsidR="00292AA5" w:rsidRPr="00E95F9E" w:rsidRDefault="00292AA5" w:rsidP="00353D47">
            <w:pPr>
              <w:rPr>
                <w:rFonts w:ascii="Times" w:hAnsi="Times" w:cs="Times"/>
                <w:sz w:val="20"/>
                <w:szCs w:val="20"/>
              </w:rPr>
            </w:pPr>
            <w:r w:rsidRPr="00E95F9E">
              <w:rPr>
                <w:rFonts w:ascii="Times" w:hAnsi="Times" w:cs="Times"/>
                <w:sz w:val="20"/>
                <w:szCs w:val="20"/>
              </w:rPr>
              <w:t xml:space="preserve">Ukončenie:  </w:t>
            </w:r>
            <w:r w:rsidR="00A07BF9">
              <w:rPr>
                <w:rFonts w:ascii="Times" w:hAnsi="Times" w:cs="Times"/>
                <w:sz w:val="20"/>
                <w:szCs w:val="20"/>
              </w:rPr>
              <w:t>December 2020</w:t>
            </w:r>
          </w:p>
        </w:tc>
      </w:tr>
      <w:tr w:rsidR="00292AA5" w:rsidRPr="00E95F9E" w14:paraId="014A4133" w14:textId="77777777" w:rsidTr="009C4758">
        <w:trPr>
          <w:trHeight w:val="564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3869AAA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6DE83BC7" w14:textId="77777777" w:rsidR="00292AA5" w:rsidRPr="00E95F9E" w:rsidRDefault="00A07BF9" w:rsidP="009C4758">
            <w:pPr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December</w:t>
            </w:r>
            <w:r w:rsidR="00292AA5" w:rsidRPr="00E95F9E">
              <w:rPr>
                <w:rFonts w:ascii="Times" w:hAnsi="Times" w:cs="Times"/>
                <w:sz w:val="20"/>
                <w:szCs w:val="20"/>
              </w:rPr>
              <w:t xml:space="preserve"> 2020</w:t>
            </w:r>
          </w:p>
        </w:tc>
      </w:tr>
      <w:tr w:rsidR="00292AA5" w:rsidRPr="00E95F9E" w14:paraId="308DEFAA" w14:textId="77777777" w:rsidTr="009C4758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8B3F767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</w: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4B26F4E6" w14:textId="77777777" w:rsidR="00292AA5" w:rsidRPr="00E95F9E" w:rsidRDefault="00292AA5" w:rsidP="00A07BF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07BF9">
              <w:rPr>
                <w:rFonts w:ascii="Times" w:hAnsi="Times" w:cs="Times"/>
                <w:sz w:val="20"/>
                <w:szCs w:val="20"/>
              </w:rPr>
              <w:t>Február 2021</w:t>
            </w:r>
          </w:p>
        </w:tc>
      </w:tr>
    </w:tbl>
    <w:p w14:paraId="50300F4B" w14:textId="77777777" w:rsidR="00292AA5" w:rsidRPr="00E95F9E" w:rsidRDefault="00292AA5" w:rsidP="00292AA5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14:paraId="5EC79579" w14:textId="77777777" w:rsidR="00292AA5" w:rsidRPr="00E95F9E" w:rsidRDefault="00292AA5" w:rsidP="00292AA5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4917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6"/>
      </w:tblGrid>
      <w:tr w:rsidR="00292AA5" w:rsidRPr="00E95F9E" w14:paraId="7FAB1586" w14:textId="77777777" w:rsidTr="009C4758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9BE2C02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292AA5" w:rsidRPr="00E95F9E" w14:paraId="132AAD27" w14:textId="77777777" w:rsidTr="009C4758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70AC4C0" w14:textId="64B1B3F5" w:rsidR="00E95F9E" w:rsidRPr="00147696" w:rsidRDefault="00150E27" w:rsidP="00F062B1">
            <w:pPr>
              <w:pStyle w:val="AKS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základe platnej právnej úpravy </w:t>
            </w:r>
            <w:r w:rsidR="00065863">
              <w:rPr>
                <w:rFonts w:ascii="Times New Roman" w:hAnsi="Times New Roman"/>
              </w:rPr>
              <w:t>má</w:t>
            </w:r>
            <w:r w:rsidR="003B2A46">
              <w:rPr>
                <w:rFonts w:ascii="Times New Roman" w:hAnsi="Times New Roman"/>
              </w:rPr>
              <w:t xml:space="preserve"> žalovaný povinnosť </w:t>
            </w:r>
            <w:r w:rsidR="001A2B50">
              <w:rPr>
                <w:rFonts w:ascii="Times New Roman" w:hAnsi="Times New Roman"/>
              </w:rPr>
              <w:t>v </w:t>
            </w:r>
            <w:proofErr w:type="spellStart"/>
            <w:r w:rsidR="001A2B50">
              <w:rPr>
                <w:rFonts w:ascii="Times New Roman" w:hAnsi="Times New Roman"/>
              </w:rPr>
              <w:t>upomínacom</w:t>
            </w:r>
            <w:proofErr w:type="spellEnd"/>
            <w:r w:rsidR="001A2B50">
              <w:rPr>
                <w:rFonts w:ascii="Times New Roman" w:hAnsi="Times New Roman"/>
              </w:rPr>
              <w:t xml:space="preserve"> konaní </w:t>
            </w:r>
            <w:r w:rsidR="001A2B50" w:rsidRPr="001A2B50">
              <w:rPr>
                <w:rFonts w:ascii="Times New Roman" w:hAnsi="Times New Roman"/>
              </w:rPr>
              <w:t xml:space="preserve">podľa zákona č. 307/2016 Z. z. o </w:t>
            </w:r>
            <w:proofErr w:type="spellStart"/>
            <w:r w:rsidR="001A2B50" w:rsidRPr="001A2B50">
              <w:rPr>
                <w:rFonts w:ascii="Times New Roman" w:hAnsi="Times New Roman"/>
              </w:rPr>
              <w:t>upomínacom</w:t>
            </w:r>
            <w:proofErr w:type="spellEnd"/>
            <w:r w:rsidR="001A2B50" w:rsidRPr="001A2B50">
              <w:rPr>
                <w:rFonts w:ascii="Times New Roman" w:hAnsi="Times New Roman"/>
              </w:rPr>
              <w:t xml:space="preserve"> konaní a o doplnení niektorých zákonov</w:t>
            </w:r>
            <w:r w:rsidR="001A2B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 v konaní o platobnom rozkaze podľa Civilného sporového poriadku </w:t>
            </w:r>
            <w:r w:rsidRPr="00871F47">
              <w:rPr>
                <w:rFonts w:ascii="Times New Roman" w:hAnsi="Times New Roman"/>
              </w:rPr>
              <w:t>povinnosť vecne odôvodniť odpor proti platobnému rozkazu</w:t>
            </w:r>
            <w:r w:rsidR="008E0CB1">
              <w:rPr>
                <w:rFonts w:ascii="Times New Roman" w:hAnsi="Times New Roman"/>
              </w:rPr>
              <w:t>.</w:t>
            </w:r>
            <w:r w:rsidR="00326387">
              <w:rPr>
                <w:rFonts w:ascii="Times New Roman" w:hAnsi="Times New Roman"/>
              </w:rPr>
              <w:t xml:space="preserve"> Ak žalovaný uplatnený nárok spochybňuje, musí sa podľa súčasnej právnej úpravy brániť podaním odporu s vecným odôvodnením. Požiadavka v</w:t>
            </w:r>
            <w:r>
              <w:rPr>
                <w:rFonts w:ascii="Times New Roman" w:hAnsi="Times New Roman"/>
              </w:rPr>
              <w:t>ecné</w:t>
            </w:r>
            <w:r w:rsidR="00326387">
              <w:rPr>
                <w:rFonts w:ascii="Times New Roman" w:hAnsi="Times New Roman"/>
              </w:rPr>
              <w:t>ho odôvodnenia</w:t>
            </w:r>
            <w:r w:rsidR="00AA2E86">
              <w:rPr>
                <w:rFonts w:ascii="Times New Roman" w:hAnsi="Times New Roman"/>
              </w:rPr>
              <w:t xml:space="preserve"> odporu</w:t>
            </w:r>
            <w:r>
              <w:rPr>
                <w:rFonts w:ascii="Times New Roman" w:hAnsi="Times New Roman"/>
              </w:rPr>
              <w:t xml:space="preserve"> </w:t>
            </w:r>
            <w:r w:rsidR="00326387">
              <w:rPr>
                <w:rFonts w:ascii="Times New Roman" w:hAnsi="Times New Roman"/>
              </w:rPr>
              <w:t>môže</w:t>
            </w:r>
            <w:r w:rsidR="003B2A46">
              <w:rPr>
                <w:rFonts w:ascii="Times New Roman" w:hAnsi="Times New Roman"/>
              </w:rPr>
              <w:t xml:space="preserve"> najmä pre spotrebiteľov</w:t>
            </w:r>
            <w:r w:rsidR="00326387">
              <w:rPr>
                <w:rFonts w:ascii="Times New Roman" w:hAnsi="Times New Roman"/>
              </w:rPr>
              <w:t xml:space="preserve"> spôsobovať </w:t>
            </w:r>
            <w:r w:rsidR="00AA2E86">
              <w:rPr>
                <w:rFonts w:ascii="Times New Roman" w:hAnsi="Times New Roman"/>
              </w:rPr>
              <w:t>ťažkosti</w:t>
            </w:r>
            <w:r>
              <w:rPr>
                <w:rFonts w:ascii="Times New Roman" w:hAnsi="Times New Roman"/>
              </w:rPr>
              <w:t xml:space="preserve"> </w:t>
            </w:r>
            <w:r w:rsidR="00326387">
              <w:rPr>
                <w:rFonts w:ascii="Times New Roman" w:hAnsi="Times New Roman"/>
              </w:rPr>
              <w:t xml:space="preserve">(na príklad potreba v relatívne krátkom čase </w:t>
            </w:r>
            <w:r>
              <w:rPr>
                <w:rFonts w:ascii="Times New Roman" w:hAnsi="Times New Roman"/>
              </w:rPr>
              <w:t>vyhľadať právnu pomoc</w:t>
            </w:r>
            <w:r w:rsidR="00326387">
              <w:rPr>
                <w:rFonts w:ascii="Times New Roman" w:hAnsi="Times New Roman"/>
              </w:rPr>
              <w:t>)</w:t>
            </w:r>
            <w:r w:rsidR="00BA154B">
              <w:rPr>
                <w:rFonts w:ascii="Times New Roman" w:hAnsi="Times New Roman"/>
              </w:rPr>
              <w:t>.</w:t>
            </w:r>
            <w:r w:rsidR="001470A9">
              <w:rPr>
                <w:rFonts w:ascii="Times New Roman" w:hAnsi="Times New Roman"/>
              </w:rPr>
              <w:t xml:space="preserve"> </w:t>
            </w:r>
            <w:r w:rsidR="00E00920" w:rsidRPr="00147696">
              <w:rPr>
                <w:rFonts w:ascii="Times New Roman" w:hAnsi="Times New Roman"/>
              </w:rPr>
              <w:t xml:space="preserve">Na </w:t>
            </w:r>
            <w:r w:rsidR="009E0567" w:rsidRPr="00147696">
              <w:rPr>
                <w:rFonts w:ascii="Times New Roman" w:hAnsi="Times New Roman"/>
              </w:rPr>
              <w:t>základe predkladaného materiálu</w:t>
            </w:r>
            <w:r w:rsidR="00500CAF" w:rsidRPr="00147696">
              <w:rPr>
                <w:rFonts w:ascii="Times New Roman" w:hAnsi="Times New Roman"/>
              </w:rPr>
              <w:t xml:space="preserve"> </w:t>
            </w:r>
            <w:r w:rsidR="00E00920" w:rsidRPr="00147696">
              <w:rPr>
                <w:rFonts w:ascii="Times New Roman" w:hAnsi="Times New Roman"/>
              </w:rPr>
              <w:t xml:space="preserve">súd </w:t>
            </w:r>
            <w:r w:rsidR="009E0567" w:rsidRPr="00147696">
              <w:rPr>
                <w:rFonts w:ascii="Times New Roman" w:hAnsi="Times New Roman"/>
              </w:rPr>
              <w:t>zohľadní</w:t>
            </w:r>
            <w:r w:rsidR="00500CAF" w:rsidRPr="00147696">
              <w:rPr>
                <w:rFonts w:ascii="Times New Roman" w:hAnsi="Times New Roman"/>
              </w:rPr>
              <w:t xml:space="preserve"> skutočno</w:t>
            </w:r>
            <w:r w:rsidR="00885407">
              <w:rPr>
                <w:rFonts w:ascii="Times New Roman" w:hAnsi="Times New Roman"/>
              </w:rPr>
              <w:t>sť, že je žalovaný spotrebiteľ</w:t>
            </w:r>
            <w:r w:rsidR="00500CAF" w:rsidRPr="00147696">
              <w:rPr>
                <w:rFonts w:ascii="Times New Roman" w:hAnsi="Times New Roman"/>
              </w:rPr>
              <w:t xml:space="preserve"> a vecn</w:t>
            </w:r>
            <w:r w:rsidR="00A22689">
              <w:rPr>
                <w:rFonts w:ascii="Times New Roman" w:hAnsi="Times New Roman"/>
              </w:rPr>
              <w:t>e</w:t>
            </w:r>
            <w:r w:rsidR="00500CAF" w:rsidRPr="00147696">
              <w:rPr>
                <w:rFonts w:ascii="Times New Roman" w:hAnsi="Times New Roman"/>
              </w:rPr>
              <w:t xml:space="preserve"> </w:t>
            </w:r>
            <w:r w:rsidR="00A22689">
              <w:rPr>
                <w:rFonts w:ascii="Times New Roman" w:hAnsi="Times New Roman"/>
              </w:rPr>
              <w:t>odôvodnený odpor</w:t>
            </w:r>
            <w:r w:rsidR="009E0567" w:rsidRPr="00147696">
              <w:rPr>
                <w:rFonts w:ascii="Times New Roman" w:hAnsi="Times New Roman"/>
              </w:rPr>
              <w:t xml:space="preserve"> podan</w:t>
            </w:r>
            <w:r w:rsidR="00A22689">
              <w:rPr>
                <w:rFonts w:ascii="Times New Roman" w:hAnsi="Times New Roman"/>
              </w:rPr>
              <w:t>ý</w:t>
            </w:r>
            <w:r w:rsidR="009E0567" w:rsidRPr="00147696">
              <w:rPr>
                <w:rFonts w:ascii="Times New Roman" w:hAnsi="Times New Roman"/>
              </w:rPr>
              <w:t xml:space="preserve">  žalovaným ako spotrebiteľom</w:t>
            </w:r>
            <w:r w:rsidR="00500CAF" w:rsidRPr="00147696">
              <w:rPr>
                <w:rFonts w:ascii="Times New Roman" w:hAnsi="Times New Roman"/>
              </w:rPr>
              <w:t xml:space="preserve"> bude posudzovať </w:t>
            </w:r>
            <w:r w:rsidR="009E0567" w:rsidRPr="00147696">
              <w:rPr>
                <w:rFonts w:ascii="Times New Roman" w:hAnsi="Times New Roman"/>
              </w:rPr>
              <w:t>miernejšie</w:t>
            </w:r>
            <w:r w:rsidR="00044547" w:rsidRPr="00147696">
              <w:rPr>
                <w:rFonts w:ascii="Times New Roman" w:hAnsi="Times New Roman"/>
              </w:rPr>
              <w:t xml:space="preserve">. </w:t>
            </w:r>
            <w:bookmarkStart w:id="0" w:name="_GoBack"/>
            <w:bookmarkEnd w:id="0"/>
            <w:r w:rsidR="00F062B1">
              <w:rPr>
                <w:rFonts w:ascii="Times New Roman" w:hAnsi="Times New Roman"/>
              </w:rPr>
              <w:t>V</w:t>
            </w:r>
            <w:r w:rsidR="00A5226B">
              <w:rPr>
                <w:rFonts w:ascii="Times New Roman" w:hAnsi="Times New Roman"/>
              </w:rPr>
              <w:t>zhľadom na skutočnosť, že</w:t>
            </w:r>
            <w:r w:rsidR="005A3A79">
              <w:rPr>
                <w:rFonts w:ascii="Times New Roman" w:hAnsi="Times New Roman"/>
              </w:rPr>
              <w:t xml:space="preserve"> </w:t>
            </w:r>
            <w:proofErr w:type="spellStart"/>
            <w:r w:rsidR="005A3A79">
              <w:rPr>
                <w:rFonts w:ascii="Times New Roman" w:hAnsi="Times New Roman"/>
              </w:rPr>
              <w:t>upomínacie</w:t>
            </w:r>
            <w:proofErr w:type="spellEnd"/>
            <w:r w:rsidR="005A3A79">
              <w:rPr>
                <w:rFonts w:ascii="Times New Roman" w:hAnsi="Times New Roman"/>
              </w:rPr>
              <w:t xml:space="preserve"> konanie a konanie </w:t>
            </w:r>
            <w:r w:rsidR="005A3A79" w:rsidRPr="005A3A79">
              <w:rPr>
                <w:rFonts w:ascii="Times New Roman" w:hAnsi="Times New Roman"/>
              </w:rPr>
              <w:t>o platobnom rozkaze podľa Civilného sporového poriadku</w:t>
            </w:r>
            <w:r w:rsidR="005A3A79">
              <w:rPr>
                <w:rFonts w:ascii="Times New Roman" w:hAnsi="Times New Roman"/>
              </w:rPr>
              <w:t xml:space="preserve"> sú skrátené konania</w:t>
            </w:r>
            <w:r w:rsidR="00A5226B">
              <w:rPr>
                <w:rFonts w:ascii="Times New Roman" w:hAnsi="Times New Roman"/>
              </w:rPr>
              <w:t xml:space="preserve"> </w:t>
            </w:r>
            <w:r w:rsidR="005A3A79">
              <w:rPr>
                <w:rFonts w:ascii="Times New Roman" w:hAnsi="Times New Roman"/>
              </w:rPr>
              <w:t>v</w:t>
            </w:r>
            <w:r w:rsidR="00A5226B">
              <w:rPr>
                <w:rFonts w:ascii="Times New Roman" w:hAnsi="Times New Roman"/>
              </w:rPr>
              <w:t xml:space="preserve"> ktorých rozhodnutie vydáva predovšetkým súdny úradník, n</w:t>
            </w:r>
            <w:r w:rsidR="00444E65" w:rsidRPr="00147696">
              <w:rPr>
                <w:rFonts w:ascii="Times New Roman" w:hAnsi="Times New Roman"/>
              </w:rPr>
              <w:t>ávrhom</w:t>
            </w:r>
            <w:r w:rsidR="00AD1830" w:rsidRPr="00147696">
              <w:rPr>
                <w:rFonts w:ascii="Times New Roman" w:hAnsi="Times New Roman"/>
              </w:rPr>
              <w:t xml:space="preserve"> zákona</w:t>
            </w:r>
            <w:r w:rsidR="006B3C76" w:rsidRPr="00147696">
              <w:rPr>
                <w:rFonts w:ascii="Times New Roman" w:hAnsi="Times New Roman"/>
              </w:rPr>
              <w:t xml:space="preserve"> </w:t>
            </w:r>
            <w:r w:rsidR="00044547" w:rsidRPr="00147696">
              <w:rPr>
                <w:rFonts w:ascii="Times New Roman" w:hAnsi="Times New Roman"/>
              </w:rPr>
              <w:t xml:space="preserve">sa rovnako zavádza povinnosť vyššieho súdneho úradníka predložiť vec na posúdenie sudcovi, ak sa </w:t>
            </w:r>
            <w:r w:rsidR="00147696" w:rsidRPr="00147696">
              <w:rPr>
                <w:rFonts w:ascii="Times New Roman" w:hAnsi="Times New Roman"/>
              </w:rPr>
              <w:t xml:space="preserve">v </w:t>
            </w:r>
            <w:proofErr w:type="spellStart"/>
            <w:r w:rsidR="00147696" w:rsidRPr="00147696">
              <w:rPr>
                <w:rFonts w:ascii="Times New Roman" w:hAnsi="Times New Roman"/>
              </w:rPr>
              <w:t>upomínacom</w:t>
            </w:r>
            <w:proofErr w:type="spellEnd"/>
            <w:r w:rsidR="00147696" w:rsidRPr="00147696">
              <w:rPr>
                <w:rFonts w:ascii="Times New Roman" w:hAnsi="Times New Roman"/>
              </w:rPr>
              <w:t xml:space="preserve"> konaní a </w:t>
            </w:r>
            <w:r w:rsidR="00444E65" w:rsidRPr="00147696">
              <w:rPr>
                <w:rFonts w:ascii="Times New Roman" w:hAnsi="Times New Roman"/>
              </w:rPr>
              <w:t xml:space="preserve">v konaní o platobnom rozkaze </w:t>
            </w:r>
            <w:r w:rsidR="00044547" w:rsidRPr="00147696">
              <w:rPr>
                <w:rFonts w:ascii="Times New Roman" w:hAnsi="Times New Roman"/>
              </w:rPr>
              <w:t>predpokladá posúdenie zmluvy alebo zmluvných dokumentov súvisiacich so spotrebiteľskou zmluvou s ohľadom na existenciu neprijateľ</w:t>
            </w:r>
            <w:r w:rsidR="00444E65" w:rsidRPr="00147696">
              <w:rPr>
                <w:rFonts w:ascii="Times New Roman" w:hAnsi="Times New Roman"/>
              </w:rPr>
              <w:t>ných zmluvných podmienok, ktoré</w:t>
            </w:r>
            <w:r w:rsidR="00044547" w:rsidRPr="00147696">
              <w:rPr>
                <w:rFonts w:ascii="Times New Roman" w:hAnsi="Times New Roman"/>
              </w:rPr>
              <w:t xml:space="preserve"> ešte neboli posudzované v už právoplatne skončenom konaní. </w:t>
            </w:r>
            <w:r w:rsidR="00EE2318" w:rsidRPr="00147696">
              <w:rPr>
                <w:rFonts w:ascii="Times New Roman" w:hAnsi="Times New Roman"/>
              </w:rPr>
              <w:t xml:space="preserve">Navrhovanou právnou úpravou </w:t>
            </w:r>
            <w:r w:rsidR="00EB7031" w:rsidRPr="00147696">
              <w:rPr>
                <w:rFonts w:ascii="Times New Roman" w:hAnsi="Times New Roman"/>
              </w:rPr>
              <w:t xml:space="preserve">sa má </w:t>
            </w:r>
            <w:r w:rsidR="004052C5" w:rsidRPr="00147696">
              <w:rPr>
                <w:rFonts w:ascii="Times New Roman" w:hAnsi="Times New Roman"/>
              </w:rPr>
              <w:t>zabezpečiť</w:t>
            </w:r>
            <w:r w:rsidR="001B08A7" w:rsidRPr="00147696">
              <w:rPr>
                <w:rFonts w:ascii="Times New Roman" w:hAnsi="Times New Roman"/>
              </w:rPr>
              <w:t xml:space="preserve"> lepšia prístupnosť </w:t>
            </w:r>
            <w:r w:rsidR="004052C5" w:rsidRPr="00147696">
              <w:rPr>
                <w:rFonts w:ascii="Times New Roman" w:hAnsi="Times New Roman"/>
              </w:rPr>
              <w:t>prostriedku</w:t>
            </w:r>
            <w:r w:rsidR="00730C26" w:rsidRPr="00147696">
              <w:rPr>
                <w:rFonts w:ascii="Times New Roman" w:hAnsi="Times New Roman"/>
              </w:rPr>
              <w:t xml:space="preserve"> procesnej obrany voči platobnému rozkazu</w:t>
            </w:r>
            <w:r w:rsidR="009A4AB7" w:rsidRPr="00147696">
              <w:rPr>
                <w:rFonts w:ascii="Times New Roman" w:hAnsi="Times New Roman"/>
              </w:rPr>
              <w:t xml:space="preserve"> pre spotrebiteľov</w:t>
            </w:r>
            <w:r w:rsidR="00EE2318" w:rsidRPr="00147696">
              <w:rPr>
                <w:rFonts w:ascii="Times New Roman" w:hAnsi="Times New Roman"/>
              </w:rPr>
              <w:t xml:space="preserve"> a zvýšená kontrola súdu pri posudzovaní neprijateľných zmluvných podmienok v spotrebiteľských zmluvách.</w:t>
            </w:r>
            <w:r w:rsidR="00520870">
              <w:rPr>
                <w:rFonts w:ascii="Times New Roman" w:hAnsi="Times New Roman"/>
              </w:rPr>
              <w:t xml:space="preserve"> </w:t>
            </w:r>
          </w:p>
        </w:tc>
      </w:tr>
      <w:tr w:rsidR="00292AA5" w:rsidRPr="00E95F9E" w14:paraId="5639F785" w14:textId="77777777" w:rsidTr="009C4758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7417BDF" w14:textId="77777777" w:rsidR="00292AA5" w:rsidRPr="00E95F9E" w:rsidRDefault="00292AA5" w:rsidP="009C4758">
            <w:pPr>
              <w:rPr>
                <w:b/>
                <w:bCs/>
                <w:sz w:val="20"/>
                <w:szCs w:val="20"/>
              </w:rPr>
            </w:pPr>
            <w:r w:rsidRPr="00E95F9E">
              <w:rPr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292AA5" w:rsidRPr="00E95F9E" w14:paraId="1F7D39AF" w14:textId="77777777" w:rsidTr="009C4758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8D99D89" w14:textId="77D842EF" w:rsidR="00292AA5" w:rsidRPr="00FE2827" w:rsidRDefault="001D5FBE" w:rsidP="001326A2">
            <w:pPr>
              <w:pStyle w:val="Normlnywebov"/>
              <w:spacing w:before="120" w:beforeAutospacing="0" w:after="0" w:afterAutospacing="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71F47">
              <w:rPr>
                <w:rFonts w:eastAsia="Calibri"/>
                <w:sz w:val="20"/>
                <w:szCs w:val="20"/>
                <w:lang w:eastAsia="en-US"/>
              </w:rPr>
              <w:t xml:space="preserve">Cieľom materiálu je prehodnotenie právnej úpravy </w:t>
            </w:r>
            <w:proofErr w:type="spellStart"/>
            <w:r w:rsidRPr="00871F47">
              <w:rPr>
                <w:rFonts w:eastAsia="Calibri"/>
                <w:sz w:val="20"/>
                <w:szCs w:val="20"/>
                <w:lang w:eastAsia="en-US"/>
              </w:rPr>
              <w:t>upomínacieho</w:t>
            </w:r>
            <w:proofErr w:type="spellEnd"/>
            <w:r w:rsidRPr="00871F47">
              <w:rPr>
                <w:rFonts w:eastAsia="Calibri"/>
                <w:sz w:val="20"/>
                <w:szCs w:val="20"/>
                <w:lang w:eastAsia="en-US"/>
              </w:rPr>
              <w:t xml:space="preserve"> konania</w:t>
            </w:r>
            <w:r w:rsidR="003A6B45">
              <w:t xml:space="preserve"> </w:t>
            </w:r>
            <w:r w:rsidR="003A6B45" w:rsidRPr="003A6B45">
              <w:rPr>
                <w:rFonts w:eastAsia="Calibri"/>
                <w:sz w:val="20"/>
                <w:szCs w:val="20"/>
                <w:lang w:eastAsia="en-US"/>
              </w:rPr>
              <w:t xml:space="preserve">v zákone č. 307/2016 Z. z. o </w:t>
            </w:r>
            <w:proofErr w:type="spellStart"/>
            <w:r w:rsidR="003A6B45" w:rsidRPr="003A6B45">
              <w:rPr>
                <w:rFonts w:eastAsia="Calibri"/>
                <w:sz w:val="20"/>
                <w:szCs w:val="20"/>
                <w:lang w:eastAsia="en-US"/>
              </w:rPr>
              <w:t>upomínacom</w:t>
            </w:r>
            <w:proofErr w:type="spellEnd"/>
            <w:r w:rsidR="003A6B45" w:rsidRPr="003A6B45">
              <w:rPr>
                <w:rFonts w:eastAsia="Calibri"/>
                <w:sz w:val="20"/>
                <w:szCs w:val="20"/>
                <w:lang w:eastAsia="en-US"/>
              </w:rPr>
              <w:t xml:space="preserve"> konaní a o doplnení niektorých zákonov</w:t>
            </w:r>
            <w:r w:rsidR="003A6B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71F47">
              <w:rPr>
                <w:rFonts w:eastAsia="Calibri"/>
                <w:sz w:val="20"/>
                <w:szCs w:val="20"/>
                <w:lang w:eastAsia="en-US"/>
              </w:rPr>
              <w:t>a konania o platobnom rozkaze v</w:t>
            </w:r>
            <w:r w:rsidR="003A6B45">
              <w:rPr>
                <w:rFonts w:eastAsia="Calibri"/>
                <w:sz w:val="20"/>
                <w:szCs w:val="20"/>
                <w:lang w:eastAsia="en-US"/>
              </w:rPr>
              <w:t> Civilnom sporovom poriadku</w:t>
            </w:r>
            <w:r w:rsidRPr="00871F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033C2">
              <w:rPr>
                <w:rFonts w:eastAsia="Calibri"/>
                <w:sz w:val="20"/>
                <w:szCs w:val="20"/>
                <w:lang w:eastAsia="en-US"/>
              </w:rPr>
              <w:t xml:space="preserve">v spojitosti s povinnosťou </w:t>
            </w:r>
            <w:r w:rsidR="001F1F0F">
              <w:rPr>
                <w:rFonts w:eastAsia="Calibri"/>
                <w:sz w:val="20"/>
                <w:szCs w:val="20"/>
                <w:lang w:eastAsia="en-US"/>
              </w:rPr>
              <w:t xml:space="preserve">súdu </w:t>
            </w:r>
            <w:r w:rsidR="00D033C2">
              <w:rPr>
                <w:rFonts w:eastAsia="Calibri"/>
                <w:sz w:val="20"/>
                <w:szCs w:val="20"/>
                <w:lang w:eastAsia="en-US"/>
              </w:rPr>
              <w:t xml:space="preserve">miernejšie </w:t>
            </w:r>
            <w:r w:rsidR="00760395">
              <w:rPr>
                <w:rFonts w:eastAsia="Calibri"/>
                <w:sz w:val="20"/>
                <w:szCs w:val="20"/>
                <w:lang w:eastAsia="en-US"/>
              </w:rPr>
              <w:t>posudzovať vecn</w:t>
            </w:r>
            <w:r w:rsidR="00A22689">
              <w:rPr>
                <w:rFonts w:eastAsia="Calibri"/>
                <w:sz w:val="20"/>
                <w:szCs w:val="20"/>
                <w:lang w:eastAsia="en-US"/>
              </w:rPr>
              <w:t>e odôvodený odpor podaný</w:t>
            </w:r>
            <w:r w:rsidR="0076039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2689">
              <w:rPr>
                <w:rFonts w:eastAsia="Calibri"/>
                <w:sz w:val="20"/>
                <w:szCs w:val="20"/>
                <w:lang w:eastAsia="en-US"/>
              </w:rPr>
              <w:t>žalovaným</w:t>
            </w:r>
            <w:r w:rsidR="0076039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326A2">
              <w:rPr>
                <w:rFonts w:eastAsia="Calibri"/>
                <w:sz w:val="20"/>
                <w:szCs w:val="20"/>
                <w:lang w:eastAsia="en-US"/>
              </w:rPr>
              <w:t>ako</w:t>
            </w:r>
            <w:r w:rsidR="00760395">
              <w:rPr>
                <w:rFonts w:eastAsia="Calibri"/>
                <w:sz w:val="20"/>
                <w:szCs w:val="20"/>
                <w:lang w:eastAsia="en-US"/>
              </w:rPr>
              <w:t xml:space="preserve"> spotrebite</w:t>
            </w:r>
            <w:r w:rsidR="00A22689">
              <w:rPr>
                <w:rFonts w:eastAsia="Calibri"/>
                <w:sz w:val="20"/>
                <w:szCs w:val="20"/>
                <w:lang w:eastAsia="en-US"/>
              </w:rPr>
              <w:t>ľom</w:t>
            </w:r>
            <w:r w:rsidR="008450C9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1326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4532B">
              <w:rPr>
                <w:rFonts w:eastAsia="Calibri"/>
                <w:sz w:val="20"/>
                <w:szCs w:val="20"/>
                <w:lang w:eastAsia="en-US"/>
              </w:rPr>
              <w:t xml:space="preserve">V </w:t>
            </w:r>
            <w:proofErr w:type="spellStart"/>
            <w:r w:rsidR="00A4532B">
              <w:rPr>
                <w:rFonts w:eastAsia="Calibri"/>
                <w:sz w:val="20"/>
                <w:szCs w:val="20"/>
                <w:lang w:eastAsia="en-US"/>
              </w:rPr>
              <w:t>upomínacom</w:t>
            </w:r>
            <w:proofErr w:type="spellEnd"/>
            <w:r w:rsidR="00A4532B">
              <w:rPr>
                <w:rFonts w:eastAsia="Calibri"/>
                <w:sz w:val="20"/>
                <w:szCs w:val="20"/>
                <w:lang w:eastAsia="en-US"/>
              </w:rPr>
              <w:t xml:space="preserve"> konaní a konaní o platobnom rozkaze sa s</w:t>
            </w:r>
            <w:r w:rsidR="008450C9" w:rsidRPr="008450C9">
              <w:rPr>
                <w:rFonts w:eastAsia="Calibri"/>
                <w:sz w:val="20"/>
                <w:szCs w:val="20"/>
                <w:lang w:eastAsia="en-US"/>
              </w:rPr>
              <w:t xml:space="preserve">účasne navrhuje </w:t>
            </w:r>
            <w:r w:rsidR="000A7641" w:rsidRPr="008450C9">
              <w:rPr>
                <w:rFonts w:eastAsia="Calibri"/>
                <w:sz w:val="20"/>
                <w:szCs w:val="20"/>
                <w:lang w:eastAsia="en-US"/>
              </w:rPr>
              <w:t>upraviť</w:t>
            </w:r>
            <w:r w:rsidR="000A76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450C9">
              <w:rPr>
                <w:rFonts w:eastAsia="Calibri"/>
                <w:sz w:val="20"/>
                <w:szCs w:val="20"/>
                <w:lang w:eastAsia="en-US"/>
              </w:rPr>
              <w:t xml:space="preserve">povinnosť </w:t>
            </w:r>
            <w:r w:rsidR="00FF4C8C">
              <w:rPr>
                <w:rFonts w:eastAsia="Calibri"/>
                <w:sz w:val="20"/>
                <w:szCs w:val="20"/>
                <w:lang w:eastAsia="en-US"/>
              </w:rPr>
              <w:t xml:space="preserve">vyššieho súdneho úradník </w:t>
            </w:r>
            <w:r w:rsidR="00E51CC5">
              <w:rPr>
                <w:rFonts w:eastAsia="Calibri"/>
                <w:sz w:val="20"/>
                <w:szCs w:val="20"/>
                <w:lang w:eastAsia="en-US"/>
              </w:rPr>
              <w:t xml:space="preserve">predložiť sudcovi na posúdenie vec, ktorá sa týka </w:t>
            </w:r>
            <w:r w:rsidR="00E51CC5" w:rsidRPr="00FF4C8C">
              <w:rPr>
                <w:rFonts w:eastAsia="Calibri"/>
                <w:sz w:val="20"/>
                <w:szCs w:val="20"/>
                <w:lang w:eastAsia="en-US"/>
              </w:rPr>
              <w:t>zmluvy alebo zmluvných dokumentov súvisiacich so spotrebiteľskou zmluvou</w:t>
            </w:r>
            <w:r w:rsidR="00E51CC5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52087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B3A63" w:rsidRPr="009B3A63">
              <w:rPr>
                <w:rFonts w:eastAsia="Calibri"/>
                <w:sz w:val="20"/>
                <w:szCs w:val="20"/>
                <w:lang w:eastAsia="en-US"/>
              </w:rPr>
              <w:t xml:space="preserve">Návrhom zákona sa zároveň zjednocuje právna úprava procesného postupu v </w:t>
            </w:r>
            <w:proofErr w:type="spellStart"/>
            <w:r w:rsidR="009B3A63" w:rsidRPr="009B3A63">
              <w:rPr>
                <w:rFonts w:eastAsia="Calibri"/>
                <w:sz w:val="20"/>
                <w:szCs w:val="20"/>
                <w:lang w:eastAsia="en-US"/>
              </w:rPr>
              <w:t>upomínacom</w:t>
            </w:r>
            <w:proofErr w:type="spellEnd"/>
            <w:r w:rsidR="009B3A63" w:rsidRPr="009B3A63">
              <w:rPr>
                <w:rFonts w:eastAsia="Calibri"/>
                <w:sz w:val="20"/>
                <w:szCs w:val="20"/>
                <w:lang w:eastAsia="en-US"/>
              </w:rPr>
              <w:t xml:space="preserve"> konaní podľa zákona č. 307/2016 Z. z. o </w:t>
            </w:r>
            <w:proofErr w:type="spellStart"/>
            <w:r w:rsidR="009B3A63" w:rsidRPr="009B3A63">
              <w:rPr>
                <w:rFonts w:eastAsia="Calibri"/>
                <w:sz w:val="20"/>
                <w:szCs w:val="20"/>
                <w:lang w:eastAsia="en-US"/>
              </w:rPr>
              <w:t>upomínacom</w:t>
            </w:r>
            <w:proofErr w:type="spellEnd"/>
            <w:r w:rsidR="009B3A63" w:rsidRPr="009B3A63">
              <w:rPr>
                <w:rFonts w:eastAsia="Calibri"/>
                <w:sz w:val="20"/>
                <w:szCs w:val="20"/>
                <w:lang w:eastAsia="en-US"/>
              </w:rPr>
              <w:t xml:space="preserve"> konaní a o doplnení niektorých zákonov a v konaní o platobnom rozkaze podľa Civilného sporového poriadku pri určení procesnoprávnej skutočnosti, ktorou nastáva zrušenie platobného rozkazu.</w:t>
            </w:r>
          </w:p>
        </w:tc>
      </w:tr>
      <w:tr w:rsidR="00292AA5" w:rsidRPr="00E95F9E" w14:paraId="73CA52C1" w14:textId="77777777" w:rsidTr="009C4758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21AA8CC" w14:textId="77777777" w:rsidR="00292AA5" w:rsidRPr="00E95F9E" w:rsidRDefault="00292AA5" w:rsidP="009C4758">
            <w:pPr>
              <w:rPr>
                <w:b/>
                <w:bCs/>
                <w:sz w:val="20"/>
                <w:szCs w:val="20"/>
              </w:rPr>
            </w:pPr>
            <w:r w:rsidRPr="00E95F9E">
              <w:rPr>
                <w:b/>
                <w:bCs/>
                <w:sz w:val="20"/>
                <w:szCs w:val="20"/>
              </w:rPr>
              <w:t xml:space="preserve"> 4.  Dotknuté subjekty</w:t>
            </w:r>
          </w:p>
        </w:tc>
      </w:tr>
      <w:tr w:rsidR="00292AA5" w:rsidRPr="00E95F9E" w14:paraId="24D7C02E" w14:textId="77777777" w:rsidTr="009C4758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3D59C3E" w14:textId="726F9F0E" w:rsidR="00292AA5" w:rsidRPr="00E95F9E" w:rsidRDefault="00292AA5" w:rsidP="00B76090">
            <w:pPr>
              <w:rPr>
                <w:rFonts w:ascii="Times" w:hAnsi="Times" w:cs="Times"/>
                <w:sz w:val="20"/>
                <w:szCs w:val="20"/>
              </w:rPr>
            </w:pPr>
            <w:r w:rsidRPr="00E95F9E">
              <w:rPr>
                <w:rFonts w:ascii="Times" w:hAnsi="Times" w:cs="Times"/>
                <w:sz w:val="20"/>
                <w:szCs w:val="20"/>
              </w:rPr>
              <w:lastRenderedPageBreak/>
              <w:t xml:space="preserve">Ministerstvo spravodlivosti Slovenskej republiky, súdy, fyzické osoby, právnické osoby. </w:t>
            </w:r>
          </w:p>
        </w:tc>
      </w:tr>
      <w:tr w:rsidR="00292AA5" w:rsidRPr="00E95F9E" w14:paraId="53157682" w14:textId="77777777" w:rsidTr="009C4758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3F46D65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</w:t>
            </w:r>
          </w:p>
        </w:tc>
      </w:tr>
      <w:tr w:rsidR="00292AA5" w:rsidRPr="00E95F9E" w14:paraId="2103AFD6" w14:textId="77777777" w:rsidTr="009C4758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C19B363" w14:textId="4906C0A1" w:rsidR="0011475C" w:rsidRPr="00462996" w:rsidRDefault="00593288" w:rsidP="00F062B1">
            <w:pPr>
              <w:jc w:val="both"/>
              <w:rPr>
                <w:bCs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zvažované a teda nie sú predkladané.</w:t>
            </w:r>
            <w:r w:rsidR="00B53DB2">
              <w:rPr>
                <w:rFonts w:ascii="Times" w:hAnsi="Times" w:cs="Times"/>
                <w:sz w:val="20"/>
                <w:szCs w:val="20"/>
              </w:rPr>
              <w:t xml:space="preserve"> Nulový variant, </w:t>
            </w:r>
            <w:proofErr w:type="spellStart"/>
            <w:r w:rsidR="00B53DB2">
              <w:rPr>
                <w:rFonts w:ascii="Times" w:hAnsi="Times" w:cs="Times"/>
                <w:sz w:val="20"/>
                <w:szCs w:val="20"/>
              </w:rPr>
              <w:t>t.j</w:t>
            </w:r>
            <w:proofErr w:type="spellEnd"/>
            <w:r w:rsidR="00B53DB2">
              <w:rPr>
                <w:rFonts w:ascii="Times" w:hAnsi="Times" w:cs="Times"/>
                <w:sz w:val="20"/>
                <w:szCs w:val="20"/>
              </w:rPr>
              <w:t>. zachovanie súčasného stavu je nežiaduce aj s ohľadom na vývoj judikatúry Súdneho dvora Európskej únie v ochrane spotrebiteľov (napr. rozhodnutie C-448/2017).</w:t>
            </w:r>
          </w:p>
        </w:tc>
      </w:tr>
      <w:tr w:rsidR="00292AA5" w:rsidRPr="00E95F9E" w14:paraId="59D2B2C8" w14:textId="77777777" w:rsidTr="009C4758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57D7A89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292AA5" w:rsidRPr="00E95F9E" w14:paraId="3B3B3190" w14:textId="77777777" w:rsidTr="009B3A63">
        <w:trPr>
          <w:trHeight w:val="387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3219AC5" w14:textId="77777777" w:rsidR="00292AA5" w:rsidRPr="00E95F9E" w:rsidRDefault="00227051" w:rsidP="00B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Predpokladá sa </w:t>
            </w:r>
            <w:r w:rsidR="00292AA5" w:rsidRPr="00E95F9E">
              <w:rPr>
                <w:sz w:val="20"/>
                <w:szCs w:val="20"/>
              </w:rPr>
              <w:t>prijatie/zmena vykonávacích predpisov?                </w:t>
            </w:r>
            <w:r w:rsidR="00B76090" w:rsidRPr="00E95F9E">
              <w:rPr>
                <w:sz w:val="20"/>
                <w:szCs w:val="20"/>
              </w:rPr>
              <w:t></w:t>
            </w:r>
            <w:r w:rsidR="00292AA5" w:rsidRPr="00E95F9E">
              <w:rPr>
                <w:sz w:val="20"/>
                <w:szCs w:val="20"/>
              </w:rPr>
              <w:t xml:space="preserve"> Áno        </w:t>
            </w:r>
            <w:r w:rsidR="00B76090" w:rsidRPr="00E95F9E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292AA5" w:rsidRPr="00E95F9E">
              <w:rPr>
                <w:sz w:val="20"/>
                <w:szCs w:val="20"/>
              </w:rPr>
              <w:t> Nie   </w:t>
            </w:r>
          </w:p>
        </w:tc>
      </w:tr>
      <w:tr w:rsidR="00292AA5" w:rsidRPr="00E95F9E" w14:paraId="54338B00" w14:textId="77777777" w:rsidTr="009C4758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8E92B6B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292AA5" w:rsidRPr="00E95F9E" w14:paraId="37EE0D37" w14:textId="77777777" w:rsidTr="009B3A63">
        <w:trPr>
          <w:trHeight w:val="385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86864C0" w14:textId="77777777" w:rsidR="00292AA5" w:rsidRPr="00E95F9E" w:rsidRDefault="00292AA5" w:rsidP="009C475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E95F9E">
              <w:rPr>
                <w:sz w:val="20"/>
                <w:szCs w:val="20"/>
              </w:rPr>
              <w:t>Nie.</w:t>
            </w:r>
          </w:p>
        </w:tc>
      </w:tr>
      <w:tr w:rsidR="00292AA5" w:rsidRPr="00E95F9E" w14:paraId="6F39C009" w14:textId="77777777" w:rsidTr="009C4758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27DCD4C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 w:rsidR="00292AA5" w:rsidRPr="00E95F9E" w14:paraId="47D9A652" w14:textId="77777777" w:rsidTr="009C4758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5891AE6" w14:textId="77777777" w:rsidR="00292AA5" w:rsidRPr="00E95F9E" w:rsidRDefault="00292AA5" w:rsidP="009C475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E95F9E">
              <w:rPr>
                <w:rFonts w:ascii="Times" w:hAnsi="Times" w:cs="Times"/>
                <w:sz w:val="20"/>
                <w:szCs w:val="20"/>
              </w:rPr>
              <w:t>Preskúmanie účelnosti navrhovaného materiálu bude vykonávané priebežne po nadobudnutí účinnosti a jeho aplikácii.</w:t>
            </w:r>
          </w:p>
        </w:tc>
      </w:tr>
    </w:tbl>
    <w:p w14:paraId="03CE7D8C" w14:textId="77777777" w:rsidR="00292AA5" w:rsidRPr="00E95F9E" w:rsidRDefault="00292AA5" w:rsidP="00292AA5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14:paraId="23B30A99" w14:textId="77777777" w:rsidR="00292AA5" w:rsidRPr="00E95F9E" w:rsidRDefault="00292AA5" w:rsidP="00292AA5">
      <w:pPr>
        <w:ind w:left="142" w:hanging="142"/>
        <w:rPr>
          <w:sz w:val="20"/>
          <w:szCs w:val="20"/>
        </w:rPr>
      </w:pPr>
      <w:r w:rsidRPr="00E95F9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26AA65E7" w14:textId="794EDE5B" w:rsidR="00292AA5" w:rsidRDefault="00292AA5" w:rsidP="00292AA5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E95F9E">
        <w:rPr>
          <w:sz w:val="20"/>
          <w:szCs w:val="20"/>
        </w:rPr>
        <w:t>** nepovinné</w:t>
      </w:r>
    </w:p>
    <w:p w14:paraId="61B5460A" w14:textId="77777777" w:rsidR="00B72E7A" w:rsidRPr="00E95F9E" w:rsidRDefault="00B72E7A" w:rsidP="00292AA5">
      <w:pPr>
        <w:pStyle w:val="Normlnywebov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B72E7A" w:rsidRPr="00B72E7A" w14:paraId="7262AAD7" w14:textId="77777777" w:rsidTr="009E5CAD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BD2004E" w14:textId="77777777" w:rsidR="00B72E7A" w:rsidRPr="00B72E7A" w:rsidRDefault="00B72E7A" w:rsidP="00B72E7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72E7A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B72E7A" w:rsidRPr="00B72E7A" w14:paraId="4FBC0772" w14:textId="77777777" w:rsidTr="009E5CAD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E40F9B5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B72E7A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7B7B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> 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5F8A6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800BF69" w14:textId="206BBCD6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CD7873">
              <w:rPr>
                <w:rFonts w:ascii="Times" w:hAnsi="Times" w:cs="Times"/>
                <w:sz w:val="20"/>
                <w:szCs w:val="20"/>
              </w:rPr>
              <w:t>   </w:t>
            </w:r>
            <w:r w:rsidRPr="00B72E7A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B72E7A" w:rsidRPr="00B72E7A" w14:paraId="6227CB06" w14:textId="77777777" w:rsidTr="009E5CA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7441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EBA3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> 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6FCE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6C01664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B72E7A" w:rsidRPr="00B72E7A" w14:paraId="1B89123B" w14:textId="77777777" w:rsidTr="009E5CAD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BA49712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B72E7A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46AF9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> 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Times" w:hAnsi="Times" w:cs="Times"/>
                <w:sz w:val="20"/>
                <w:szCs w:val="20"/>
              </w:rPr>
              <w:t> 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BFB4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36F2FC9" w14:textId="5BEF4178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> </w:t>
            </w:r>
            <w:r w:rsidR="00CD78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D7873"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D7873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B72E7A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B72E7A" w:rsidRPr="00B72E7A" w14:paraId="51FA8A81" w14:textId="77777777" w:rsidTr="009E5CA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D1D99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57150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> 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8F849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BE9C369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>  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72E7A" w:rsidRPr="00B72E7A" w14:paraId="2D87BACF" w14:textId="77777777" w:rsidTr="009E5CA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3A05E58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0387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72E7A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4164E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  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3F87405" w14:textId="6C913A70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CD7873">
              <w:rPr>
                <w:rFonts w:ascii="Times" w:hAnsi="Times" w:cs="Times"/>
                <w:sz w:val="20"/>
                <w:szCs w:val="20"/>
              </w:rPr>
              <w:t xml:space="preserve">   </w:t>
            </w:r>
            <w:r w:rsidRPr="00B72E7A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B72E7A" w:rsidRPr="00B72E7A" w14:paraId="044FFB2C" w14:textId="77777777" w:rsidTr="009E5CA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166C9E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1C5F0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3482C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694C4D5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72E7A" w:rsidRPr="00B72E7A" w14:paraId="0CE35929" w14:textId="77777777" w:rsidTr="009E5CA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B6367A8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C52FF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8FEF7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72E7A">
              <w:rPr>
                <w:rFonts w:ascii="Times" w:hAnsi="Times" w:cs="Times"/>
                <w:sz w:val="20"/>
                <w:szCs w:val="20"/>
              </w:rPr>
              <w:t>   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23A2D2A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72E7A" w:rsidRPr="00B72E7A" w14:paraId="21BC357C" w14:textId="77777777" w:rsidTr="009E5CAD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8E03684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B72E7A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B72E7A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B72E7A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82E67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br/>
              <w:t xml:space="preserve">  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E271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253BE66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72E7A" w:rsidRPr="00B72E7A" w14:paraId="3A57E54B" w14:textId="77777777" w:rsidTr="009E5CAD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9523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374F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  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B72E7A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9224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0132AA5" w14:textId="77777777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72E7A" w:rsidRPr="00B72E7A" w14:paraId="024BD8CC" w14:textId="77777777" w:rsidTr="006E606B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</w:tcPr>
          <w:p w14:paraId="5904308E" w14:textId="5ED7B2D6" w:rsidR="00B72E7A" w:rsidRPr="00B72E7A" w:rsidRDefault="00DA3DE8" w:rsidP="00B72E7A">
            <w:pPr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  <w:r w:rsidR="00B72E7A" w:rsidRPr="00B72E7A">
              <w:rPr>
                <w:rFonts w:ascii="Times" w:hAnsi="Times" w:cs="Times"/>
                <w:b/>
                <w:sz w:val="20"/>
                <w:szCs w:val="20"/>
              </w:rPr>
              <w:t xml:space="preserve">Vplyvy na manželstvo, rodičovstvo a </w:t>
            </w:r>
            <w:r>
              <w:rPr>
                <w:rFonts w:ascii="Times" w:hAnsi="Times" w:cs="Times"/>
                <w:b/>
                <w:sz w:val="20"/>
                <w:szCs w:val="20"/>
              </w:rPr>
              <w:t xml:space="preserve">  </w:t>
            </w:r>
            <w:r w:rsidR="00B72E7A" w:rsidRPr="00B72E7A">
              <w:rPr>
                <w:rFonts w:ascii="Times" w:hAnsi="Times" w:cs="Times"/>
                <w:b/>
                <w:sz w:val="20"/>
                <w:szCs w:val="20"/>
              </w:rPr>
              <w:t>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C7AE47" w14:textId="77777777" w:rsidR="00B72E7A" w:rsidRPr="00B72E7A" w:rsidRDefault="00B72E7A" w:rsidP="00B72E7A">
            <w:pPr>
              <w:ind w:left="-85"/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B72E7A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75827A" w14:textId="77777777" w:rsidR="00B72E7A" w:rsidRPr="00B72E7A" w:rsidRDefault="00B72E7A" w:rsidP="00B72E7A">
            <w:pPr>
              <w:ind w:left="-62"/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72E7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21B745C" w14:textId="235D61EC" w:rsidR="00B72E7A" w:rsidRPr="00B72E7A" w:rsidRDefault="00B72E7A" w:rsidP="00B72E7A">
            <w:pPr>
              <w:rPr>
                <w:rFonts w:ascii="Times" w:hAnsi="Times" w:cs="Times"/>
                <w:sz w:val="20"/>
                <w:szCs w:val="20"/>
              </w:rPr>
            </w:pPr>
            <w:r w:rsidRPr="00B72E7A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B72E7A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CD7873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B72E7A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</w:tbl>
    <w:p w14:paraId="2AB19A20" w14:textId="07D15596" w:rsidR="00B72E7A" w:rsidRPr="00E95F9E" w:rsidRDefault="00B72E7A" w:rsidP="00292AA5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504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292AA5" w:rsidRPr="00E95F9E" w14:paraId="1B4996FB" w14:textId="77777777" w:rsidTr="00C40273">
        <w:trPr>
          <w:trHeight w:val="569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2B02A09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 w:rsidR="00292AA5" w:rsidRPr="00E95F9E" w14:paraId="4C1C91F1" w14:textId="77777777" w:rsidTr="009B3A63">
        <w:trPr>
          <w:trHeight w:val="71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14:paraId="62D2CD58" w14:textId="0DCF8FD4" w:rsidR="002C1D12" w:rsidRPr="00E95F9E" w:rsidRDefault="002C1D12" w:rsidP="007364C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292AA5" w:rsidRPr="00E95F9E" w14:paraId="4BCAA251" w14:textId="77777777" w:rsidTr="00C40273">
        <w:trPr>
          <w:trHeight w:val="569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F17B6BE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292AA5" w:rsidRPr="00E95F9E" w14:paraId="5D5E33F0" w14:textId="77777777" w:rsidTr="00C40273">
        <w:trPr>
          <w:trHeight w:val="15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7C1CAAD" w14:textId="77777777" w:rsidR="007D1C9D" w:rsidRPr="00E95F9E" w:rsidRDefault="00D537F8" w:rsidP="007D1C9D">
            <w:pPr>
              <w:rPr>
                <w:rFonts w:eastAsiaTheme="minorEastAsia"/>
                <w:noProof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>Mgr. Milan Šimkovič</w:t>
            </w:r>
          </w:p>
          <w:p w14:paraId="2089331B" w14:textId="77777777" w:rsidR="007D1C9D" w:rsidRDefault="007D1C9D" w:rsidP="007D1C9D">
            <w:pPr>
              <w:rPr>
                <w:rFonts w:eastAsiaTheme="minorEastAsia"/>
                <w:noProof/>
                <w:sz w:val="20"/>
                <w:szCs w:val="20"/>
              </w:rPr>
            </w:pPr>
            <w:r w:rsidRPr="00E95F9E">
              <w:rPr>
                <w:rFonts w:eastAsiaTheme="minorEastAsia"/>
                <w:noProof/>
                <w:sz w:val="20"/>
                <w:szCs w:val="20"/>
              </w:rPr>
              <w:t xml:space="preserve">Sekcia legislatívy </w:t>
            </w:r>
          </w:p>
          <w:p w14:paraId="4A7A47A2" w14:textId="77777777" w:rsidR="007D1C9D" w:rsidRPr="00E95F9E" w:rsidRDefault="007D1C9D" w:rsidP="007D1C9D">
            <w:pPr>
              <w:rPr>
                <w:rFonts w:eastAsiaTheme="minorEastAsia"/>
                <w:noProof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 xml:space="preserve">Odbor legislatívy </w:t>
            </w:r>
            <w:r w:rsidRPr="00E95F9E">
              <w:rPr>
                <w:rFonts w:eastAsiaTheme="minorEastAsia"/>
                <w:noProof/>
                <w:sz w:val="20"/>
                <w:szCs w:val="20"/>
              </w:rPr>
              <w:t>občianskeho a obchodného práva</w:t>
            </w:r>
          </w:p>
          <w:p w14:paraId="501AEDDD" w14:textId="77777777" w:rsidR="007D1C9D" w:rsidRPr="00E95F9E" w:rsidRDefault="007D1C9D" w:rsidP="007D1C9D">
            <w:pPr>
              <w:rPr>
                <w:rFonts w:eastAsiaTheme="minorEastAsia"/>
                <w:noProof/>
                <w:sz w:val="20"/>
                <w:szCs w:val="20"/>
              </w:rPr>
            </w:pPr>
            <w:r w:rsidRPr="00E95F9E">
              <w:rPr>
                <w:rFonts w:eastAsiaTheme="minorEastAsia"/>
                <w:noProof/>
                <w:sz w:val="20"/>
                <w:szCs w:val="20"/>
              </w:rPr>
              <w:t>Ministerstvo spravodlivosti Slovenskej republiky</w:t>
            </w:r>
          </w:p>
          <w:p w14:paraId="34241339" w14:textId="77777777" w:rsidR="007D1C9D" w:rsidRPr="00E95F9E" w:rsidRDefault="007D1C9D" w:rsidP="007D1C9D">
            <w:pPr>
              <w:rPr>
                <w:rFonts w:eastAsiaTheme="minorEastAsia"/>
                <w:noProof/>
                <w:sz w:val="20"/>
                <w:szCs w:val="20"/>
              </w:rPr>
            </w:pPr>
            <w:r w:rsidRPr="00E95F9E">
              <w:rPr>
                <w:rFonts w:eastAsiaTheme="minorEastAsia"/>
                <w:noProof/>
                <w:sz w:val="20"/>
                <w:szCs w:val="20"/>
              </w:rPr>
              <w:t xml:space="preserve">Tel.: 02/ 888 </w:t>
            </w:r>
            <w:r w:rsidR="00D537F8">
              <w:rPr>
                <w:rFonts w:eastAsiaTheme="minorEastAsia"/>
                <w:noProof/>
                <w:sz w:val="20"/>
                <w:szCs w:val="20"/>
              </w:rPr>
              <w:t>91 228</w:t>
            </w:r>
          </w:p>
          <w:p w14:paraId="670246AC" w14:textId="77777777" w:rsidR="00292AA5" w:rsidRPr="00D537F8" w:rsidRDefault="007D1C9D" w:rsidP="00D537F8">
            <w:pPr>
              <w:spacing w:line="276" w:lineRule="auto"/>
            </w:pPr>
            <w:r w:rsidRPr="00D537F8">
              <w:rPr>
                <w:rFonts w:eastAsiaTheme="minorEastAsia"/>
                <w:noProof/>
                <w:sz w:val="20"/>
                <w:szCs w:val="20"/>
              </w:rPr>
              <w:t xml:space="preserve">Mail: </w:t>
            </w:r>
            <w:hyperlink r:id="rId7" w:history="1">
              <w:r w:rsidR="00D537F8" w:rsidRPr="00D537F8">
                <w:rPr>
                  <w:rStyle w:val="Hypertextovprepojenie"/>
                  <w:sz w:val="20"/>
                  <w:szCs w:val="20"/>
                </w:rPr>
                <w:t>milan.simkovic@justice.sk</w:t>
              </w:r>
            </w:hyperlink>
          </w:p>
        </w:tc>
      </w:tr>
      <w:tr w:rsidR="00292AA5" w:rsidRPr="00E95F9E" w14:paraId="2241B828" w14:textId="77777777" w:rsidTr="00C40273">
        <w:trPr>
          <w:trHeight w:val="595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1FB56E8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 w:rsidR="00292AA5" w:rsidRPr="00E95F9E" w14:paraId="6D27CFB2" w14:textId="77777777" w:rsidTr="009B3A63">
        <w:trPr>
          <w:trHeight w:val="689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E42A103" w14:textId="77777777" w:rsidR="00292AA5" w:rsidRPr="00E95F9E" w:rsidRDefault="00292AA5" w:rsidP="009C4758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Cs/>
                <w:sz w:val="20"/>
                <w:szCs w:val="20"/>
              </w:rPr>
              <w:t>Vlastná činnosť Ministerstva spravodlivosti Slovenskej republiky.</w:t>
            </w:r>
          </w:p>
        </w:tc>
      </w:tr>
      <w:tr w:rsidR="00292AA5" w:rsidRPr="00E95F9E" w14:paraId="63E6A865" w14:textId="77777777" w:rsidTr="00C40273">
        <w:trPr>
          <w:trHeight w:val="569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B57D72D" w14:textId="77777777" w:rsidR="00292AA5" w:rsidRPr="00E95F9E" w:rsidRDefault="00292AA5" w:rsidP="009C47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95F9E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13.  Stanovisko Komisie pre posudzovanie vybraných vplyvov z PPK</w:t>
            </w:r>
          </w:p>
        </w:tc>
      </w:tr>
      <w:tr w:rsidR="00292AA5" w:rsidRPr="00E95F9E" w14:paraId="31761D4F" w14:textId="77777777" w:rsidTr="009B3A63">
        <w:trPr>
          <w:trHeight w:val="896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943FB85" w14:textId="77777777" w:rsidR="00E155DB" w:rsidRPr="001B0CB4" w:rsidRDefault="00E155DB" w:rsidP="00E155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Style w:val="norm00e1lnychar1"/>
              </w:rPr>
              <w:t xml:space="preserve">II. </w:t>
            </w:r>
            <w:r w:rsidRPr="001B0CB4">
              <w:rPr>
                <w:rStyle w:val="norm00e1lnychar1"/>
                <w:b/>
              </w:rPr>
              <w:t>Stála pracovná komisia na posudzovanie vybraných vplyvov</w:t>
            </w:r>
            <w:r w:rsidRPr="001B0CB4">
              <w:rPr>
                <w:bCs/>
                <w:sz w:val="20"/>
                <w:szCs w:val="20"/>
              </w:rPr>
              <w:t xml:space="preserve"> uplatňuje k materiálu nasledovné </w:t>
            </w:r>
            <w:r w:rsidRPr="001B0CB4">
              <w:rPr>
                <w:b/>
                <w:bCs/>
                <w:sz w:val="20"/>
                <w:szCs w:val="20"/>
              </w:rPr>
              <w:t>pripomienky a odporúčania</w:t>
            </w:r>
            <w:r w:rsidRPr="001B0CB4">
              <w:rPr>
                <w:bCs/>
                <w:sz w:val="20"/>
                <w:szCs w:val="20"/>
              </w:rPr>
              <w:t>:</w:t>
            </w:r>
          </w:p>
          <w:p w14:paraId="6014E95E" w14:textId="77777777" w:rsidR="00E155DB" w:rsidRPr="001B0CB4" w:rsidRDefault="00E155DB" w:rsidP="00E155DB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</w:p>
          <w:p w14:paraId="1D49A300" w14:textId="77777777" w:rsidR="00E155DB" w:rsidRPr="001B0CB4" w:rsidRDefault="00E155DB" w:rsidP="00E155DB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0"/>
                <w:szCs w:val="20"/>
              </w:rPr>
            </w:pPr>
            <w:r w:rsidRPr="001B0CB4">
              <w:rPr>
                <w:b/>
                <w:bCs/>
                <w:sz w:val="20"/>
                <w:szCs w:val="20"/>
              </w:rPr>
              <w:t>K doložke vybraných vplyvov</w:t>
            </w:r>
          </w:p>
          <w:p w14:paraId="2CFF0766" w14:textId="77777777" w:rsidR="00E155DB" w:rsidRPr="001B0CB4" w:rsidRDefault="00E155DB" w:rsidP="00E155DB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  <w:r w:rsidRPr="001B0CB4">
              <w:rPr>
                <w:bCs/>
                <w:sz w:val="20"/>
                <w:szCs w:val="20"/>
              </w:rPr>
              <w:t>V doložke vybraných vplyvov Komisia odporúča predkladateľovi doplniť časť 5. Alternatívne riešenia v zmysle Jednotnej metodiky na posudzovanie vybraných vplyvov. V tejto časti je minimálne potrebné uviesť nulový variant, teda analýzu súčasného stavu, kde sa uvedú následky tohto stavu a zdôvodnenie, prečo je súčasné riešenie nedostatočné.</w:t>
            </w:r>
          </w:p>
          <w:p w14:paraId="4ECBAA12" w14:textId="77777777" w:rsidR="00E155DB" w:rsidRPr="001B0CB4" w:rsidRDefault="00E155DB" w:rsidP="00E155DB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  <w:r w:rsidRPr="001B0CB4">
              <w:rPr>
                <w:bCs/>
                <w:sz w:val="20"/>
                <w:szCs w:val="20"/>
              </w:rPr>
              <w:t> </w:t>
            </w:r>
          </w:p>
          <w:p w14:paraId="76486275" w14:textId="77777777" w:rsidR="00E155DB" w:rsidRPr="001B0CB4" w:rsidRDefault="00E155DB" w:rsidP="00E155DB">
            <w:pPr>
              <w:pStyle w:val="norm00e1lny"/>
              <w:spacing w:line="240" w:lineRule="atLeast"/>
              <w:jc w:val="both"/>
            </w:pPr>
            <w:r>
              <w:rPr>
                <w:rStyle w:val="norm00e1lnychar1"/>
              </w:rPr>
              <w:t xml:space="preserve">III. </w:t>
            </w:r>
            <w:r w:rsidRPr="001B0CB4">
              <w:rPr>
                <w:rStyle w:val="norm00e1lnychar1"/>
              </w:rPr>
              <w:t xml:space="preserve">Stála pracovná komisia na posudzovanie vybraných vplyvov vyjadruje </w:t>
            </w:r>
          </w:p>
          <w:p w14:paraId="259EAB91" w14:textId="43D4DD58" w:rsidR="00F062B1" w:rsidRPr="001B0CB4" w:rsidRDefault="00F062B1" w:rsidP="00F062B1">
            <w:pPr>
              <w:pStyle w:val="norm00e1lny"/>
            </w:pPr>
          </w:p>
          <w:p w14:paraId="53289A90" w14:textId="77777777" w:rsidR="00F062B1" w:rsidRPr="001B0CB4" w:rsidRDefault="00F062B1" w:rsidP="00F062B1">
            <w:pPr>
              <w:pStyle w:val="norm00e1lny"/>
              <w:spacing w:line="240" w:lineRule="atLeast"/>
              <w:jc w:val="center"/>
            </w:pPr>
            <w:r w:rsidRPr="001B0CB4">
              <w:rPr>
                <w:rStyle w:val="norm00e1lnychar1"/>
                <w:b/>
                <w:bCs/>
              </w:rPr>
              <w:t>súhlasné stanovisko s návrhom na dopracovanie</w:t>
            </w:r>
          </w:p>
          <w:p w14:paraId="57BE6BB0" w14:textId="77777777" w:rsidR="00F062B1" w:rsidRPr="001B0CB4" w:rsidRDefault="00F062B1" w:rsidP="00F062B1">
            <w:pPr>
              <w:pStyle w:val="norm00e1lny"/>
            </w:pPr>
            <w:r w:rsidRPr="001B0CB4">
              <w:t> </w:t>
            </w:r>
          </w:p>
          <w:p w14:paraId="3F3635ED" w14:textId="77777777" w:rsidR="00F062B1" w:rsidRDefault="00F062B1" w:rsidP="00F062B1">
            <w:pPr>
              <w:pStyle w:val="norm00e1lny"/>
              <w:spacing w:line="240" w:lineRule="atLeast"/>
              <w:jc w:val="both"/>
              <w:rPr>
                <w:rStyle w:val="norm00e1lnychar1"/>
              </w:rPr>
            </w:pPr>
            <w:r w:rsidRPr="001B0CB4">
              <w:rPr>
                <w:rStyle w:val="norm00e1lnychar1"/>
              </w:rPr>
              <w:t>s materiálom predloženým na predbežné pripomienkové konanie s odporúčaním na jeho dopracovanie podľa pripomienok v bode II.</w:t>
            </w:r>
          </w:p>
          <w:p w14:paraId="1DBF89A9" w14:textId="77777777" w:rsidR="00F062B1" w:rsidRPr="001B0CB4" w:rsidRDefault="00F062B1" w:rsidP="00F062B1">
            <w:pPr>
              <w:pStyle w:val="norm00e1lny"/>
              <w:spacing w:line="240" w:lineRule="atLeast"/>
              <w:jc w:val="both"/>
            </w:pPr>
          </w:p>
          <w:p w14:paraId="5810D396" w14:textId="77777777" w:rsidR="00F062B1" w:rsidRPr="001B0CB4" w:rsidRDefault="00F062B1" w:rsidP="00F062B1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B0CB4">
              <w:rPr>
                <w:b/>
                <w:sz w:val="20"/>
                <w:szCs w:val="20"/>
              </w:rPr>
              <w:t>Vyjadrenie predkladateľa:</w:t>
            </w:r>
          </w:p>
          <w:p w14:paraId="22D71CBC" w14:textId="18920E5E" w:rsidR="00C40273" w:rsidRPr="00E95F9E" w:rsidRDefault="00F062B1" w:rsidP="00F062B1">
            <w:pPr>
              <w:pStyle w:val="Default"/>
              <w:jc w:val="both"/>
              <w:rPr>
                <w:sz w:val="20"/>
                <w:szCs w:val="20"/>
              </w:rPr>
            </w:pPr>
            <w:r w:rsidRPr="001B0CB4">
              <w:rPr>
                <w:sz w:val="20"/>
                <w:szCs w:val="20"/>
              </w:rPr>
              <w:t>V časti 5. doložky vplyvov bol doplnený nulový variant.</w:t>
            </w:r>
          </w:p>
        </w:tc>
      </w:tr>
    </w:tbl>
    <w:p w14:paraId="7B3571B0" w14:textId="74673A8D" w:rsidR="007E2D54" w:rsidRPr="00E95F9E" w:rsidRDefault="007E2D54" w:rsidP="00D537F8">
      <w:pPr>
        <w:rPr>
          <w:sz w:val="20"/>
          <w:szCs w:val="20"/>
        </w:rPr>
      </w:pPr>
    </w:p>
    <w:sectPr w:rsidR="007E2D54" w:rsidRPr="00E95F9E" w:rsidSect="00796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7501F" w14:textId="77777777" w:rsidR="00FB13A4" w:rsidRDefault="00FB13A4">
      <w:r>
        <w:separator/>
      </w:r>
    </w:p>
  </w:endnote>
  <w:endnote w:type="continuationSeparator" w:id="0">
    <w:p w14:paraId="285B6BEE" w14:textId="77777777" w:rsidR="00FB13A4" w:rsidRDefault="00FB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4493" w14:textId="77777777" w:rsidR="0079690F" w:rsidRDefault="00FB13A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412248"/>
      <w:docPartObj>
        <w:docPartGallery w:val="Page Numbers (Bottom of Page)"/>
        <w:docPartUnique/>
      </w:docPartObj>
    </w:sdtPr>
    <w:sdtEndPr/>
    <w:sdtContent>
      <w:p w14:paraId="7CC838F1" w14:textId="35D863E3" w:rsidR="0079690F" w:rsidRDefault="00353D4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AE7">
          <w:rPr>
            <w:noProof/>
          </w:rPr>
          <w:t>2</w:t>
        </w:r>
        <w:r>
          <w:fldChar w:fldCharType="end"/>
        </w:r>
      </w:p>
    </w:sdtContent>
  </w:sdt>
  <w:p w14:paraId="283D6712" w14:textId="77777777" w:rsidR="0079690F" w:rsidRDefault="00FB13A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98425" w14:textId="77777777" w:rsidR="0079690F" w:rsidRDefault="00FB13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10D4A" w14:textId="77777777" w:rsidR="00FB13A4" w:rsidRDefault="00FB13A4">
      <w:r>
        <w:separator/>
      </w:r>
    </w:p>
  </w:footnote>
  <w:footnote w:type="continuationSeparator" w:id="0">
    <w:p w14:paraId="12A746E7" w14:textId="77777777" w:rsidR="00FB13A4" w:rsidRDefault="00FB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822CA" w14:textId="77777777" w:rsidR="0079690F" w:rsidRDefault="00FB13A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1A55B" w14:textId="77777777" w:rsidR="0079690F" w:rsidRDefault="00FB13A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4BB7" w14:textId="77777777" w:rsidR="0079690F" w:rsidRDefault="00FB13A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A5"/>
    <w:rsid w:val="000167DE"/>
    <w:rsid w:val="0003101A"/>
    <w:rsid w:val="00044547"/>
    <w:rsid w:val="00054C0F"/>
    <w:rsid w:val="000603A5"/>
    <w:rsid w:val="00065863"/>
    <w:rsid w:val="00066AD7"/>
    <w:rsid w:val="0008281A"/>
    <w:rsid w:val="000915C5"/>
    <w:rsid w:val="00096129"/>
    <w:rsid w:val="000A3595"/>
    <w:rsid w:val="000A7641"/>
    <w:rsid w:val="000B2188"/>
    <w:rsid w:val="000B7868"/>
    <w:rsid w:val="000E16F1"/>
    <w:rsid w:val="0011475C"/>
    <w:rsid w:val="00114BF3"/>
    <w:rsid w:val="0012221D"/>
    <w:rsid w:val="00123CCA"/>
    <w:rsid w:val="001326A2"/>
    <w:rsid w:val="00133618"/>
    <w:rsid w:val="00143AE7"/>
    <w:rsid w:val="00146E88"/>
    <w:rsid w:val="001470A9"/>
    <w:rsid w:val="00147696"/>
    <w:rsid w:val="00150E27"/>
    <w:rsid w:val="00166061"/>
    <w:rsid w:val="001672D4"/>
    <w:rsid w:val="00171EA2"/>
    <w:rsid w:val="00180279"/>
    <w:rsid w:val="001970D8"/>
    <w:rsid w:val="001A2B50"/>
    <w:rsid w:val="001B08A7"/>
    <w:rsid w:val="001B4024"/>
    <w:rsid w:val="001C0B0E"/>
    <w:rsid w:val="001D5FBE"/>
    <w:rsid w:val="001F1F0F"/>
    <w:rsid w:val="00215CD7"/>
    <w:rsid w:val="00227051"/>
    <w:rsid w:val="00234F1B"/>
    <w:rsid w:val="00255F1F"/>
    <w:rsid w:val="002624EF"/>
    <w:rsid w:val="00267650"/>
    <w:rsid w:val="00267D97"/>
    <w:rsid w:val="00277238"/>
    <w:rsid w:val="00292AA5"/>
    <w:rsid w:val="002A09B8"/>
    <w:rsid w:val="002B68DD"/>
    <w:rsid w:val="002C1D12"/>
    <w:rsid w:val="002C73FB"/>
    <w:rsid w:val="002D1638"/>
    <w:rsid w:val="002D557E"/>
    <w:rsid w:val="002E5568"/>
    <w:rsid w:val="002F1541"/>
    <w:rsid w:val="00326387"/>
    <w:rsid w:val="00341808"/>
    <w:rsid w:val="00353D47"/>
    <w:rsid w:val="00364479"/>
    <w:rsid w:val="00382E99"/>
    <w:rsid w:val="00385733"/>
    <w:rsid w:val="003A6AC2"/>
    <w:rsid w:val="003A6B45"/>
    <w:rsid w:val="003B2A46"/>
    <w:rsid w:val="003B6E31"/>
    <w:rsid w:val="003F741F"/>
    <w:rsid w:val="004052C5"/>
    <w:rsid w:val="004131D6"/>
    <w:rsid w:val="00425EA4"/>
    <w:rsid w:val="00426213"/>
    <w:rsid w:val="00430998"/>
    <w:rsid w:val="00444E65"/>
    <w:rsid w:val="00455D8F"/>
    <w:rsid w:val="00462996"/>
    <w:rsid w:val="00477FE0"/>
    <w:rsid w:val="00500CAF"/>
    <w:rsid w:val="0050194C"/>
    <w:rsid w:val="00520870"/>
    <w:rsid w:val="0052444C"/>
    <w:rsid w:val="00524AE6"/>
    <w:rsid w:val="00532C24"/>
    <w:rsid w:val="005436C7"/>
    <w:rsid w:val="005645C1"/>
    <w:rsid w:val="005742C0"/>
    <w:rsid w:val="00585459"/>
    <w:rsid w:val="00592EC9"/>
    <w:rsid w:val="00593288"/>
    <w:rsid w:val="00595198"/>
    <w:rsid w:val="005A3A79"/>
    <w:rsid w:val="005A5936"/>
    <w:rsid w:val="005D751C"/>
    <w:rsid w:val="00666055"/>
    <w:rsid w:val="00681F41"/>
    <w:rsid w:val="00692800"/>
    <w:rsid w:val="006B15E1"/>
    <w:rsid w:val="006B3C76"/>
    <w:rsid w:val="006B69B0"/>
    <w:rsid w:val="006C2E08"/>
    <w:rsid w:val="006C49EA"/>
    <w:rsid w:val="006E606B"/>
    <w:rsid w:val="006F0491"/>
    <w:rsid w:val="00720F37"/>
    <w:rsid w:val="0072426C"/>
    <w:rsid w:val="00730C26"/>
    <w:rsid w:val="007364C0"/>
    <w:rsid w:val="00760395"/>
    <w:rsid w:val="00772129"/>
    <w:rsid w:val="00783706"/>
    <w:rsid w:val="007A6CE5"/>
    <w:rsid w:val="007C616E"/>
    <w:rsid w:val="007D1C9D"/>
    <w:rsid w:val="007E2D54"/>
    <w:rsid w:val="007F00B1"/>
    <w:rsid w:val="008023F4"/>
    <w:rsid w:val="0081266A"/>
    <w:rsid w:val="00823E0A"/>
    <w:rsid w:val="00824A3B"/>
    <w:rsid w:val="00843426"/>
    <w:rsid w:val="008450C9"/>
    <w:rsid w:val="00864480"/>
    <w:rsid w:val="00866116"/>
    <w:rsid w:val="00870C40"/>
    <w:rsid w:val="00871F47"/>
    <w:rsid w:val="0088203C"/>
    <w:rsid w:val="00885407"/>
    <w:rsid w:val="0089483E"/>
    <w:rsid w:val="008A1CBD"/>
    <w:rsid w:val="008E0CB1"/>
    <w:rsid w:val="008E51F6"/>
    <w:rsid w:val="009012F6"/>
    <w:rsid w:val="0092403E"/>
    <w:rsid w:val="00964366"/>
    <w:rsid w:val="00967F22"/>
    <w:rsid w:val="00971DD6"/>
    <w:rsid w:val="00973D07"/>
    <w:rsid w:val="009933D3"/>
    <w:rsid w:val="009A2F64"/>
    <w:rsid w:val="009A4AB7"/>
    <w:rsid w:val="009B3A63"/>
    <w:rsid w:val="009E0567"/>
    <w:rsid w:val="009E4899"/>
    <w:rsid w:val="009E6620"/>
    <w:rsid w:val="009F18FD"/>
    <w:rsid w:val="00A01999"/>
    <w:rsid w:val="00A07BF9"/>
    <w:rsid w:val="00A22689"/>
    <w:rsid w:val="00A3689E"/>
    <w:rsid w:val="00A402B9"/>
    <w:rsid w:val="00A4532B"/>
    <w:rsid w:val="00A5226B"/>
    <w:rsid w:val="00A96FA2"/>
    <w:rsid w:val="00AA2214"/>
    <w:rsid w:val="00AA2E86"/>
    <w:rsid w:val="00AC21A2"/>
    <w:rsid w:val="00AD1830"/>
    <w:rsid w:val="00AD5CAA"/>
    <w:rsid w:val="00AE1978"/>
    <w:rsid w:val="00AE7F0A"/>
    <w:rsid w:val="00B025CB"/>
    <w:rsid w:val="00B104A5"/>
    <w:rsid w:val="00B50431"/>
    <w:rsid w:val="00B53DB2"/>
    <w:rsid w:val="00B57A85"/>
    <w:rsid w:val="00B72E7A"/>
    <w:rsid w:val="00B76090"/>
    <w:rsid w:val="00B877ED"/>
    <w:rsid w:val="00BA154B"/>
    <w:rsid w:val="00BC7CC5"/>
    <w:rsid w:val="00BD1350"/>
    <w:rsid w:val="00C13B49"/>
    <w:rsid w:val="00C3475B"/>
    <w:rsid w:val="00C40273"/>
    <w:rsid w:val="00C548B9"/>
    <w:rsid w:val="00C96717"/>
    <w:rsid w:val="00CD7873"/>
    <w:rsid w:val="00CE47B3"/>
    <w:rsid w:val="00D033C2"/>
    <w:rsid w:val="00D13AA0"/>
    <w:rsid w:val="00D168DD"/>
    <w:rsid w:val="00D4014A"/>
    <w:rsid w:val="00D537F8"/>
    <w:rsid w:val="00D778D8"/>
    <w:rsid w:val="00D82F16"/>
    <w:rsid w:val="00D90F4F"/>
    <w:rsid w:val="00DA3DE8"/>
    <w:rsid w:val="00DC18F9"/>
    <w:rsid w:val="00DC21E9"/>
    <w:rsid w:val="00DC6E96"/>
    <w:rsid w:val="00DE64F8"/>
    <w:rsid w:val="00DF6699"/>
    <w:rsid w:val="00DF721D"/>
    <w:rsid w:val="00E00920"/>
    <w:rsid w:val="00E02C72"/>
    <w:rsid w:val="00E07326"/>
    <w:rsid w:val="00E155DB"/>
    <w:rsid w:val="00E2046F"/>
    <w:rsid w:val="00E228C1"/>
    <w:rsid w:val="00E24139"/>
    <w:rsid w:val="00E35D95"/>
    <w:rsid w:val="00E3658E"/>
    <w:rsid w:val="00E44E14"/>
    <w:rsid w:val="00E46A2A"/>
    <w:rsid w:val="00E51CC5"/>
    <w:rsid w:val="00E672CA"/>
    <w:rsid w:val="00E91B34"/>
    <w:rsid w:val="00E95F9E"/>
    <w:rsid w:val="00EA799E"/>
    <w:rsid w:val="00EB19AC"/>
    <w:rsid w:val="00EB1CB3"/>
    <w:rsid w:val="00EB7031"/>
    <w:rsid w:val="00EC0B60"/>
    <w:rsid w:val="00EC7911"/>
    <w:rsid w:val="00EE0234"/>
    <w:rsid w:val="00EE2318"/>
    <w:rsid w:val="00F062B1"/>
    <w:rsid w:val="00F21F4A"/>
    <w:rsid w:val="00F239C2"/>
    <w:rsid w:val="00F6150D"/>
    <w:rsid w:val="00F652CC"/>
    <w:rsid w:val="00F851BF"/>
    <w:rsid w:val="00F959E5"/>
    <w:rsid w:val="00FA563D"/>
    <w:rsid w:val="00FA7686"/>
    <w:rsid w:val="00FB13A4"/>
    <w:rsid w:val="00FC36B8"/>
    <w:rsid w:val="00FE0385"/>
    <w:rsid w:val="00FE2827"/>
    <w:rsid w:val="00FF16DE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8E49"/>
  <w15:docId w15:val="{2207E903-C23C-42AA-80F0-1AF810F0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92A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2A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292A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A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292AA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292AA5"/>
    <w:rPr>
      <w:rFonts w:cs="Times New Roman"/>
      <w:color w:val="0000FF"/>
      <w:u w:val="single"/>
    </w:rPr>
  </w:style>
  <w:style w:type="character" w:customStyle="1" w:styleId="h1a">
    <w:name w:val="h1a"/>
    <w:basedOn w:val="Predvolenpsmoodseku"/>
    <w:rsid w:val="00292AA5"/>
    <w:rPr>
      <w:rFonts w:cs="Times New Roman"/>
    </w:rPr>
  </w:style>
  <w:style w:type="character" w:customStyle="1" w:styleId="awspan1">
    <w:name w:val="awspan1"/>
    <w:basedOn w:val="Predvolenpsmoodseku"/>
    <w:rsid w:val="00292AA5"/>
    <w:rPr>
      <w:color w:val="000000"/>
      <w:sz w:val="24"/>
      <w:szCs w:val="24"/>
    </w:rPr>
  </w:style>
  <w:style w:type="paragraph" w:customStyle="1" w:styleId="Default">
    <w:name w:val="Default"/>
    <w:rsid w:val="00B76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43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366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body,Odsek zoznamu2,Dot pt,No Spacing1,List Paragraph Char Char Char,Indicator Text,Numbered Para 1,List Paragraph à moi,Odsek zoznamu4,F5 List Paragraph,List Paragraph1,Colorful List - Accent 11,Bullet 1,Bullet Points,MAIN CONTENT,LISTA"/>
    <w:basedOn w:val="Normlny"/>
    <w:link w:val="OdsekzoznamuChar"/>
    <w:uiPriority w:val="34"/>
    <w:qFormat/>
    <w:rsid w:val="00D537F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Dot pt Char,No Spacing1 Char,List Paragraph Char Char Char Char,Indicator Text Char,Numbered Para 1 Char,List Paragraph à moi Char,Odsek zoznamu4 Char,F5 List Paragraph Char,List Paragraph1 Char"/>
    <w:link w:val="Odsekzoznamu"/>
    <w:uiPriority w:val="34"/>
    <w:qFormat/>
    <w:locked/>
    <w:rsid w:val="00D537F8"/>
    <w:rPr>
      <w:rFonts w:ascii="Calibri" w:eastAsia="Calibri" w:hAnsi="Calibri" w:cs="Times New Roman"/>
    </w:rPr>
  </w:style>
  <w:style w:type="paragraph" w:customStyle="1" w:styleId="AKSS">
    <w:name w:val="AKSS"/>
    <w:basedOn w:val="Normlny"/>
    <w:qFormat/>
    <w:rsid w:val="003B6E31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norm00e1lnychar1">
    <w:name w:val="norm_00e1lny__char1"/>
    <w:rsid w:val="00E155D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E155DB"/>
    <w:pPr>
      <w:spacing w:line="2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56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5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lan.simkovic@justice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3675-2483-44C3-8660-60EFAD4C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ŠIMKOVIČ Milan</cp:lastModifiedBy>
  <cp:revision>4</cp:revision>
  <cp:lastPrinted>2020-09-02T11:00:00Z</cp:lastPrinted>
  <dcterms:created xsi:type="dcterms:W3CDTF">2021-02-08T12:33:00Z</dcterms:created>
  <dcterms:modified xsi:type="dcterms:W3CDTF">2021-02-09T13:50:00Z</dcterms:modified>
</cp:coreProperties>
</file>