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36E76" w14:textId="77777777" w:rsidR="00510768" w:rsidRDefault="00510768" w:rsidP="00510768">
      <w:pPr>
        <w:spacing w:after="60"/>
        <w:jc w:val="center"/>
        <w:rPr>
          <w:b/>
          <w:caps/>
        </w:rPr>
      </w:pPr>
      <w:r w:rsidRPr="00876F8D">
        <w:rPr>
          <w:b/>
          <w:caps/>
        </w:rPr>
        <w:t xml:space="preserve">Predkladacia správa </w:t>
      </w:r>
    </w:p>
    <w:p w14:paraId="25D18EF8" w14:textId="77777777" w:rsidR="00876F8D" w:rsidRPr="00876F8D" w:rsidRDefault="00876F8D" w:rsidP="00510768">
      <w:pPr>
        <w:spacing w:after="60"/>
        <w:jc w:val="center"/>
        <w:rPr>
          <w:b/>
          <w:caps/>
        </w:rPr>
      </w:pPr>
    </w:p>
    <w:p w14:paraId="73667B5C" w14:textId="7FBEDCB1" w:rsidR="00510768" w:rsidRDefault="00A04368" w:rsidP="00510768">
      <w:pPr>
        <w:jc w:val="both"/>
      </w:pPr>
      <w:r w:rsidRPr="00876F8D">
        <w:t>Dôvodom</w:t>
      </w:r>
      <w:r w:rsidR="00510768" w:rsidRPr="00876F8D">
        <w:t xml:space="preserve"> návrh</w:t>
      </w:r>
      <w:r w:rsidRPr="00876F8D">
        <w:t>u</w:t>
      </w:r>
      <w:r w:rsidR="00510768" w:rsidRPr="00876F8D">
        <w:t xml:space="preserve"> zákona, ktorým sa mení a dopĺňa zákon č. 566/2001 Z.z. o cenných papieroch a investičných službách a o zmene a doplnení niektorých zákonov (zákon o cenných papieroch) v znení neskorších predpisov a ktorým sa menia a dopĺňajú niektoré zákony (ďalej len „návrh zákona“) </w:t>
      </w:r>
      <w:r w:rsidRPr="00876F8D">
        <w:t xml:space="preserve">je </w:t>
      </w:r>
      <w:r w:rsidR="008D6504" w:rsidRPr="00876F8D">
        <w:t xml:space="preserve">najmä </w:t>
      </w:r>
      <w:r w:rsidR="00A330BB">
        <w:t>transpozícia</w:t>
      </w:r>
      <w:r w:rsidRPr="00876F8D">
        <w:t xml:space="preserve"> smernice Európskeho parlamentu a Rady (EÚ) 2019/2034 z 27. novembra 2019 o prudenciálnom dohľade nad investičnými spoločnosťami a o zmene smerníc 2002/87/ES, 2009/65/ES, 2011/61/EÚ, 2013/36/EÚ, 2014/59/EÚ a </w:t>
      </w:r>
      <w:r w:rsidRPr="0028601E">
        <w:t>2014/65/EÚ</w:t>
      </w:r>
      <w:r w:rsidR="00F35595" w:rsidRPr="0028601E">
        <w:t xml:space="preserve"> </w:t>
      </w:r>
      <w:r w:rsidR="00C00A8F" w:rsidRPr="0028601E">
        <w:t>(Ú. v. EÚ L 314, 5. 12. 2019)</w:t>
      </w:r>
      <w:r w:rsidRPr="0028601E">
        <w:t xml:space="preserve"> (ďalej len „smernica 2019/2034“)</w:t>
      </w:r>
      <w:r w:rsidR="00601A43" w:rsidRPr="0028601E">
        <w:t xml:space="preserve">, </w:t>
      </w:r>
      <w:r w:rsidRPr="0028601E">
        <w:t>smernice Európskeho parlamentu a Rady (EÚ) 2019/2177 z 18. decembra 2019, ktorou sa mení smernica 2009/138/ES o začatí a vykonávaní poistenia a zaistenia (Solventnosť II), smernica 2014/65/EÚ o trhoch s finančnými nástrojmi a smernica (EÚ) 2015/849 o predchádzaní využívaniu finančného systému na účely prania špinavých peňazí alebo financovania terorizmu</w:t>
      </w:r>
      <w:r w:rsidR="00C00A8F" w:rsidRPr="0028601E">
        <w:t xml:space="preserve"> (Ú. v. EÚ L 334, 27.12.2019)</w:t>
      </w:r>
      <w:r w:rsidRPr="0028601E">
        <w:t xml:space="preserve"> (ďalej len „smernica Solventnosť II“)</w:t>
      </w:r>
      <w:r w:rsidR="00601A43" w:rsidRPr="0028601E">
        <w:t xml:space="preserve"> a smernice Európskeho parlamentu a Rady (EÚ) 2020/1504 </w:t>
      </w:r>
      <w:r w:rsidR="0037601F" w:rsidRPr="0028601E">
        <w:t xml:space="preserve">zo 7. októbra 2020, </w:t>
      </w:r>
      <w:r w:rsidR="00601A43" w:rsidRPr="0028601E">
        <w:t>ktorou sa mení smernica 2014/65/EÚ o trhoch s finančnými nástrojmi</w:t>
      </w:r>
      <w:r w:rsidR="00C00A8F" w:rsidRPr="0028601E">
        <w:t xml:space="preserve"> (Ú. v. EÚ L 347, 20.10.2020)</w:t>
      </w:r>
      <w:r w:rsidR="00601A43" w:rsidRPr="0028601E">
        <w:t xml:space="preserve"> (ďalej len „smernica 2020/1504“)</w:t>
      </w:r>
      <w:r w:rsidR="00510768" w:rsidRPr="0028601E">
        <w:t>.</w:t>
      </w:r>
    </w:p>
    <w:p w14:paraId="29997B85" w14:textId="77777777" w:rsidR="002D5167" w:rsidRDefault="002D5167" w:rsidP="00510768">
      <w:pPr>
        <w:jc w:val="both"/>
      </w:pPr>
    </w:p>
    <w:p w14:paraId="11D3E249" w14:textId="296B0343" w:rsidR="00A04368" w:rsidRPr="00876F8D" w:rsidRDefault="00A04368" w:rsidP="00510768">
      <w:pPr>
        <w:jc w:val="both"/>
      </w:pPr>
      <w:r w:rsidRPr="00876F8D">
        <w:t>Cieľom smernice 2019/2034 je zabezpečiť, aby sa na investičné spoločnosti vzťahovali požiadavky týkajúce sa kapitálu, likvidity a ďalšie kľúčové prudenciálne požiadavky a zodpovedajúce opatrenia dohľadu, ktoré sú prispôsobené ich obchodnej činnosti, pritom sú však dostatočne spoľahlivé na zachytenie rizík investičných spoločností prudenciálne spoľahlivým spôsobom s cieľom chrániť stabilitu finančných trhov EÚ.</w:t>
      </w:r>
    </w:p>
    <w:p w14:paraId="38A7EBE3" w14:textId="0968DDF6" w:rsidR="00601A43" w:rsidRDefault="00A04368" w:rsidP="00510768">
      <w:pPr>
        <w:jc w:val="both"/>
      </w:pPr>
      <w:r w:rsidRPr="00876F8D">
        <w:t>Cieľom smernice Solventnosť II je posilnenie výmeny informácií medzi orgánmi dohľadu a európskymi orgánmi dohľadu. Zmeny sa týkajú aj vytvárania platforiem spolupráce, ktoré sú účinným nástrojom na dosiahnutie intenzívnejšej a včasnej spolupráce medzi orgánmi dohľadu, a teda na zlepšenie ochrany spotrebiteľa.</w:t>
      </w:r>
      <w:r w:rsidR="00876F8D">
        <w:t xml:space="preserve"> </w:t>
      </w:r>
      <w:r w:rsidR="00876F8D" w:rsidRPr="00876F8D">
        <w:t>Zmeny sa týkajú aj regulačného rámca pre poskytovateľov služieb vykazovania údajov a to tak, že udeľovanie povolení a výkon dohľadu nad poskytovateľmi služieb vykazovania údajov sa presunie z národného orgánu dohľadu (Národná banka</w:t>
      </w:r>
      <w:r w:rsidR="00CE2D60">
        <w:t xml:space="preserve"> Slovenska) pod Európsky orgán </w:t>
      </w:r>
      <w:r w:rsidR="00876F8D" w:rsidRPr="00876F8D">
        <w:t>dohľadu (ESMA</w:t>
      </w:r>
      <w:r w:rsidR="00CE2D60">
        <w:t xml:space="preserve"> – Európsky orgán pre cenné papiere a trhy</w:t>
      </w:r>
      <w:r w:rsidR="00876F8D" w:rsidRPr="00876F8D">
        <w:t>).</w:t>
      </w:r>
      <w:bookmarkStart w:id="0" w:name="_GoBack"/>
      <w:bookmarkEnd w:id="0"/>
    </w:p>
    <w:p w14:paraId="1D11233B" w14:textId="5CC26A0B" w:rsidR="00601A43" w:rsidRPr="00876F8D" w:rsidRDefault="00601A43" w:rsidP="00510768">
      <w:pPr>
        <w:jc w:val="both"/>
      </w:pPr>
      <w:r>
        <w:t>Cieľom smernice</w:t>
      </w:r>
      <w:r w:rsidR="002D5267">
        <w:t xml:space="preserve"> 2020/1504</w:t>
      </w:r>
      <w:r>
        <w:t xml:space="preserve"> je vyňatie</w:t>
      </w:r>
      <w:r w:rsidRPr="00601A43">
        <w:t xml:space="preserve"> z rozsahu pôsobnosti smernice Európskeho parlamentu a Rady 2014/65/EÚ z 15. mája </w:t>
      </w:r>
      <w:r w:rsidRPr="0028601E">
        <w:t>2014 o trhoch s finančnými nástrojmi, ktorou sa mení smernica 2002/92/ES a smernica 2011/61/EÚ</w:t>
      </w:r>
      <w:r w:rsidR="00C00A8F" w:rsidRPr="0028601E">
        <w:t xml:space="preserve"> (prepracované znenie) (Ú. v. EÚ L 173, 12.6.2014) </w:t>
      </w:r>
      <w:r w:rsidRPr="0028601E">
        <w:t>(ďalej</w:t>
      </w:r>
      <w:r>
        <w:t xml:space="preserve"> len „</w:t>
      </w:r>
      <w:r w:rsidRPr="00601A43">
        <w:t>MiFID II</w:t>
      </w:r>
      <w:r>
        <w:t>“</w:t>
      </w:r>
      <w:r w:rsidRPr="00601A43">
        <w:t>)</w:t>
      </w:r>
      <w:r w:rsidR="00302204">
        <w:t xml:space="preserve"> </w:t>
      </w:r>
      <w:r w:rsidRPr="00601A43">
        <w:t>poskytovateľov s</w:t>
      </w:r>
      <w:r>
        <w:t>lužieb hromadného financovania.</w:t>
      </w:r>
    </w:p>
    <w:p w14:paraId="7F79B995" w14:textId="77777777" w:rsidR="00510768" w:rsidRPr="00876F8D" w:rsidRDefault="00510768" w:rsidP="00510768">
      <w:pPr>
        <w:jc w:val="both"/>
      </w:pPr>
    </w:p>
    <w:p w14:paraId="7BD18415" w14:textId="6AAAA451" w:rsidR="008D6504" w:rsidRDefault="008D6504" w:rsidP="00510768">
      <w:pPr>
        <w:jc w:val="both"/>
      </w:pPr>
      <w:r w:rsidRPr="00876F8D">
        <w:t xml:space="preserve">Súčasťou návrhu zákona sú aj ďalšie legislatívne úpravy vyplývajúce z aplikačnej praxe, ako napríklad poznatky týkajúce sa aplikačnej praxe súvisiace s </w:t>
      </w:r>
      <w:r w:rsidR="00A330BB">
        <w:t>transpozíciou</w:t>
      </w:r>
      <w:r w:rsidRPr="00876F8D">
        <w:t xml:space="preserve"> smernice </w:t>
      </w:r>
      <w:r w:rsidR="006F5E7E" w:rsidRPr="00876F8D">
        <w:t>MiFID II</w:t>
      </w:r>
      <w:r w:rsidRPr="00876F8D">
        <w:t>.</w:t>
      </w:r>
    </w:p>
    <w:p w14:paraId="5FDB0FEF" w14:textId="77777777" w:rsidR="002D5267" w:rsidRDefault="002D5267" w:rsidP="00510768">
      <w:pPr>
        <w:jc w:val="both"/>
      </w:pPr>
    </w:p>
    <w:p w14:paraId="37EA0D36" w14:textId="77777777" w:rsidR="008D6504" w:rsidRPr="00876F8D" w:rsidRDefault="008D6504" w:rsidP="008D6504">
      <w:pPr>
        <w:jc w:val="both"/>
      </w:pPr>
      <w:r w:rsidRPr="00876F8D">
        <w:t>Návrh zákona nebude predložený na vnútrokomunitárne pripomienkové konanie.</w:t>
      </w:r>
    </w:p>
    <w:p w14:paraId="2909ADD4" w14:textId="77777777" w:rsidR="008D6504" w:rsidRPr="00876F8D" w:rsidRDefault="008D6504" w:rsidP="008D6504">
      <w:pPr>
        <w:jc w:val="both"/>
      </w:pPr>
    </w:p>
    <w:p w14:paraId="735E765A" w14:textId="5DA749CB" w:rsidR="008D6504" w:rsidRDefault="008D6504" w:rsidP="008D6504">
      <w:pPr>
        <w:jc w:val="both"/>
      </w:pPr>
      <w:r w:rsidRPr="00876F8D">
        <w:t>Účinnosť sa navrhuje v súlade s lehotou transpozície smernice 2019/2034</w:t>
      </w:r>
      <w:r w:rsidR="00876F8D">
        <w:t xml:space="preserve"> na 26. júna 2021</w:t>
      </w:r>
      <w:r w:rsidR="00D36F4E">
        <w:t xml:space="preserve">, </w:t>
      </w:r>
      <w:r w:rsidRPr="00876F8D">
        <w:t xml:space="preserve">smernice Solventnosť II na </w:t>
      </w:r>
      <w:r w:rsidR="00876F8D">
        <w:t>30</w:t>
      </w:r>
      <w:r w:rsidR="00263360" w:rsidRPr="00876F8D">
        <w:t xml:space="preserve">. </w:t>
      </w:r>
      <w:r w:rsidR="00876F8D">
        <w:t>júna</w:t>
      </w:r>
      <w:r w:rsidR="00263360" w:rsidRPr="00876F8D">
        <w:t xml:space="preserve"> 2021</w:t>
      </w:r>
      <w:r w:rsidR="00876F8D">
        <w:t xml:space="preserve"> a 1. januára 2022</w:t>
      </w:r>
      <w:r w:rsidR="00CE2D60">
        <w:t xml:space="preserve"> a v súlade so smernicou 2020/1504 na 10. novembra 2021.</w:t>
      </w:r>
      <w:r w:rsidRPr="00876F8D">
        <w:t xml:space="preserve"> </w:t>
      </w:r>
      <w:r w:rsidR="0028601E">
        <w:t>Niektoré ustanovenia článkov I a III nadobúdajú účinnosť 1. marca 2022,</w:t>
      </w:r>
      <w:r w:rsidR="0028601E" w:rsidRPr="0028601E">
        <w:t xml:space="preserve"> aby účastníci trhu mali dostatok času na prispôsobenie sa </w:t>
      </w:r>
      <w:r w:rsidR="0028601E">
        <w:t>zmenám, ktoré</w:t>
      </w:r>
      <w:r w:rsidR="0028601E" w:rsidRPr="0028601E">
        <w:t xml:space="preserve"> sa týkajú používaných informačných systémov.</w:t>
      </w:r>
      <w:r w:rsidR="0028601E">
        <w:t xml:space="preserve"> </w:t>
      </w:r>
      <w:r w:rsidRPr="00876F8D">
        <w:t>Účinnosť predkladaného zákona sa navrhuje s dostatočne dlhou legisvakanciou.</w:t>
      </w:r>
    </w:p>
    <w:p w14:paraId="09EF60D2" w14:textId="77777777" w:rsidR="00876F8D" w:rsidRDefault="00876F8D" w:rsidP="008D6504">
      <w:pPr>
        <w:jc w:val="both"/>
      </w:pPr>
    </w:p>
    <w:p w14:paraId="0F7FDA65" w14:textId="63CA5C17" w:rsidR="00926B0A" w:rsidRDefault="00926B0A" w:rsidP="008D6504">
      <w:pPr>
        <w:jc w:val="both"/>
      </w:pPr>
      <w:r w:rsidRPr="00926B0A">
        <w:t>Návrh zákona bol predmetom pripomienkového konania a do ďalšieho legislatívneho procesu sa predkladá bez rozporov.</w:t>
      </w:r>
    </w:p>
    <w:sectPr w:rsidR="0092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68"/>
    <w:rsid w:val="00222577"/>
    <w:rsid w:val="00263360"/>
    <w:rsid w:val="0028601E"/>
    <w:rsid w:val="002D5167"/>
    <w:rsid w:val="002D5267"/>
    <w:rsid w:val="00302204"/>
    <w:rsid w:val="0037601F"/>
    <w:rsid w:val="00505596"/>
    <w:rsid w:val="00510768"/>
    <w:rsid w:val="00601A43"/>
    <w:rsid w:val="00667DF7"/>
    <w:rsid w:val="006F5E7E"/>
    <w:rsid w:val="00727BE7"/>
    <w:rsid w:val="007435A7"/>
    <w:rsid w:val="00876F8D"/>
    <w:rsid w:val="008D6504"/>
    <w:rsid w:val="00917AEF"/>
    <w:rsid w:val="00926B0A"/>
    <w:rsid w:val="00A04368"/>
    <w:rsid w:val="00A330BB"/>
    <w:rsid w:val="00A35090"/>
    <w:rsid w:val="00C00A8F"/>
    <w:rsid w:val="00CE2D60"/>
    <w:rsid w:val="00D36F4E"/>
    <w:rsid w:val="00F10DAD"/>
    <w:rsid w:val="00F35595"/>
    <w:rsid w:val="00F4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5847"/>
  <w15:chartTrackingRefBased/>
  <w15:docId w15:val="{3B682983-10FB-4B13-A4D3-11A4C99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A350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509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50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50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50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50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09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Kassovic Jan</dc:creator>
  <cp:keywords/>
  <dc:description/>
  <cp:lastModifiedBy>Precuchova Georgina</cp:lastModifiedBy>
  <cp:revision>2</cp:revision>
  <dcterms:created xsi:type="dcterms:W3CDTF">2021-01-27T11:51:00Z</dcterms:created>
  <dcterms:modified xsi:type="dcterms:W3CDTF">2021-01-27T11:51:00Z</dcterms:modified>
</cp:coreProperties>
</file>