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F6273" w:rsidRDefault="008F6273">
      <w:pPr>
        <w:jc w:val="center"/>
        <w:divId w:val="348606740"/>
        <w:rPr>
          <w:rFonts w:ascii="Times" w:hAnsi="Times" w:cs="Times"/>
          <w:sz w:val="25"/>
          <w:szCs w:val="25"/>
        </w:rPr>
      </w:pPr>
      <w:r>
        <w:rPr>
          <w:rFonts w:ascii="Times" w:hAnsi="Times" w:cs="Times"/>
          <w:sz w:val="25"/>
          <w:szCs w:val="25"/>
        </w:rPr>
        <w:t>Zákon, ktorým sa mení a dopĺňa zákon č. 199/2004 Z. z. Colný zákon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F6273" w:rsidP="008F6273">
            <w:pPr>
              <w:spacing w:after="0" w:line="240" w:lineRule="auto"/>
              <w:rPr>
                <w:rFonts w:ascii="Times New Roman" w:hAnsi="Times New Roman" w:cs="Calibri"/>
                <w:sz w:val="20"/>
                <w:szCs w:val="20"/>
              </w:rPr>
            </w:pPr>
            <w:r>
              <w:rPr>
                <w:rFonts w:ascii="Times" w:hAnsi="Times" w:cs="Times"/>
                <w:sz w:val="25"/>
                <w:szCs w:val="25"/>
              </w:rPr>
              <w:t>19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F6273" w:rsidP="008F6273">
            <w:pPr>
              <w:spacing w:after="0" w:line="240" w:lineRule="auto"/>
              <w:rPr>
                <w:rFonts w:ascii="Times New Roman" w:hAnsi="Times New Roman" w:cs="Calibri"/>
                <w:sz w:val="20"/>
                <w:szCs w:val="20"/>
              </w:rPr>
            </w:pPr>
            <w:r>
              <w:rPr>
                <w:rFonts w:ascii="Times" w:hAnsi="Times" w:cs="Times"/>
                <w:sz w:val="25"/>
                <w:szCs w:val="25"/>
              </w:rPr>
              <w:t>19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F6273" w:rsidP="008F6273">
            <w:pPr>
              <w:spacing w:after="0" w:line="240" w:lineRule="auto"/>
              <w:rPr>
                <w:rFonts w:ascii="Times New Roman" w:hAnsi="Times New Roman" w:cs="Calibri"/>
                <w:sz w:val="20"/>
                <w:szCs w:val="20"/>
              </w:rPr>
            </w:pPr>
            <w:r>
              <w:rPr>
                <w:rFonts w:ascii="Times" w:hAnsi="Times" w:cs="Times"/>
                <w:sz w:val="25"/>
                <w:szCs w:val="25"/>
              </w:rPr>
              <w:t>10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F6273" w:rsidP="008F6273">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F6273" w:rsidP="008F6273">
            <w:pPr>
              <w:spacing w:after="0" w:line="240" w:lineRule="auto"/>
              <w:rPr>
                <w:rFonts w:ascii="Times New Roman" w:hAnsi="Times New Roman" w:cs="Calibri"/>
                <w:sz w:val="20"/>
                <w:szCs w:val="20"/>
              </w:rPr>
            </w:pPr>
            <w:r>
              <w:rPr>
                <w:rFonts w:ascii="Times" w:hAnsi="Times" w:cs="Times"/>
                <w:sz w:val="25"/>
                <w:szCs w:val="25"/>
              </w:rPr>
              <w:t>8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F6273" w:rsidRDefault="008F627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8F6273">
        <w:trPr>
          <w:divId w:val="181733294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Vôbec nezaslali</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sz w:val="20"/>
                <w:szCs w:val="20"/>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sz w:val="20"/>
                <w:szCs w:val="20"/>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sz w:val="20"/>
                <w:szCs w:val="20"/>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sz w:val="20"/>
                <w:szCs w:val="20"/>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sz w:val="20"/>
                <w:szCs w:val="20"/>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sz w:val="20"/>
                <w:szCs w:val="20"/>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sz w:val="20"/>
                <w:szCs w:val="20"/>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sz w:val="20"/>
                <w:szCs w:val="20"/>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sz w:val="20"/>
                <w:szCs w:val="20"/>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sz w:val="20"/>
                <w:szCs w:val="20"/>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sz w:val="20"/>
                <w:szCs w:val="20"/>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x</w:t>
            </w:r>
          </w:p>
        </w:tc>
      </w:tr>
      <w:tr w:rsidR="008F6273">
        <w:trPr>
          <w:divId w:val="1817332946"/>
          <w:jc w:val="center"/>
        </w:trPr>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19 (16o,3z)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F6273" w:rsidRDefault="008F627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F6273" w:rsidRDefault="008F627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4361"/>
        <w:gridCol w:w="446"/>
        <w:gridCol w:w="523"/>
        <w:gridCol w:w="2391"/>
      </w:tblGrid>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Spôsob vyhodnotenia</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 xml:space="preserve">Čl. III bod 2 </w:t>
            </w:r>
            <w:r>
              <w:rPr>
                <w:rFonts w:ascii="Times" w:hAnsi="Times" w:cs="Times"/>
                <w:sz w:val="25"/>
                <w:szCs w:val="25"/>
              </w:rPr>
              <w:br/>
              <w:t>Úvodná veta znie: „V § 45 odsek 1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Text upravený.</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K čl. III</w:t>
            </w:r>
            <w:r>
              <w:rPr>
                <w:rFonts w:ascii="Times" w:hAnsi="Times" w:cs="Times"/>
                <w:sz w:val="25"/>
                <w:szCs w:val="25"/>
              </w:rPr>
              <w:br/>
              <w:t>Navrhujeme doplniť nový novelizačný bod 1 v znení: „1. V § 4 ods. 3 sa za písmeno m) vkladá nové písmeno n), ktoré znie: „n) zabezpečuje získavanie, spracúvanie a predkladanie štatistických údajov o kontrolách výrobkov, ktoré vstupujú na trh Únie,15a)“ Poznámka pod čiarou k odkazu 15a) znie: „15a) Čl. 25 ods. 6 nariadenia Európskeho parlamentu a Rady (EÚ) 2019/1020 z 20. júna 2019 o dohľade nad trhom a súlade výrobkov a o zmene smernice 2004/42/ES a nariadení (ES) č. 765/2008 a (EÚ) č. 305/2011 (Ú. v. EÚ L 169, 25. 6. 2019).“. Doterajšie písmená n) až ae) sa označujú ako písmená o) až af).“.“ Doterajšie novelizačné body 1 a 2 sa označujú ako novelizačné body 2 a 3. Súčasne navrhujeme upraviť čl. IV návrhu zákona tak, že sa navrhovaný čl. III bod 1 zaradí do výpočtu ustanovení s odloženou účinnosťou od 16. júla 2021. Odôvodnenie: Z dôvodu právnej istoty a v súlade s čl. 2 ods. 2 Ústavy SR navrhujeme do výpočtu úloh Finančného riaditeľstva SR doplniť tiež plnenie úloh podľa čl. 25 ods. 6 nariadenia (EÚ) 2019/1020, z ktorého vyplýva povinnosť všetkých členských štátov každoročne predkladať Európskej komisii štatistické údaje o kontrolách výrobkov vstupujúcich na trh Únie, na ktoré sa vzťahuje právo Únie. Táto povinnosť začína pre členské štáty platiť od nadobudnutia účinnosti nariadenia (EÚ) 2019/1020, preto sa súčasne navrhuje legislatívno-technická úprava čl. IV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Zodpovedajúca kompetencia je upravená už v súčasnosti v § 4 ods. 3 písm. q) zákona č. 35/2019 Z. z. o finančnej správe a o zmene a doplnení niektorých zákonov.</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Odporúčame predkladateľovi v bode 10. popísať vplyvy na podnikateľské subjekty vyvolané zmenou plnenia oznamovacích povinností v súvislosti so zmenou právnej úpravy vyvolanej na úrovni EU. Odôvodnenie: Navrhovaná zmena právnej úpravy vychádza z prijatia nariadenia Európskeho parlamentu a Rady (EÚ) 2018/1672 z 23. októbra 2018 o kontrolách peňažných prostriedkov v hotovosti a nariadenia Európskeho parlamentu a Rady (EÚ) 2019/1020 z 20. júna 2019 o dohľade nad trhom. Prijatím uvedených nariadení dochádza k zmene v plnení oznamovacích povinností podnikateľských subjektov. Z tohto dôvodu odporúčame popísať vplyv uvedených zmien na podnikateľské subjekty 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 xml:space="preserve">Doložka vybraných vplyvov má obsahovať vplyv predkladaného návrhu zákona a nie vplyv právne záväzných aktov EÚ, ktoré sú implementované v danom návrhu zákona. </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K čl. I bodu 4</w:t>
            </w:r>
            <w:r>
              <w:rPr>
                <w:rFonts w:ascii="Times" w:hAnsi="Times" w:cs="Times"/>
                <w:sz w:val="25"/>
                <w:szCs w:val="25"/>
              </w:rPr>
              <w:br/>
              <w:t>V poznámke pod čiarou k odkazu 5 navrhujeme citáciu „Zákon č. 264/1999 Z. z. o technických požiadavkách na výrobky a o posudzovaní zhody a o zmene a doplnení niektorých zákonov v znení neskorších predpisov.“ nahradiť znením „Napríklad zákon č. 250/2007 Z. z. o ochrane spotrebiteľa a o zmene zákona Slovenskej národnej rady č. 372/1990 Zb. o priestupkoch v znení neskorších predpisov v znení neskorších predpisov, zákon č. 56/2018 Z. z. o posudzovaní zhody výrobku, sprístupňovaní určeného výrobku na trhu a o zmene a doplnení niektorých zákonov.“. Odôvodnenie: Návrh legislatívno-technickej úpravy sleduje záujem o spresnenie, že osobitným predpisom, na ktorý sa odkazuje v § 69 ods. 5, nemusí byť len zákon č. 264/1999 Z. z., resp. zákon č. 56/2018 Z. z., ale môže ísť o aj o ďalšie predpisy, ktoré upravujú požiadavky na výrobky. V súlade s bodom 23.8 Legislatívnych pravidiel vlády SR preto navrhujeme nahradenie taxatívneho výpočtu v poznámke pod čiarou k odkazu 5 demonštratívnym výpočtom.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Podľa bodu 38 prílohy č. 1 k LPV SR nemožno poznámky pod čiarou novelizovať v samostatných novelizačných bodoch. Predmetný novelizačný bod bol preto z návrhu zákona vypustený.</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K čl. I k poznámke pod čiarou k odkazu 73</w:t>
            </w:r>
            <w:r>
              <w:rPr>
                <w:rFonts w:ascii="Times" w:hAnsi="Times" w:cs="Times"/>
                <w:sz w:val="25"/>
                <w:szCs w:val="25"/>
              </w:rPr>
              <w:br/>
              <w:t>V zákone č. 199/2004 Z. z. navrhujeme v poznámke pod čiarou k odkazu 73 nahradiť znenie „Napríklad zákon č. 264/1999 Z. z. v znení neskorších predpisov, zákon č. 634/1992 Zb. o ochrane spotrebiteľa v znení neskorších predpisov.“ znením „Napríklad zákon č. 56/2018 z. z., zákon č. 250/2007 Z. z. v znení neskorších predpisov, nariadenie vlády Slovenskej republiky č. 404/2007 Z. z. o všeobecnej bezpečnosti výrobkov.“. Odôvodnenie: V nadväznosti na návrh predkladateľa aktualizovať poznámky pod čiarou k iným odkazom navrhujeme aktualizovať tiež znenie poznámky pod čiarou k odkazu 73, v ktorej sú zahrnuté už neúčinné predpisy (zákon č. 634/1992 Zb. a zákon č. 264/1999 Z. z.). Podľa platnej právnej úpravy by mali byť tieto citácie nahradené citáciou zákona č. 56/2018 Z. z., zákona č. 250/2007 Z. z. a nariadenia vlády SR č. 404/2007 Z. z. Navrhujeme ponechať demonštratívny výpočet v poznámke pod čiarou, keďže výpočet právnych predpisov vzťahujúcich sa na výrobky je omnoho širší.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Podľa bodu 38 prílohy č. 1 k LPV SR nemožno poznámky pod čiarou novelizovať v samostatných novelizačných bodoch.</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3 bodu 2. Úvodnú vetu navrhujeme preformulovať nasledovne: "V § 45 odsek 1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Text upravený.</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V čl. I odporúčame vypustiť bod 6. Odôvodnenie: Podľa § 85 ods. 1 colného zákona sa na konanie podľa tohto zákona alebo osobitného predpisu vzťahuje všeobecný predpis o správnom konaní, ak tento zákon neustanovuje inak. Podľa § 29 ods.1 správneho poriadku správny orgán konanie preruší, ak sa začalo konanie o predbežnej otázke alebo ak bol účastník konania vyzvaný, aby v určenej lehote odstránil nedostatky podania, alebo ak účastník konania nemá zákonného zástupcu alebo ustanoveného opatrovníka, hoci ho má mať, alebo ak tak ustanovuje osobitný zákon. Colný zákon prerušenie konania neustanovuje inak, ako správny poriadok, ktorý predĺženie lehoty na vydanie rozhodnutia ako dôvod prerušenia konania nepozná. § 29 ods. 1 správneho poriadku vypočítava taxatívnym spôsobom dôvody, keď správny orgán musí konanie prerušiť. Z iných dôvodov než tých, ktoré ustanovuje správny poriadok alebo osobitný zákon (a ten iné dôvody neustanovuje), tak správny orgán nemôže urobiť. Ďalej poukazujeme na to, že doterajšie znenie § 85 ods. 9 colného zákona sa týka predĺženia lehoty na vydanie rozhodnutia a nie prerušenia konania. V čl. III bode 2 je potrebné na začiatku úvodnej vety § 45 doplniť predložku „V“. Odôvodnenie: Súlad s bodom 30.3 prílohy č. 1 k legislatívnym pravidlám vlády.</w:t>
            </w:r>
            <w:r>
              <w:rPr>
                <w:rFonts w:ascii="Times" w:hAnsi="Times" w:cs="Times"/>
                <w:sz w:val="25"/>
                <w:szCs w:val="25"/>
              </w:rPr>
              <w:br/>
              <w:t xml:space="preserve">V čl. I odporúčame vypustiť bod 6. Odôvodnenie: Podľa § 85 ods. 1 colného zákona sa na konanie podľa tohto zákona alebo osobitného predpisu vzťahuje všeobecný predpis o správnom konaní, ak tento zákon neustanovuje inak. Podľa § 29 ods.1 správneho poriadku správny orgán konanie preruší, ak sa začalo konanie o predbežnej otázke alebo ak bol účastník konania vyzvaný, aby v určenej lehote odstránil nedostatky podania, alebo ak účastník konania nemá zákonného zástupcu alebo ustanoveného opatrovníka, hoci ho má mať, alebo ak tak ustanovuje osobitný zákon. Colný zákon prerušenie konania neustanovuje inak, ako správny poriadok, ktorý predĺženie lehoty na vydanie rozhodnutia ako dôvod prerušenia konania nepozná. § 29 ods. 1 správneho poriadku vypočítava taxatívnym spôsobom dôvody, keď správny orgán musí konanie prerušiť. Z iných dôvodov než tých, ktoré ustanovuje správny poriadok alebo osobitný zákon (a ten iné dôvody neustanovuje), tak správny orgán nemôže urobiť. Ďalej poukazujeme na to, že doterajšie znenie § 85 ods. 9 colného zákona sa týka predĺženia lehoty na vydanie rozhodnutia a nie prerušenia konania. V čl. III bode 2 je potrebné na začiatku úvodnej vety § 45 doplniť predložku „V“. Odôvodnenie: Súlad s bodom 30.3 prílohy č. 1 k legislatívnym pravidlám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Pripomienka k čl. I bodu 6 – neakceptovaná. § 29 Správneho poriadku upravuje prerušenie lehôt, ktoré sú upravené len v Správnom poriadku. Podľa dikcie § 29 ods. 5 Správneho poriadku „Pokiaľ je konanie prerušené, lehoty podľa tohto zákona neplynú.“ Samotný správny poriadok teda nerieši spočívanie lehôt upravených v osobitných predpisoch. S týmto problémom sa stretli aj colné orgány pri aplikácii Colného zákona. V návrhu zákona sa preto navrhuje ustanovenie, podľa ktorého počas prerušenia konania pred colnými orgánmi neplynie ani lehota, ktorú vo vzťahu k takémuto konaniu upravuje Colný zákon. MF SR sa preto s uplatnenou pripomienkou nestotožňuje. Pripomienka k čl. III bodu 2 - akceptovaná. Text upravený.</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K čl. I bodu 1</w:t>
            </w:r>
            <w:r>
              <w:rPr>
                <w:rFonts w:ascii="Times" w:hAnsi="Times" w:cs="Times"/>
                <w:sz w:val="25"/>
                <w:szCs w:val="25"/>
              </w:rPr>
              <w:br/>
              <w:t>Slová "3d, 3e, 3f, 3g, 3h, 3i, 3j," odporúčame nahradiť slovami "3d až 3j". Obdobnú úpravu navrhujeme v poslednej vete druhého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Text upravený.</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K čl. III bodu 2</w:t>
            </w:r>
            <w:r>
              <w:rPr>
                <w:rFonts w:ascii="Times" w:hAnsi="Times" w:cs="Times"/>
                <w:sz w:val="25"/>
                <w:szCs w:val="25"/>
              </w:rPr>
              <w:br/>
              <w:t>Úvodnú vetu odporúčame zosúladiť s bodom 30.3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Text upravený.</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V poznámke pod čiarou k odkazu 4c odporúčame na konci pripojiť slová "v znení zákona č. 397/2008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Text upravený.</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K návrhu vykonávacieho predpisu</w:t>
            </w:r>
            <w:r>
              <w:rPr>
                <w:rFonts w:ascii="Times" w:hAnsi="Times" w:cs="Times"/>
                <w:sz w:val="25"/>
                <w:szCs w:val="25"/>
              </w:rPr>
              <w:br/>
              <w:t xml:space="preserve">V úvodnej vete čl. I návrhu vyhlášky odporúčame nahradiť slová "vyhlášky .../2020 Z. z." slovami "vyhlášky č. 444/2020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Text upravený.</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čl. I, bodu 2</w:t>
            </w:r>
            <w:r>
              <w:rPr>
                <w:rFonts w:ascii="Times" w:hAnsi="Times" w:cs="Times"/>
                <w:sz w:val="25"/>
                <w:szCs w:val="25"/>
              </w:rPr>
              <w:br/>
              <w:t>Keďže sa v nadväznosti na zmenu celého ustanovenia § 5 vypúšťajú poznámky pod čiarou k viacerým odkazom – 4d, 4e, 4f, 4g a 4h – vymenovanie jednotlivých odkazov odporúčame uviesť v skrátenej forme ako „4d až 4h“. Táto odporúčacia pripomienka obdobne platí aj pre čl. 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Text upravený.</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čl. III, bodu 1</w:t>
            </w:r>
            <w:r>
              <w:rPr>
                <w:rFonts w:ascii="Times" w:hAnsi="Times" w:cs="Times"/>
                <w:sz w:val="25"/>
                <w:szCs w:val="25"/>
              </w:rPr>
              <w:br/>
              <w:t>Odporúčame slová „prvej vete“ vypustiť pre nadbytočnosť, keďže vzhľadom na jediný výskyt slov „na účely § 45 ods. 1“ nie je potrebné bližšie špecifikovať, v ktorej vete predmetného ustanovenia sa má vykonať príslušná zmena.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Text upravený.</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čl. III bodu 2</w:t>
            </w:r>
            <w:r>
              <w:rPr>
                <w:rFonts w:ascii="Times" w:hAnsi="Times" w:cs="Times"/>
                <w:sz w:val="25"/>
                <w:szCs w:val="25"/>
              </w:rPr>
              <w:br/>
              <w:t>Odporúčame na začiatok úvodnej vety vložiť slovo "V".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Text upravený.</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čl. I bod 1</w:t>
            </w:r>
            <w:r>
              <w:rPr>
                <w:rFonts w:ascii="Times" w:hAnsi="Times" w:cs="Times"/>
                <w:sz w:val="25"/>
                <w:szCs w:val="25"/>
              </w:rPr>
              <w:br/>
              <w:t>V čl. I bode 1 na konci § 4 ods. 1 navrhujeme doplniť slová „a môžu vyžadovať preukázanie údajov podľa osobitného predpisu.XX)“. A v čl. I bode 1 navrhujeme do § 4 doplniť nový odsek 3, ktorý znie: „(3) Ak pri kontrole podľa odseku 1 neboli dostatočne preukázané údaje podľa osobitného predpisu,XX) povinnosť oznámiť peňažné prostriedky v hotovosti so sprievodom podľa osobitného predpisu3d) alebo povinnosť nahlásiť peňažné prostriedky v hotovosti bez sprievodu sa nepovažuje za splnenú.“. Doterajšie odseky 3 a 4 sa označujú ako odseky 4 a 5. Poznámka pod čiarou k odkazu XX znie: „XX) Čl. 3 ods. 2 a čl. 4 ods. 2 nariadenia (EÚ) 2018/1672.“. Túto pripomienku považujeme za zásadnú. Odôvodnenie: Podľa predmetného návrhu pri kontrole plnenia povinnosti oznámiť peňažné prostriedky v hotovosti so sprievodom podľa osobitného predpisu a pri kontrole vykonávanej na účely plnenia povinnosti nahlásiť peňažné prostriedky v hotovosti bez sprievodu podľa osobitného predpisu majú colné orgány rovnaké oprávnenia ako pri colnej kontrole. V tejto súvislosti sa navrhuje precizovať a doplniť oprávnenie na vyžadovanie preukázania údajov deklarovaných v oznámení o peňažných prostriedkoch v hotovosti so sprievodom a peňažných prostriedkoch v hotovosti bez sprievodu, čím sa zvýši možnosť colných orgánov odhaľovať možnú legalizáciu peňažných prostriedkov pochádzajúcich z trestnej činnosti. Zároveň sa umožní dopĺňať údaje, ktoré sú potrebné pri prípadnom preverovaní takého podozrenia (napr. deklarovaný účel použitia). Taktiež sa navrhuje, aby nedostatočné preukázanie uvedených údajov malo za následok nesplnenie si príslušnej povinnosti a tým bolo umožnené ich zadržanie na účel ďalšieho preverovania. Záverom poukazujeme na negatívne hodnotenie MONEYVAL (výbor expertov na hodnotenie opatrení proti praniu špinavých peňazí a financovaniu terorizmu) na uvedenom úseku. Oblasť preverovania pohybu peňažných prostriedkov v hotovosti vstupujúcich do únie alebo opúšťajúcich úniu bola MONEYVALOM hodnotená ako jedna z najhorších a predmetný návrh zmeny zákona situáciu nemení.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Na rozporovom konaní 21.01.2021 MF SR poukázalo na možný rozpor navrhovanej právnej úpravy s nariadením Európskeho parlamentu a Rady (EÚ) 2018/1672 z 23. októbra 2018 o kontrolách peňažných prostriedkov v hotovosti, ktoré vstupujú do Únie alebo opúšťajú Úniu, a ktorým sa zrušuje nariadenie (ES) č. 1889/2005, ktoré sa predloženým návrhom implementuje. MF SR zároveň informovalo, že overilo postup ostatných ČŠ EÚ a z odpovedí ČŠ vyplynulo, že úpravu nariadenia nerozširujú. Napriek tomu sa MF SR a MV SR zhodli na tom, že predmetná právna úprava si zasluhuje pozornosť z hľadiska jej efektivity v praxi, budú preto spolu s finančnou správou a príslušnými útvarmi Policajného zboru sledovať a vyhodnocovať aplikačnú prax a v prípade potreby zvážia iniciovanie dodatočných legislatívnych úprav. Na základe uvedeného MV SR konštatovalo, že netrvá na vznesenej pripomienke.</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Navrhujeme vypustiť. Odôvodnenie: Podľa § 85 ods. 1 zákona č. 199/2004 Z. z. Colný zákon a o zmene a doplnení niektorých zákonov v znení neskorších predpisov: „Na konanie podľa tohto zákona alebo podľa osobitného predpisu sa vzťahuje všeobecný predpis o správnom konaní, ak tento zákon alebo osobitný predpis neustanovuje inak. Vylúčenie použitia Správneho poriadku colnými orgánmi je v Colnom zákone vždy uvedené (napr. § 36 ods. 3 a 5 Colného zákona, atď.). Nariadenie (EÚ) č. 952/2013 v platnom znení (Colný kódex Únie) neobsahuje také osobitné konanie, kde by nebola súčasná právna úprava vnútroštátneho právneho predpisu nezrozumiteľná, resp. nedostatočná k ďalšiemu vylúčeniu Správneho poriadku. Vydanie rozhodnutia v samostatnej lehote podľa § 85 ods. 9 Colného zákona je procesne ovládané Správnym poriadkom, okrem vydania rozhodnutia v colnom konaní podľa § 36 Colného zákona, kde je z osobitosti tohto konania vylúčený Správny poriadok. Vzťah Colného zákona, resp. Colného kódexu Únie a nadväzujúcich právnych predpisov na Colný kódex Únie (Vykonávacie nariadenie č. 2015/2447 a Delegované nariadenie č. 2015/2446) k Správnemu poriadku má charakter lex specialis k lex generalis, pričom zdupľovanie významu prerušenia plynutia lehôt počas prerušenia konania podľa § 29 ods. 5 Správneho poriadku nemá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 29 Správneho poriadku upravuje prerušenie lehôt, ktoré sú upravené len v Správnom poriadku. Podľa dikcie § 29 ods. 5 Správneho poriadku „Pokiaľ je konanie prerušené, lehoty podľa tohto zákona neplynú.“ Samotný Správny poriadok teda nerieši spočívanie lehôt upravených v osobitných predpisoch. S týmto problémom sa stretli aj colné orgány pri aplikácii Colného zákona (CZ). V návrhu zákona sa preto navrhuje ustanovenie, podľa ktorého počas prerušenia konania pred colnými orgánmi neplynie ani lehota, ktorú vo vzťahu k takémuto konaniu upravuje CZ. MF SR sa preto s uplatnenou pripomienkou nestotožňuje. Na rozporovom konaní dňa 22. 01. 2021 (písomnou formou) SAK uviedla, že charakter pripomienky mení zo zásadnej na obyčajnú.</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V poznámke pod čiarou k odkazu 83 navrhujeme nahradiť odkaz na „Nariadenie Rady (EHS) č. 2913/92 v platnom znení. Nariadenie Komisie (EHS) č. 2454/93 v platnom znení.“ odkazom na: „Nariadenie (EÚ) č. 952/2013 v platnom znení.“ Odôvodnenie: Poznámka pod čiarou k odkazu 83 odkazuje na právne predpisy, ktoré boli od 1.5.2016 nahradené Nariadením (EÚ) č. 952/2013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Podľa bodu 38 prílohy č. 1 k LPV SR nemožno poznámky pod čiarou novelizovať v samostatných novelizačných bodoch. MF SR preto nemôže pripomienke vyhovieť. Na rozporovom konaní dňa 22. 1. 2021 (písomnou formou) SAK uviedla, že charakter pripomienky mení zo zásadnej na obyčajnú.</w:t>
            </w:r>
          </w:p>
        </w:tc>
      </w:tr>
      <w:tr w:rsidR="008F6273">
        <w:trPr>
          <w:divId w:val="1131510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b/>
                <w:bCs/>
                <w:sz w:val="25"/>
                <w:szCs w:val="25"/>
              </w:rPr>
              <w:t>Poznámke pod čiarou k odkazu 72</w:t>
            </w:r>
            <w:r>
              <w:rPr>
                <w:rFonts w:ascii="Times" w:hAnsi="Times" w:cs="Times"/>
                <w:sz w:val="25"/>
                <w:szCs w:val="25"/>
              </w:rPr>
              <w:br/>
              <w:t>V poznámke pod čiarou k odkazu 72 navrhujeme úplne vypustiť „zákon č. 264/1999 Z. z. v znení neskorších predpisov“, prípadne ho navrhujeme aspoň nahradiť zákonom č. 56/2018 Z. z. o posudzovaní zhody výrobku, sprístupňovaní určeného výrobku na trhu a o zmene a doplnení niektorých zákonov. Rovnako v poznámke pod čiarou k odkazu 73 navrhujeme nahradiť citáciu „zákon č. 264/1999 Z. z. v znení neskorších predpisov“ citáciou „zákon č. 56/2018 Z. z. o posudzovaní zhody výrobku, sprístupňovaní určeného výrobku na trhu a o zmene a doplnení niektorých zákonov.“. Zároveň v poznámke pod čiarou k odkazu 73 navrhujeme doplniť ďalšie predpisy, ktoré implementujú alebo transponujú predpisy uvedené v prílohe č. 1 nariadenia Európskeho parlamentu a Rady (EÚ) 2019/1020 z 20. júna 2019 o dohľade nad trhom a súlade výrobkov a o zmene smernice 2004/42/ES a nariadení (ES) č. 765/2008 a (EÚ) č. 305/2011. Odôvodnenie: V poznámke pod čiarou k odkazu č. 5 bol správne nahradený zákon č. 264/1999 Z. z. o technických pohľadávkach na výrobky a o posudzovaní zhody a o zmene a doplnení niektorých zákonov v znení neskorších predpisov (ďalej len „zákon č. 264/1999 Z. z.“) zákonom č. 56/2018 Z. z. o posudzovaní zhody výrobku, sprístupňovaní určeného výrobku na trhu a o zmene a doplnení niektorých zákonov. Avšak v poznámke pod čiarou k odkazu 72 a 73 ostal ponechaný už zrušený zákon č. 264/1999 Z. z. Z toho dôvodu navrhujeme nahradiť zákon č. 264/1999 Z. z. zákonom č. 56/2018 Z. z. o posudzovaní zhody výrobku, sprístupňovaní určeného výrobku na trhu a o zmene a doplnení niektorých zákonov aj v týchto poznámkach pod čiarou k odkazom 72 a 73. Zároveň v poznámke pod čiarou k odkazu 73 navrhujeme doplniť ďalšie predpisy, ktoré implementujú alebo transponujú predpisy uvedené v prílohe č. 1 nariadenia Európskeho parlamentu a Rady (EÚ) 2019/1020 z 20. júna 2019 o dohľade nad trhom a súlade výrobkov a o zmene smernice 2004/42/ES a nariadení (ES) č. 765/2008 a (EÚ) č. 305/2011, nakoľko nie všetky predpisy uvedené v prílohe č. 1 tohto nariadenia sú pokryté zákonom č. 56/2018 Z. z. o posudzovaní zhody výrobku, sprístupňovaní určeného výrobku na trhu a o zmene a doplnení niektorých zákonov, resp. zákonom č. 634/1992 Zb. o ochrane spotrebiteľa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F6273" w:rsidRDefault="008F6273">
            <w:pPr>
              <w:rPr>
                <w:rFonts w:ascii="Times" w:hAnsi="Times" w:cs="Times"/>
                <w:sz w:val="25"/>
                <w:szCs w:val="25"/>
              </w:rPr>
            </w:pPr>
            <w:r>
              <w:rPr>
                <w:rFonts w:ascii="Times" w:hAnsi="Times" w:cs="Times"/>
                <w:sz w:val="25"/>
                <w:szCs w:val="25"/>
              </w:rPr>
              <w:t>Podľa bodu 38 prílohy č. 1 k LPV SR nemožno poznámky pod čiarou novelizovať v samostatných novelizačných bodoch.</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8F6273"/>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943">
      <w:bodyDiv w:val="1"/>
      <w:marLeft w:val="0"/>
      <w:marRight w:val="0"/>
      <w:marTop w:val="0"/>
      <w:marBottom w:val="0"/>
      <w:divBdr>
        <w:top w:val="none" w:sz="0" w:space="0" w:color="auto"/>
        <w:left w:val="none" w:sz="0" w:space="0" w:color="auto"/>
        <w:bottom w:val="none" w:sz="0" w:space="0" w:color="auto"/>
        <w:right w:val="none" w:sz="0" w:space="0" w:color="auto"/>
      </w:divBdr>
    </w:div>
    <w:div w:id="348606740">
      <w:bodyDiv w:val="1"/>
      <w:marLeft w:val="0"/>
      <w:marRight w:val="0"/>
      <w:marTop w:val="0"/>
      <w:marBottom w:val="0"/>
      <w:divBdr>
        <w:top w:val="none" w:sz="0" w:space="0" w:color="auto"/>
        <w:left w:val="none" w:sz="0" w:space="0" w:color="auto"/>
        <w:bottom w:val="none" w:sz="0" w:space="0" w:color="auto"/>
        <w:right w:val="none" w:sz="0" w:space="0" w:color="auto"/>
      </w:divBdr>
    </w:div>
    <w:div w:id="725450266">
      <w:bodyDiv w:val="1"/>
      <w:marLeft w:val="0"/>
      <w:marRight w:val="0"/>
      <w:marTop w:val="0"/>
      <w:marBottom w:val="0"/>
      <w:divBdr>
        <w:top w:val="none" w:sz="0" w:space="0" w:color="auto"/>
        <w:left w:val="none" w:sz="0" w:space="0" w:color="auto"/>
        <w:bottom w:val="none" w:sz="0" w:space="0" w:color="auto"/>
        <w:right w:val="none" w:sz="0" w:space="0" w:color="auto"/>
      </w:divBdr>
    </w:div>
    <w:div w:id="847402663">
      <w:bodyDiv w:val="1"/>
      <w:marLeft w:val="0"/>
      <w:marRight w:val="0"/>
      <w:marTop w:val="0"/>
      <w:marBottom w:val="0"/>
      <w:divBdr>
        <w:top w:val="none" w:sz="0" w:space="0" w:color="auto"/>
        <w:left w:val="none" w:sz="0" w:space="0" w:color="auto"/>
        <w:bottom w:val="none" w:sz="0" w:space="0" w:color="auto"/>
        <w:right w:val="none" w:sz="0" w:space="0" w:color="auto"/>
      </w:divBdr>
    </w:div>
    <w:div w:id="1131510438">
      <w:bodyDiv w:val="1"/>
      <w:marLeft w:val="0"/>
      <w:marRight w:val="0"/>
      <w:marTop w:val="0"/>
      <w:marBottom w:val="0"/>
      <w:divBdr>
        <w:top w:val="none" w:sz="0" w:space="0" w:color="auto"/>
        <w:left w:val="none" w:sz="0" w:space="0" w:color="auto"/>
        <w:bottom w:val="none" w:sz="0" w:space="0" w:color="auto"/>
        <w:right w:val="none" w:sz="0" w:space="0" w:color="auto"/>
      </w:divBdr>
    </w:div>
    <w:div w:id="1418096840">
      <w:bodyDiv w:val="1"/>
      <w:marLeft w:val="0"/>
      <w:marRight w:val="0"/>
      <w:marTop w:val="0"/>
      <w:marBottom w:val="0"/>
      <w:divBdr>
        <w:top w:val="none" w:sz="0" w:space="0" w:color="auto"/>
        <w:left w:val="none" w:sz="0" w:space="0" w:color="auto"/>
        <w:bottom w:val="none" w:sz="0" w:space="0" w:color="auto"/>
        <w:right w:val="none" w:sz="0" w:space="0" w:color="auto"/>
      </w:divBdr>
    </w:div>
    <w:div w:id="1817332946">
      <w:bodyDiv w:val="1"/>
      <w:marLeft w:val="0"/>
      <w:marRight w:val="0"/>
      <w:marTop w:val="0"/>
      <w:marBottom w:val="0"/>
      <w:divBdr>
        <w:top w:val="none" w:sz="0" w:space="0" w:color="auto"/>
        <w:left w:val="none" w:sz="0" w:space="0" w:color="auto"/>
        <w:bottom w:val="none" w:sz="0" w:space="0" w:color="auto"/>
        <w:right w:val="none" w:sz="0" w:space="0" w:color="auto"/>
      </w:divBdr>
    </w:div>
    <w:div w:id="20724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1.2021 13:24:58"/>
    <f:field ref="objchangedby" par="" text="Administrator, System"/>
    <f:field ref="objmodifiedat" par="" text="29.1.2021 13:25:0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3336</Words>
  <Characters>19018</Characters>
  <Application>Microsoft Office Word</Application>
  <DocSecurity>4</DocSecurity>
  <Lines>158</Lines>
  <Paragraphs>44</Paragraphs>
  <ScaleCrop>false</ScaleCrop>
  <Company/>
  <LinksUpToDate>false</LinksUpToDate>
  <CharactersWithSpaces>22310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2021-01-29T12:25:00Z</dcterms:created>
  <dcterms:modified xsi:type="dcterms:W3CDTF">2021-01-29T12:25:00Z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justify;"&gt;Verejnosť bola o&amp;nbsp;príprave návrhu zákona, ktorým sa mení a dopĺňa zákon č. 199/2004 Z. z. Colný zákon a o zmene a doplnení niektorých zákonov v znení neskorších predpisov a ktorým sa menia niektoré zákony informovaná prostredníctvom predbežnej informácie č. PI/2020/225 zverejnenej v informačnom systéme verejnej správy Slov-Lex. Na základe zverejnenej predbežnej informácie PI/2020/225 mohla verejnosť do 23. októbra 2020 predkladať svoje návrhy a&amp;nbsp;pripomienky. V uvedenom termíne sa nevyjadril žiadny subjekt.&amp;nbsp;&lt;/p&gt;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Finančné právo_x000d__x000a_Colná správa_x000d__x000a_Colné orgány_x000d__x000a_Colné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Janka Mareková</vt:lpwstr>
  </property>
  <property name="FSC#SKEDITIONSLOVLEX@103.510:zodppredkladatel" pid="11" fmtid="{D5CDD505-2E9C-101B-9397-08002B2CF9AE}">
    <vt:lpwstr>Ing. Eduard Heger</vt:lpwstr>
  </property>
  <property name="FSC#SKEDITIONSLOVLEX@103.510:dalsipredkladatel" pid="12" fmtid="{D5CDD505-2E9C-101B-9397-08002B2CF9AE}">
    <vt:lpwstr/>
  </property>
  <property name="FSC#SKEDITIONSLOVLEX@103.510:nazovpredpis" pid="13" fmtid="{D5CDD505-2E9C-101B-9397-08002B2CF9AE}">
    <vt:lpwstr>, ktorým sa mení a dopĺňa zákon č. 199/2004 Z. z. Colný zákon a o zmene a doplnení niektorých zákonov v znení neskorších predpisov a ktorým sa menia 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financií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vlády SR na rok 2021</vt:lpwstr>
  </property>
  <property name="FSC#SKEDITIONSLOVLEX@103.510:plnynazovpredpis" pid="22" fmtid="{D5CDD505-2E9C-101B-9397-08002B2CF9AE}">
    <vt:lpwstr> Zákon, ktorým sa mení a dopĺňa zákon č. 199/2004 Z. z. Colný zákon a o zmene a doplnení niektorých zákonov v znení neskorších predpisov a ktorým sa menia 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MF/003840/2021-75</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LP/2020/652</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republiky_x000d__x000a_podpredseda vlády a minister financií SR</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podpredseda vlády a minister financií SR</vt:lpwstr>
  </property>
  <property name="FSC#SKEDITIONSLOVLEX@103.510:funkciaZodpPredAkuzativ" pid="141" fmtid="{D5CDD505-2E9C-101B-9397-08002B2CF9AE}">
    <vt:lpwstr>podpredsedu vlády a ministra financií SR</vt:lpwstr>
  </property>
  <property name="FSC#SKEDITIONSLOVLEX@103.510:funkciaZodpPredDativ" pid="142" fmtid="{D5CDD505-2E9C-101B-9397-08002B2CF9AE}">
    <vt:lpwstr>podpredsedovi vlády a ministrovi financií SR</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Ing. Eduard Heger_x000d__x000a_podpredseda vlády a minister financií SR</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financií Slovenskej republiky predkladá na základe Plánu legislatívnych úloh vlády Slovenskej republiky na rok 2021 návrh zákona, ktorým sa mení a dopĺňa zákon č. 199/2004 Z. z. Colný zákon a o zmene a doplnení niektorých zákonov v znení neskorších predpisov a ktorým sa menia niektoré zákony.&lt;/p&gt;&lt;p style="text-align: justify;"&gt;Dôvodom vypracovania uvedeného návrhu zákona je implementácia niektorých ustanovení nariadenia Európskeho parlamentu a Rady (EÚ) 2018/1672 z 23. októbra 2018 o kontrolách peňažných prostriedkov v hotovosti, ktoré vstupujú do Únie alebo opúšťajú Úniu, a ktorým sa zrušuje nariadenie (ES) č. 1889/2005 a nariadenia Európskeho parlamentu a Rady (EÚ) 2019/1020 z 20. júna 2019 o dohľade nad trhom a súlade výrobkov a o zmene smernice 2004/42/ES a nariadení (ES) č. 765/2008 a (EÚ) č. 305/2011.&lt;/p&gt;&lt;p style="text-align: justify;"&gt;Návrhom zákona sa tiež upravia niektoré ustanovenia Colného zákona a&amp;nbsp;zákona o&amp;nbsp;finančnej správe &amp;nbsp;na základe poznatkov získaných v aplikačnej praxi.&lt;/p&gt;&lt;p style="text-align: justify;"&gt;Návrh zákona nebude mať vplyv na rozpočet verejnej správy, na podnikateľské prostredie, nebude mať sociálne vplyvy a ani vplyv na životné prostredie, na informatizáciu spoločnosti, na služby verejnej správy pre občana a na manželstvo, rodičovstvo a rodinu.&lt;/p&gt;&lt;p style="text-align: justify;"&gt;Návrh zákona je v súlade s Ústavou Slovenskej republiky, s&amp;nbsp;ústavnými zákonmi a nálezmi Ústavného súdu Slovenskej republiky, s inými zákonmi a ostatnými všeobecne záväznými právnymi predpismi, s medzinárodnými zmluvami a inými medzinárodnými dokumentmi, ktorými je Slovenská republika viazaná, ako aj s právom Európskej únie.&lt;/p&gt;&lt;p style="text-align: justify;"&gt;Uvedený návrh zákona nemá byť predmetom vnútrokomunitárneho pripomienkového konania.&lt;/p&gt;&lt;p style="text-align: justify;"&gt;Navrhuje sa, aby zákon nadobudol účinnosť 3. júna 2021 okrem ustanovení týkajúcich sa úpravy vzťahov pri dovoze výrobkov, ktoré sa majú uviesť na trh, ktoré majú nadobudnúť účinnosť 16. júla 2021.&lt;/p&gt;</vt:lpwstr>
  </property>
  <property name="FSC#COOSYSTEM@1.1:Container" pid="149" fmtid="{D5CDD505-2E9C-101B-9397-08002B2CF9AE}">
    <vt:lpwstr>COO.2145.1000.3.4227006</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29. 1. 2021</vt:lpwstr>
  </property>
</Properties>
</file>