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9F2DFA" w:rsidRPr="00F04CCD" w14:paraId="0BEBD0EF" w14:textId="77777777" w:rsidTr="00151977">
        <w:trPr>
          <w:trHeight w:val="567"/>
        </w:trPr>
        <w:tc>
          <w:tcPr>
            <w:tcW w:w="9212" w:type="dxa"/>
            <w:shd w:val="clear" w:color="auto" w:fill="D9D9D9" w:themeFill="background1" w:themeFillShade="D9"/>
          </w:tcPr>
          <w:p w14:paraId="701A2D92" w14:textId="50187A58" w:rsidR="009F2DFA" w:rsidRPr="00042C66" w:rsidRDefault="008A1252" w:rsidP="00151977">
            <w:pPr>
              <w:jc w:val="center"/>
              <w:rPr>
                <w:b/>
                <w:sz w:val="24"/>
              </w:rPr>
            </w:pPr>
            <w:bookmarkStart w:id="0" w:name="_GoBack"/>
            <w:bookmarkEnd w:id="0"/>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14:paraId="37532629" w14:textId="77777777"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14:paraId="53CA425C" w14:textId="77777777" w:rsidTr="00151977">
        <w:trPr>
          <w:trHeight w:val="567"/>
        </w:trPr>
        <w:tc>
          <w:tcPr>
            <w:tcW w:w="9212" w:type="dxa"/>
            <w:shd w:val="clear" w:color="auto" w:fill="D9D9D9" w:themeFill="background1" w:themeFillShade="D9"/>
          </w:tcPr>
          <w:p w14:paraId="70BB12B9" w14:textId="77777777" w:rsidR="009F2DFA" w:rsidRPr="00042C66" w:rsidRDefault="009F2DFA" w:rsidP="00590F35">
            <w:pPr>
              <w:rPr>
                <w:b/>
                <w:sz w:val="24"/>
              </w:rPr>
            </w:pPr>
            <w:r w:rsidRPr="00042C66">
              <w:rPr>
                <w:b/>
                <w:sz w:val="24"/>
              </w:rPr>
              <w:t>Materiál bude mať vplyv s</w:t>
            </w:r>
            <w:r w:rsidR="00590F35">
              <w:rPr>
                <w:b/>
                <w:sz w:val="24"/>
              </w:rPr>
              <w:t xml:space="preserve"> </w:t>
            </w:r>
            <w:r w:rsidRPr="00042C66">
              <w:rPr>
                <w:b/>
                <w:sz w:val="24"/>
              </w:rPr>
              <w:t>ohľadom na veľkostnú kategóriu podnikov:</w:t>
            </w:r>
          </w:p>
        </w:tc>
      </w:tr>
      <w:tr w:rsidR="009F2DFA" w:rsidRPr="00F04CCD" w14:paraId="45E4834B" w14:textId="77777777" w:rsidTr="00151977">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14:paraId="396F9BB4" w14:textId="77777777" w:rsidTr="00151977">
              <w:sdt>
                <w:sdtPr>
                  <w:id w:val="43339831"/>
                  <w14:checkbox>
                    <w14:checked w14:val="1"/>
                    <w14:checkedState w14:val="2612" w14:font="MS Gothic"/>
                    <w14:uncheckedState w14:val="2610" w14:font="MS Gothic"/>
                  </w14:checkbox>
                </w:sdtPr>
                <w:sdtEndPr/>
                <w:sdtContent>
                  <w:tc>
                    <w:tcPr>
                      <w:tcW w:w="436" w:type="dxa"/>
                    </w:tcPr>
                    <w:p w14:paraId="1160A6B4" w14:textId="0E9C275C" w:rsidR="009F2DFA" w:rsidRPr="00F04CCD" w:rsidRDefault="00A46126" w:rsidP="00151977">
                      <w:pPr>
                        <w:jc w:val="center"/>
                      </w:pPr>
                      <w:r>
                        <w:rPr>
                          <w:rFonts w:ascii="MS Gothic" w:eastAsia="MS Gothic" w:hAnsi="MS Gothic" w:hint="eastAsia"/>
                        </w:rPr>
                        <w:t>☒</w:t>
                      </w:r>
                    </w:p>
                  </w:tc>
                </w:sdtContent>
              </w:sdt>
              <w:tc>
                <w:tcPr>
                  <w:tcW w:w="8545" w:type="dxa"/>
                </w:tcPr>
                <w:p w14:paraId="43E814B7" w14:textId="77777777" w:rsidR="009F2DFA" w:rsidRPr="00F04CCD" w:rsidRDefault="009F2DFA" w:rsidP="00151977">
                  <w:pPr>
                    <w:rPr>
                      <w:b/>
                    </w:rPr>
                  </w:pPr>
                  <w:r w:rsidRPr="00F04CCD">
                    <w:rPr>
                      <w:b/>
                    </w:rPr>
                    <w:t xml:space="preserve">iba na MSP (0 - 249 zamestnancov) </w:t>
                  </w:r>
                </w:p>
              </w:tc>
            </w:tr>
            <w:tr w:rsidR="009F2DFA" w:rsidRPr="00F04CCD" w14:paraId="7029AE3E" w14:textId="77777777" w:rsidTr="00151977">
              <w:sdt>
                <w:sdtPr>
                  <w:id w:val="-79453833"/>
                  <w14:checkbox>
                    <w14:checked w14:val="0"/>
                    <w14:checkedState w14:val="2612" w14:font="MS Gothic"/>
                    <w14:uncheckedState w14:val="2610" w14:font="MS Gothic"/>
                  </w14:checkbox>
                </w:sdtPr>
                <w:sdtEndPr/>
                <w:sdtContent>
                  <w:tc>
                    <w:tcPr>
                      <w:tcW w:w="436" w:type="dxa"/>
                    </w:tcPr>
                    <w:p w14:paraId="09B51F76" w14:textId="77777777" w:rsidR="009F2DFA" w:rsidRPr="00F04CCD" w:rsidRDefault="00D25514" w:rsidP="00151977">
                      <w:pPr>
                        <w:jc w:val="center"/>
                      </w:pPr>
                      <w:r>
                        <w:rPr>
                          <w:rFonts w:ascii="MS Gothic" w:eastAsia="MS Gothic" w:hAnsi="MS Gothic" w:hint="eastAsia"/>
                        </w:rPr>
                        <w:t>☐</w:t>
                      </w:r>
                    </w:p>
                  </w:tc>
                </w:sdtContent>
              </w:sdt>
              <w:tc>
                <w:tcPr>
                  <w:tcW w:w="8545" w:type="dxa"/>
                </w:tcPr>
                <w:p w14:paraId="0484A7E5" w14:textId="77777777" w:rsidR="009F2DFA" w:rsidRPr="00F04CCD" w:rsidRDefault="009F2DFA" w:rsidP="00151977">
                  <w:pPr>
                    <w:rPr>
                      <w:b/>
                    </w:rPr>
                  </w:pPr>
                  <w:r w:rsidRPr="00F04CCD">
                    <w:rPr>
                      <w:b/>
                    </w:rPr>
                    <w:t>iba na veľké podniky (250 a viac zamestnancov)</w:t>
                  </w:r>
                </w:p>
              </w:tc>
            </w:tr>
            <w:tr w:rsidR="009F2DFA" w:rsidRPr="00F04CCD" w14:paraId="27852DF6" w14:textId="77777777" w:rsidTr="00151977">
              <w:sdt>
                <w:sdtPr>
                  <w:id w:val="1290634502"/>
                  <w14:checkbox>
                    <w14:checked w14:val="0"/>
                    <w14:checkedState w14:val="2612" w14:font="MS Gothic"/>
                    <w14:uncheckedState w14:val="2610" w14:font="MS Gothic"/>
                  </w14:checkbox>
                </w:sdtPr>
                <w:sdtEndPr/>
                <w:sdtContent>
                  <w:tc>
                    <w:tcPr>
                      <w:tcW w:w="436" w:type="dxa"/>
                    </w:tcPr>
                    <w:p w14:paraId="0A0E6741" w14:textId="7517BF74" w:rsidR="009F2DFA" w:rsidRPr="00F04CCD" w:rsidRDefault="00A46126" w:rsidP="00151977">
                      <w:pPr>
                        <w:jc w:val="center"/>
                      </w:pPr>
                      <w:r>
                        <w:rPr>
                          <w:rFonts w:ascii="MS Gothic" w:eastAsia="MS Gothic" w:hAnsi="MS Gothic" w:hint="eastAsia"/>
                        </w:rPr>
                        <w:t>☐</w:t>
                      </w:r>
                    </w:p>
                  </w:tc>
                </w:sdtContent>
              </w:sdt>
              <w:tc>
                <w:tcPr>
                  <w:tcW w:w="8545" w:type="dxa"/>
                </w:tcPr>
                <w:p w14:paraId="659BDD49" w14:textId="77777777" w:rsidR="009F2DFA" w:rsidRPr="00F04CCD" w:rsidRDefault="009F2DFA" w:rsidP="00151977">
                  <w:r w:rsidRPr="00F04CCD">
                    <w:rPr>
                      <w:b/>
                    </w:rPr>
                    <w:t xml:space="preserve">na všetky </w:t>
                  </w:r>
                  <w:r>
                    <w:rPr>
                      <w:b/>
                    </w:rPr>
                    <w:t>kategórie</w:t>
                  </w:r>
                  <w:r w:rsidRPr="00F04CCD">
                    <w:rPr>
                      <w:b/>
                    </w:rPr>
                    <w:t xml:space="preserve"> podnikov</w:t>
                  </w:r>
                </w:p>
              </w:tc>
            </w:tr>
          </w:tbl>
          <w:p w14:paraId="3B40F42F" w14:textId="77777777" w:rsidR="009F2DFA" w:rsidRPr="00F04CCD" w:rsidRDefault="009F2DFA" w:rsidP="00151977">
            <w:pPr>
              <w:rPr>
                <w:b/>
              </w:rPr>
            </w:pPr>
          </w:p>
        </w:tc>
      </w:tr>
      <w:tr w:rsidR="009F2DFA" w:rsidRPr="00F04CCD" w14:paraId="181D38F7" w14:textId="77777777" w:rsidTr="00151977">
        <w:tc>
          <w:tcPr>
            <w:tcW w:w="9212" w:type="dxa"/>
            <w:shd w:val="clear" w:color="auto" w:fill="D9D9D9" w:themeFill="background1" w:themeFillShade="D9"/>
          </w:tcPr>
          <w:p w14:paraId="6A8DB460" w14:textId="77777777" w:rsidR="009F2DFA" w:rsidRPr="00042C66" w:rsidRDefault="002B1108" w:rsidP="00151977">
            <w:pPr>
              <w:rPr>
                <w:b/>
                <w:sz w:val="24"/>
              </w:rPr>
            </w:pPr>
            <w:r>
              <w:rPr>
                <w:b/>
                <w:sz w:val="24"/>
              </w:rPr>
              <w:t>3</w:t>
            </w:r>
            <w:r w:rsidR="009F2DFA" w:rsidRPr="00042C66">
              <w:rPr>
                <w:b/>
                <w:sz w:val="24"/>
              </w:rPr>
              <w:t>.1 Dotknuté podnikateľské subjekty</w:t>
            </w:r>
          </w:p>
          <w:p w14:paraId="594DC8CD" w14:textId="77777777" w:rsidR="009F2DFA" w:rsidRPr="00F04CCD" w:rsidRDefault="009F2DFA" w:rsidP="00590F35">
            <w:pPr>
              <w:ind w:left="284"/>
              <w:rPr>
                <w:b/>
              </w:rPr>
            </w:pPr>
            <w:r w:rsidRPr="00042C66">
              <w:rPr>
                <w:sz w:val="24"/>
              </w:rPr>
              <w:t xml:space="preserve"> - </w:t>
            </w:r>
            <w:r w:rsidRPr="00042C66">
              <w:rPr>
                <w:b/>
                <w:sz w:val="24"/>
              </w:rPr>
              <w:t>z</w:t>
            </w:r>
            <w:r w:rsidR="00590F35">
              <w:rPr>
                <w:b/>
                <w:sz w:val="24"/>
              </w:rPr>
              <w:t xml:space="preserve"> </w:t>
            </w:r>
            <w:r w:rsidRPr="00042C66">
              <w:rPr>
                <w:b/>
                <w:sz w:val="24"/>
              </w:rPr>
              <w:t>toho MSP</w:t>
            </w:r>
          </w:p>
        </w:tc>
      </w:tr>
      <w:tr w:rsidR="009F2DFA" w:rsidRPr="00F04CCD" w14:paraId="38E03B83" w14:textId="77777777" w:rsidTr="00151977">
        <w:tc>
          <w:tcPr>
            <w:tcW w:w="9212" w:type="dxa"/>
            <w:tcBorders>
              <w:bottom w:val="single" w:sz="4" w:space="0" w:color="auto"/>
            </w:tcBorders>
          </w:tcPr>
          <w:p w14:paraId="341F2310" w14:textId="77777777" w:rsidR="009F2DFA" w:rsidRPr="00F04CCD" w:rsidRDefault="009F2DFA" w:rsidP="00151977">
            <w:pPr>
              <w:rPr>
                <w:i/>
              </w:rPr>
            </w:pPr>
            <w:r w:rsidRPr="00F04CCD">
              <w:rPr>
                <w:i/>
              </w:rPr>
              <w:t>Uveďte, aké podnikateľské subjekty budú predkladaným návrhom ovplyvnené.</w:t>
            </w:r>
          </w:p>
          <w:p w14:paraId="2990F3A8" w14:textId="77777777" w:rsidR="009F2DFA" w:rsidRPr="00F04CCD" w:rsidRDefault="009F2DFA" w:rsidP="00151977">
            <w:pPr>
              <w:rPr>
                <w:i/>
              </w:rPr>
            </w:pPr>
            <w:r w:rsidRPr="00F04CCD">
              <w:rPr>
                <w:i/>
              </w:rPr>
              <w:t>Aký je ich počet?</w:t>
            </w:r>
          </w:p>
        </w:tc>
      </w:tr>
      <w:tr w:rsidR="009F2DFA" w:rsidRPr="00F04CCD" w14:paraId="2A293748" w14:textId="77777777" w:rsidTr="00151977">
        <w:trPr>
          <w:trHeight w:val="1440"/>
        </w:trPr>
        <w:tc>
          <w:tcPr>
            <w:tcW w:w="9212" w:type="dxa"/>
            <w:tcBorders>
              <w:bottom w:val="single" w:sz="4" w:space="0" w:color="auto"/>
            </w:tcBorders>
          </w:tcPr>
          <w:p w14:paraId="1C457DB5" w14:textId="4225A002" w:rsidR="00AF4202" w:rsidRDefault="00A46126">
            <w:pPr>
              <w:jc w:val="both"/>
            </w:pPr>
            <w:r>
              <w:t>Schválením nariadenia vlády Slovenskej republiky, ktorým sa vyhlasuje prírodná rezervácia Oborínsky luh</w:t>
            </w:r>
            <w:r w:rsidR="00BC3AA0">
              <w:t xml:space="preserve"> (ďalej len „návrh nariadenia vlády“),</w:t>
            </w:r>
            <w:r>
              <w:t xml:space="preserve"> </w:t>
            </w:r>
            <w:r w:rsidR="00C60215">
              <w:t>budú ovplyvnení predovšetkým vlastníci a užívatelia pozemkov, na ktorých dôjde k zmene obhospod</w:t>
            </w:r>
            <w:r w:rsidR="005C6BE7">
              <w:t>arovania oproti súčasnému stavu</w:t>
            </w:r>
            <w:r w:rsidR="0032691A">
              <w:t>, resp. od upustenia od obhospodarovania.</w:t>
            </w:r>
            <w:r w:rsidR="00C60215">
              <w:t xml:space="preserve"> Ide o lesné pozemky na </w:t>
            </w:r>
            <w:r>
              <w:t>celom území navrhovanej prírodnej rezervácie (PR) Oborínsky luh</w:t>
            </w:r>
            <w:r w:rsidR="00184E65">
              <w:t xml:space="preserve"> </w:t>
            </w:r>
            <w:r>
              <w:t xml:space="preserve">približne 155 ha, </w:t>
            </w:r>
            <w:r w:rsidR="00E25722" w:rsidRPr="00DC43EB">
              <w:t xml:space="preserve">kde </w:t>
            </w:r>
            <w:r>
              <w:t>je</w:t>
            </w:r>
            <w:r w:rsidR="00E25722" w:rsidRPr="00DC43EB">
              <w:t xml:space="preserve"> navrhnut</w:t>
            </w:r>
            <w:r w:rsidR="000062B8">
              <w:t xml:space="preserve">é zvýšenie stupňa ochrany zo súčasného druhého stupňa na piaty stupeň ochrany (tzv. bezzásahový režim) v zmysle § 16 zákona č. 543/2002 Z. z. o ochrane prírody a krajiny v znení neskorších predpisov (ďalej len „zákon“). </w:t>
            </w:r>
            <w:r w:rsidR="001C50F2">
              <w:t xml:space="preserve">Zvýšením stupňa ochrany dochádza k obmedzeniu bežného obhospodarovania pozemkov v zmysle § 61 zákona </w:t>
            </w:r>
            <w:r w:rsidR="00AF4202">
              <w:t>a vlastníkom pozemkov vzniká nárok na náhradu za obmedzenie bežného obhospodarovania.</w:t>
            </w:r>
          </w:p>
          <w:p w14:paraId="23F6F4C6" w14:textId="77777777" w:rsidR="00AF4202" w:rsidRDefault="00AF4202">
            <w:pPr>
              <w:jc w:val="both"/>
            </w:pPr>
          </w:p>
          <w:p w14:paraId="4C372CEE" w14:textId="1250267B" w:rsidR="000062B8" w:rsidRDefault="001C50F2">
            <w:pPr>
              <w:jc w:val="both"/>
            </w:pPr>
            <w:r>
              <w:t xml:space="preserve">Vlastníci </w:t>
            </w:r>
            <w:r w:rsidR="00D92ADD">
              <w:t xml:space="preserve">97 % výmery </w:t>
            </w:r>
            <w:r>
              <w:t>pozemkov v PR Oborínsky luh sú združení v </w:t>
            </w:r>
            <w:r w:rsidR="002E2C30">
              <w:t>U</w:t>
            </w:r>
            <w:r>
              <w:t xml:space="preserve">rbársko-lesnej a pasienkovej spoločnosti obce Oborín </w:t>
            </w:r>
            <w:r w:rsidR="007760F3">
              <w:t>(ďalej len „pozemkové spoločenstvo“)</w:t>
            </w:r>
            <w:r>
              <w:t xml:space="preserve">, ktoré doteraz zabezpečovalo starostlivosť o územie v rámci bežného obhospodarovania pozemkov a súhlasilo so zvýšením stupňa ochrany na piaty stupeň. </w:t>
            </w:r>
            <w:r w:rsidR="008F51A1">
              <w:t>Neštátn</w:t>
            </w:r>
            <w:r w:rsidR="00D70D8B">
              <w:t xml:space="preserve">i vlastníci pozemkov majú nárok na všetky formy náhrady </w:t>
            </w:r>
            <w:r w:rsidR="008F51A1">
              <w:t>za obmedzenie bežného ob</w:t>
            </w:r>
            <w:r w:rsidR="0032691A">
              <w:t xml:space="preserve">hospodarovania zo štátneho rozpočtu </w:t>
            </w:r>
            <w:r w:rsidR="00E04B7E">
              <w:t>v zmysle</w:t>
            </w:r>
            <w:r w:rsidR="0032691A">
              <w:t xml:space="preserve"> § 61</w:t>
            </w:r>
            <w:r w:rsidR="00E04B7E">
              <w:t xml:space="preserve"> </w:t>
            </w:r>
            <w:r w:rsidR="0032691A">
              <w:t>zákona.</w:t>
            </w:r>
            <w:r w:rsidR="00E04B7E">
              <w:t xml:space="preserve"> </w:t>
            </w:r>
            <w:r w:rsidR="00D077B6">
              <w:t xml:space="preserve">Vlastníci pozemkov v navrhovanej PR Oborínsky luh požadujú finančnú náhradu (§ 61e zákona). </w:t>
            </w:r>
            <w:r w:rsidR="00E04B7E">
              <w:t xml:space="preserve"> </w:t>
            </w:r>
          </w:p>
          <w:p w14:paraId="34B9AAC6" w14:textId="51D9436C" w:rsidR="00BA1B28" w:rsidRDefault="00BA1B28">
            <w:pPr>
              <w:jc w:val="both"/>
            </w:pPr>
          </w:p>
          <w:p w14:paraId="16FC69BE" w14:textId="7556AAEC" w:rsidR="00BA1B28" w:rsidRDefault="00D92ADD">
            <w:pPr>
              <w:jc w:val="both"/>
            </w:pPr>
            <w:r>
              <w:t xml:space="preserve">Na ostatnej výmere </w:t>
            </w:r>
            <w:r w:rsidR="00BA1B28" w:rsidRPr="00BA1B28">
              <w:t xml:space="preserve">V PR Oborínsky luh </w:t>
            </w:r>
            <w:r>
              <w:t>(</w:t>
            </w:r>
            <w:r w:rsidR="00BA1B28" w:rsidRPr="00BA1B28">
              <w:t>3 %</w:t>
            </w:r>
            <w:r>
              <w:t>)</w:t>
            </w:r>
            <w:r w:rsidR="00BA1B28" w:rsidRPr="00BA1B28">
              <w:t xml:space="preserve"> </w:t>
            </w:r>
            <w:r>
              <w:t xml:space="preserve">je správcom </w:t>
            </w:r>
            <w:r w:rsidR="00BA1B28" w:rsidRPr="00BA1B28">
              <w:t>štátny</w:t>
            </w:r>
            <w:r>
              <w:t>ch pozemkov</w:t>
            </w:r>
            <w:r w:rsidR="00BA1B28" w:rsidRPr="00BA1B28">
              <w:t xml:space="preserve"> Slovenský vodohospodársky podnik (SVP)</w:t>
            </w:r>
            <w:r>
              <w:t>, š. p.</w:t>
            </w:r>
            <w:r w:rsidR="00BA1B28" w:rsidRPr="00BA1B28">
              <w:t>. Nepredpokladá sa obmedzenie hospodárenia SVP a nepredpokladajú sa ani dodatočné náklady na hospodárenie SVP. Ďalší vlastníci, správcovia alebo nájomcovia pozemkov nie sú v PR Oborínsky luh evidovaní.</w:t>
            </w:r>
            <w:r w:rsidR="00BF6D35">
              <w:t xml:space="preserve"> </w:t>
            </w:r>
          </w:p>
          <w:p w14:paraId="45A6B479" w14:textId="3349CCE4" w:rsidR="00713064" w:rsidRPr="0032691A" w:rsidRDefault="00713064" w:rsidP="00713064">
            <w:pPr>
              <w:jc w:val="both"/>
            </w:pPr>
          </w:p>
          <w:p w14:paraId="2F3BFEFA" w14:textId="76D32DDC" w:rsidR="00713064" w:rsidRDefault="00713064" w:rsidP="00713064">
            <w:pPr>
              <w:jc w:val="both"/>
            </w:pPr>
            <w:r>
              <w:rPr>
                <w:b/>
                <w:bCs/>
              </w:rPr>
              <w:t xml:space="preserve">Pozitívne vplyvy </w:t>
            </w:r>
            <w:r w:rsidR="002E2C30">
              <w:rPr>
                <w:bCs/>
              </w:rPr>
              <w:t>nastanú</w:t>
            </w:r>
            <w:r w:rsidRPr="00194453">
              <w:rPr>
                <w:bCs/>
              </w:rPr>
              <w:t xml:space="preserve"> </w:t>
            </w:r>
            <w:r>
              <w:rPr>
                <w:bCs/>
              </w:rPr>
              <w:t xml:space="preserve">v prípade, že </w:t>
            </w:r>
            <w:r w:rsidR="002E2C30">
              <w:rPr>
                <w:bCs/>
              </w:rPr>
              <w:t xml:space="preserve">pozemkové spoločenstvo požiada o náhradu za obmedzenie bežného obhospodarovania </w:t>
            </w:r>
            <w:r>
              <w:rPr>
                <w:bCs/>
              </w:rPr>
              <w:t xml:space="preserve">a táto </w:t>
            </w:r>
            <w:r w:rsidR="002E2C30">
              <w:rPr>
                <w:bCs/>
              </w:rPr>
              <w:t>mu</w:t>
            </w:r>
            <w:r>
              <w:rPr>
                <w:bCs/>
              </w:rPr>
              <w:t xml:space="preserve"> bude priznaná (je nárokovateľná). T. j. v plnej miere bude nahradené vzniknuté obmedzenie a okrem </w:t>
            </w:r>
            <w:r w:rsidRPr="00C3002B">
              <w:rPr>
                <w:bCs/>
              </w:rPr>
              <w:t>toho sa zvýši aj hodnota</w:t>
            </w:r>
            <w:r w:rsidRPr="00415842">
              <w:rPr>
                <w:bCs/>
              </w:rPr>
              <w:t xml:space="preserve"> lesných </w:t>
            </w:r>
            <w:r w:rsidR="002E2C30">
              <w:rPr>
                <w:bCs/>
              </w:rPr>
              <w:t>biotopov, ktoré</w:t>
            </w:r>
            <w:r>
              <w:rPr>
                <w:bCs/>
              </w:rPr>
              <w:t xml:space="preserve"> </w:t>
            </w:r>
            <w:r w:rsidR="002E2C30">
              <w:rPr>
                <w:bCs/>
              </w:rPr>
              <w:t xml:space="preserve">sú predmetom ochrany navrhovanej PR Oborínsky luh, </w:t>
            </w:r>
            <w:r>
              <w:rPr>
                <w:bCs/>
              </w:rPr>
              <w:t>a</w:t>
            </w:r>
            <w:r w:rsidR="002E2C30">
              <w:rPr>
                <w:bCs/>
              </w:rPr>
              <w:t xml:space="preserve"> </w:t>
            </w:r>
            <w:r>
              <w:rPr>
                <w:bCs/>
              </w:rPr>
              <w:t> ich schopnosti plniť mimoprodukčné funkcie lesa, vrátane funkcie vodozádržnej a protieróznej, stability ekosystémov</w:t>
            </w:r>
            <w:r w:rsidR="002E2C30">
              <w:rPr>
                <w:bCs/>
              </w:rPr>
              <w:t xml:space="preserve"> a ďalšie. </w:t>
            </w:r>
            <w:r w:rsidR="002E2C30">
              <w:t xml:space="preserve">Územie poskytuje potenciál pre environmentálnu výchovu alebo riešenie projektov zameraných na územia európskeho významu, ktoré by mohli mať za následok aj vznik nových pracovných miest. Tie by boli pravdepodobne len na dobu určitú. </w:t>
            </w:r>
          </w:p>
          <w:p w14:paraId="5ABAA116" w14:textId="77777777" w:rsidR="00713064" w:rsidRDefault="00713064" w:rsidP="00713064">
            <w:pPr>
              <w:jc w:val="both"/>
            </w:pPr>
          </w:p>
          <w:p w14:paraId="39930869" w14:textId="37630089" w:rsidR="00713064" w:rsidRDefault="00713064">
            <w:pPr>
              <w:jc w:val="both"/>
            </w:pPr>
            <w:r w:rsidRPr="00377378">
              <w:rPr>
                <w:b/>
                <w:bCs/>
              </w:rPr>
              <w:t>Negatívne vplyvy</w:t>
            </w:r>
            <w:r w:rsidRPr="00FD4006">
              <w:t xml:space="preserve"> môžu nastať v prípade, </w:t>
            </w:r>
            <w:r w:rsidR="00D70D8B">
              <w:t xml:space="preserve">keď si pozemkové spoločenstvo nepožiada o náhradu za obmedzenie bežného obhospodarovania. V takomto prípade dôjde k obmedzeniu  činnosti pozemkového spoločenstva bez následnej kompenzácie. </w:t>
            </w:r>
          </w:p>
          <w:p w14:paraId="73F2E435" w14:textId="64B7E614" w:rsidR="00713064" w:rsidRDefault="00713064">
            <w:pPr>
              <w:jc w:val="both"/>
            </w:pPr>
          </w:p>
          <w:p w14:paraId="5B451262" w14:textId="7EF8432A" w:rsidR="00713064" w:rsidRDefault="00C46BFA" w:rsidP="00713064">
            <w:pPr>
              <w:jc w:val="both"/>
            </w:pPr>
            <w:r>
              <w:t xml:space="preserve">Zmena oproti súčasnému stavu </w:t>
            </w:r>
            <w:r w:rsidR="003E584F">
              <w:t>predstavuje upustenie</w:t>
            </w:r>
            <w:r w:rsidR="00D70D8B">
              <w:t xml:space="preserve"> od obhospodarovania pozemkov približne na ploche 155 ha. </w:t>
            </w:r>
            <w:r w:rsidR="003E584F">
              <w:t>Výška finančnej náhrady bude stanovená znaleckým posudkom po obnove programu starostlivosti o les</w:t>
            </w:r>
            <w:r w:rsidR="00D92ADD">
              <w:t>y</w:t>
            </w:r>
            <w:r w:rsidR="003E584F">
              <w:t xml:space="preserve"> (PSL). Odhadom pôjde o sumu vo výške približne 400 000 EUR na obdobie platnosti PSL, t. j. na obdobie 10 rokov. Suma môže byť vyplácaná v celku alebo rozpočítaná na jednotlivé roky. </w:t>
            </w:r>
          </w:p>
          <w:p w14:paraId="026CFCC1" w14:textId="447919B3" w:rsidR="00AD67B3" w:rsidRPr="00F04CCD" w:rsidRDefault="00AD67B3">
            <w:pPr>
              <w:jc w:val="both"/>
              <w:rPr>
                <w:i/>
              </w:rPr>
            </w:pPr>
          </w:p>
        </w:tc>
      </w:tr>
      <w:tr w:rsidR="009F2DFA" w:rsidRPr="00F04CCD" w14:paraId="00E7DF62" w14:textId="77777777" w:rsidTr="00151977">
        <w:trPr>
          <w:trHeight w:val="339"/>
        </w:trPr>
        <w:tc>
          <w:tcPr>
            <w:tcW w:w="9212" w:type="dxa"/>
            <w:tcBorders>
              <w:bottom w:val="single" w:sz="4" w:space="0" w:color="auto"/>
            </w:tcBorders>
            <w:shd w:val="clear" w:color="auto" w:fill="D9D9D9" w:themeFill="background1" w:themeFillShade="D9"/>
          </w:tcPr>
          <w:p w14:paraId="0A3A7D5C" w14:textId="77777777" w:rsidR="009F2DFA" w:rsidRPr="00F04CCD" w:rsidRDefault="002B1108" w:rsidP="008F0266">
            <w:pPr>
              <w:rPr>
                <w:b/>
              </w:rPr>
            </w:pPr>
            <w:r>
              <w:rPr>
                <w:b/>
                <w:sz w:val="24"/>
              </w:rPr>
              <w:t>3</w:t>
            </w:r>
            <w:r w:rsidR="009F2DFA" w:rsidRPr="00042C66">
              <w:rPr>
                <w:b/>
                <w:sz w:val="24"/>
              </w:rPr>
              <w:t>.2 Vyhodnotenie konzultácií</w:t>
            </w:r>
            <w:r w:rsidR="008F0266">
              <w:rPr>
                <w:b/>
                <w:sz w:val="24"/>
              </w:rPr>
              <w:t xml:space="preserve"> </w:t>
            </w:r>
            <w:r w:rsidR="009F2DFA" w:rsidRPr="00042C66">
              <w:rPr>
                <w:sz w:val="24"/>
              </w:rPr>
              <w:t xml:space="preserve">- </w:t>
            </w:r>
            <w:r w:rsidR="009F2DFA" w:rsidRPr="00042C66">
              <w:rPr>
                <w:b/>
                <w:sz w:val="24"/>
              </w:rPr>
              <w:t>z</w:t>
            </w:r>
            <w:r w:rsidR="00426FAD">
              <w:rPr>
                <w:b/>
                <w:sz w:val="24"/>
              </w:rPr>
              <w:t xml:space="preserve"> </w:t>
            </w:r>
            <w:r w:rsidR="009F2DFA" w:rsidRPr="00042C66">
              <w:rPr>
                <w:b/>
                <w:sz w:val="24"/>
              </w:rPr>
              <w:t>toho MSP</w:t>
            </w:r>
          </w:p>
        </w:tc>
      </w:tr>
      <w:tr w:rsidR="009F2DFA" w:rsidRPr="00F04CCD" w14:paraId="2BF52495" w14:textId="77777777" w:rsidTr="00151977">
        <w:trPr>
          <w:trHeight w:val="557"/>
        </w:trPr>
        <w:tc>
          <w:tcPr>
            <w:tcW w:w="9212" w:type="dxa"/>
            <w:tcBorders>
              <w:bottom w:val="single" w:sz="4" w:space="0" w:color="auto"/>
            </w:tcBorders>
          </w:tcPr>
          <w:p w14:paraId="5A71657A" w14:textId="77777777" w:rsidR="009F2DFA" w:rsidRPr="00F04CCD" w:rsidRDefault="009F2DFA" w:rsidP="00151977">
            <w:pPr>
              <w:rPr>
                <w:i/>
              </w:rPr>
            </w:pPr>
            <w:r w:rsidRPr="00F04CCD">
              <w:rPr>
                <w:i/>
              </w:rPr>
              <w:t>Uveďte, akou formou (verejné alebo cielené konzultácie a prečo)</w:t>
            </w:r>
            <w:r>
              <w:rPr>
                <w:i/>
              </w:rPr>
              <w:t xml:space="preserve"> a </w:t>
            </w:r>
            <w:r w:rsidRPr="00F04CCD">
              <w:rPr>
                <w:i/>
              </w:rPr>
              <w:t>s kým bol návrh konzultovaný.</w:t>
            </w:r>
          </w:p>
          <w:p w14:paraId="4B4EDFF9" w14:textId="77777777" w:rsidR="009F2DFA" w:rsidRPr="00F04CCD" w:rsidRDefault="009F2DFA" w:rsidP="00151977">
            <w:pPr>
              <w:rPr>
                <w:i/>
              </w:rPr>
            </w:pPr>
            <w:r w:rsidRPr="00F04CCD">
              <w:rPr>
                <w:i/>
              </w:rPr>
              <w:t>Ako dlho trvali konzultácie?</w:t>
            </w:r>
          </w:p>
          <w:p w14:paraId="2BF332EB" w14:textId="77777777" w:rsidR="009F2DFA" w:rsidRPr="000D2622" w:rsidRDefault="009F2DFA" w:rsidP="00151977">
            <w:pPr>
              <w:rPr>
                <w:i/>
              </w:rPr>
            </w:pPr>
            <w:r w:rsidRPr="00F04CCD">
              <w:rPr>
                <w:i/>
              </w:rPr>
              <w:t xml:space="preserve">Uveďte hlavné body konzultácií a výsledky konzultácií. </w:t>
            </w:r>
          </w:p>
        </w:tc>
      </w:tr>
      <w:tr w:rsidR="009F2DFA" w:rsidRPr="00F04CCD" w14:paraId="1616273E" w14:textId="77777777" w:rsidTr="00F636EE">
        <w:trPr>
          <w:trHeight w:val="699"/>
        </w:trPr>
        <w:tc>
          <w:tcPr>
            <w:tcW w:w="9212" w:type="dxa"/>
            <w:tcBorders>
              <w:bottom w:val="single" w:sz="4" w:space="0" w:color="auto"/>
            </w:tcBorders>
          </w:tcPr>
          <w:p w14:paraId="5D796B4C" w14:textId="19638B4A" w:rsidR="008F0266" w:rsidRPr="00BF6D35" w:rsidRDefault="00BC3AA0" w:rsidP="00D92ADD">
            <w:pPr>
              <w:jc w:val="both"/>
            </w:pPr>
            <w:r w:rsidRPr="00436353">
              <w:t xml:space="preserve">Zámer vyhlásiť PR Oborínsky luh bol oznámený Okresným úradom </w:t>
            </w:r>
            <w:r w:rsidR="00436353">
              <w:t xml:space="preserve">(OÚ) </w:t>
            </w:r>
            <w:r w:rsidRPr="00436353">
              <w:t>Košice dotknutým subjektom v zmysle § 50 zákona</w:t>
            </w:r>
            <w:r w:rsidR="00906DE8" w:rsidRPr="00436353">
              <w:t xml:space="preserve"> dňa 29. januára 2019</w:t>
            </w:r>
            <w:r w:rsidRPr="00436353">
              <w:t>. Ob</w:t>
            </w:r>
            <w:r w:rsidR="00906DE8" w:rsidRPr="00436353">
              <w:t>ce</w:t>
            </w:r>
            <w:r w:rsidRPr="00436353">
              <w:t xml:space="preserve"> Oborín a Zlatín o zámere informovali verejnosť vo svojich územných obvodoch. </w:t>
            </w:r>
            <w:r w:rsidR="00436353">
              <w:t xml:space="preserve">K zámeru bolo </w:t>
            </w:r>
            <w:r w:rsidR="00906DE8" w:rsidRPr="00436353">
              <w:t>zo strany dotknutých subjektov</w:t>
            </w:r>
            <w:r w:rsidR="00BF6D35">
              <w:t xml:space="preserve"> vznesených</w:t>
            </w:r>
            <w:r w:rsidR="00906DE8" w:rsidRPr="00436353">
              <w:t xml:space="preserve"> </w:t>
            </w:r>
            <w:r w:rsidR="00802168">
              <w:t xml:space="preserve">9 pripomienok, ktoré </w:t>
            </w:r>
            <w:r w:rsidR="00BF6D35">
              <w:t>uplatnili SVP, pozemkové spoločenstvo, Leso</w:t>
            </w:r>
            <w:r w:rsidR="005602E7">
              <w:t>ochranárske zoskupenie VLK a OÚ Košice.</w:t>
            </w:r>
            <w:r w:rsidR="00802168">
              <w:t xml:space="preserve"> Pripomienky </w:t>
            </w:r>
            <w:r w:rsidR="00577A05" w:rsidRPr="00436353">
              <w:t xml:space="preserve">boli </w:t>
            </w:r>
            <w:r w:rsidR="00577A05" w:rsidRPr="00436353">
              <w:lastRenderedPageBreak/>
              <w:t xml:space="preserve">prerokované dňa 6. novembra </w:t>
            </w:r>
            <w:r w:rsidR="00D92ADD">
              <w:t>2019</w:t>
            </w:r>
            <w:r w:rsidR="00577A05" w:rsidRPr="00436353">
              <w:t xml:space="preserve"> </w:t>
            </w:r>
            <w:r w:rsidR="00436353">
              <w:t xml:space="preserve">v budove OÚ Košice </w:t>
            </w:r>
            <w:r w:rsidR="00577A05" w:rsidRPr="00436353">
              <w:t xml:space="preserve">a boli zapracované do materiálu. </w:t>
            </w:r>
            <w:r w:rsidR="007760F3">
              <w:t>Prerokovania sa zúčastnili aj zástupcovia pozemkového spoločenstva a SVP.</w:t>
            </w:r>
            <w:r w:rsidR="00BF6D35">
              <w:t xml:space="preserve"> </w:t>
            </w:r>
            <w:r w:rsidR="00436353">
              <w:t>Záznam z prerokovania pripomienok spolu s vyhodnotením zaslal OÚ Košice všetkým zúčastneným listom č. OU-KE-OSZP1-2020/002652 zo dňa 14.</w:t>
            </w:r>
            <w:r w:rsidR="00D92ADD">
              <w:t xml:space="preserve"> januára </w:t>
            </w:r>
            <w:r w:rsidR="00436353">
              <w:t xml:space="preserve">2020. </w:t>
            </w:r>
          </w:p>
        </w:tc>
      </w:tr>
      <w:tr w:rsidR="009F2DFA" w:rsidRPr="00F04CCD" w14:paraId="009A5A6D" w14:textId="77777777" w:rsidTr="00151977">
        <w:tc>
          <w:tcPr>
            <w:tcW w:w="9212" w:type="dxa"/>
            <w:shd w:val="clear" w:color="auto" w:fill="D9D9D9" w:themeFill="background1" w:themeFillShade="D9"/>
          </w:tcPr>
          <w:p w14:paraId="6AEC26D3" w14:textId="77777777" w:rsidR="009F2DFA" w:rsidRPr="00F04CCD" w:rsidRDefault="002B1108" w:rsidP="008F0266">
            <w:pPr>
              <w:rPr>
                <w:b/>
              </w:rPr>
            </w:pPr>
            <w:r>
              <w:rPr>
                <w:b/>
                <w:sz w:val="24"/>
              </w:rPr>
              <w:lastRenderedPageBreak/>
              <w:t>3</w:t>
            </w:r>
            <w:r w:rsidR="009F2DFA" w:rsidRPr="00042C66">
              <w:rPr>
                <w:b/>
                <w:sz w:val="24"/>
              </w:rPr>
              <w:t>.3 Náklady regulácie</w:t>
            </w:r>
            <w:r w:rsidR="008F0266">
              <w:rPr>
                <w:b/>
                <w:sz w:val="24"/>
              </w:rPr>
              <w:t xml:space="preserve"> </w:t>
            </w:r>
            <w:r w:rsidR="009F2DFA" w:rsidRPr="00042C66">
              <w:rPr>
                <w:sz w:val="24"/>
              </w:rPr>
              <w:t xml:space="preserve">- </w:t>
            </w:r>
            <w:r w:rsidR="009F2DFA" w:rsidRPr="00042C66">
              <w:rPr>
                <w:b/>
                <w:sz w:val="24"/>
              </w:rPr>
              <w:t>z</w:t>
            </w:r>
            <w:r w:rsidR="00A854D1">
              <w:rPr>
                <w:b/>
                <w:sz w:val="24"/>
              </w:rPr>
              <w:t xml:space="preserve"> </w:t>
            </w:r>
            <w:r w:rsidR="009F2DFA" w:rsidRPr="00042C66">
              <w:rPr>
                <w:b/>
                <w:sz w:val="24"/>
              </w:rPr>
              <w:t>toho MSP</w:t>
            </w:r>
          </w:p>
        </w:tc>
      </w:tr>
      <w:tr w:rsidR="009F2DFA" w:rsidRPr="00F04CCD" w14:paraId="3DAED75A" w14:textId="77777777" w:rsidTr="00151977">
        <w:tc>
          <w:tcPr>
            <w:tcW w:w="9212" w:type="dxa"/>
            <w:tcBorders>
              <w:bottom w:val="single" w:sz="4" w:space="0" w:color="auto"/>
            </w:tcBorders>
          </w:tcPr>
          <w:p w14:paraId="3C8BBF1F" w14:textId="77777777" w:rsidR="009F2DFA" w:rsidRPr="00F04CCD" w:rsidRDefault="002B1108" w:rsidP="00151977">
            <w:pPr>
              <w:rPr>
                <w:b/>
                <w:i/>
              </w:rPr>
            </w:pPr>
            <w:r>
              <w:rPr>
                <w:b/>
                <w:i/>
              </w:rPr>
              <w:t>3</w:t>
            </w:r>
            <w:r w:rsidR="009F2DFA" w:rsidRPr="00F04CCD">
              <w:rPr>
                <w:b/>
                <w:i/>
              </w:rPr>
              <w:t>.3.1 Priame finančné náklady</w:t>
            </w:r>
          </w:p>
          <w:p w14:paraId="582FD297" w14:textId="77777777" w:rsidR="009F2DFA" w:rsidRPr="00F04CCD" w:rsidRDefault="009F2DFA" w:rsidP="00151977">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14:paraId="488F6568" w14:textId="77777777" w:rsidTr="00151977">
        <w:tc>
          <w:tcPr>
            <w:tcW w:w="9212" w:type="dxa"/>
            <w:tcBorders>
              <w:bottom w:val="single" w:sz="4" w:space="0" w:color="auto"/>
            </w:tcBorders>
          </w:tcPr>
          <w:p w14:paraId="77887221" w14:textId="77777777" w:rsidR="0096199E" w:rsidRPr="00F04CCD" w:rsidRDefault="0096199E" w:rsidP="00DD7397">
            <w:pPr>
              <w:rPr>
                <w:b/>
                <w:i/>
              </w:rPr>
            </w:pPr>
            <w:r>
              <w:rPr>
                <w:b/>
                <w:i/>
              </w:rPr>
              <w:t>X</w:t>
            </w:r>
            <w:r w:rsidR="009F37F9">
              <w:rPr>
                <w:b/>
                <w:i/>
              </w:rPr>
              <w:t xml:space="preserve"> </w:t>
            </w:r>
          </w:p>
        </w:tc>
      </w:tr>
      <w:tr w:rsidR="009F2DFA" w:rsidRPr="00F04CCD" w14:paraId="7B9AAD47" w14:textId="77777777" w:rsidTr="00151977">
        <w:tc>
          <w:tcPr>
            <w:tcW w:w="9212" w:type="dxa"/>
            <w:tcBorders>
              <w:bottom w:val="single" w:sz="4" w:space="0" w:color="auto"/>
            </w:tcBorders>
          </w:tcPr>
          <w:p w14:paraId="403225B7" w14:textId="77777777" w:rsidR="009F2DFA" w:rsidRPr="00F04CCD" w:rsidRDefault="002B1108" w:rsidP="00151977">
            <w:pPr>
              <w:rPr>
                <w:b/>
                <w:i/>
              </w:rPr>
            </w:pPr>
            <w:r>
              <w:rPr>
                <w:b/>
                <w:i/>
              </w:rPr>
              <w:t>3</w:t>
            </w:r>
            <w:r w:rsidR="009F2DFA" w:rsidRPr="00F04CCD">
              <w:rPr>
                <w:b/>
                <w:i/>
              </w:rPr>
              <w:t>.3.2 Nepriame finančné náklady</w:t>
            </w:r>
          </w:p>
          <w:p w14:paraId="5EDDBCA3" w14:textId="77777777"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14:paraId="427A1E99" w14:textId="77777777" w:rsidTr="00151977">
        <w:tc>
          <w:tcPr>
            <w:tcW w:w="9212" w:type="dxa"/>
            <w:tcBorders>
              <w:bottom w:val="single" w:sz="4" w:space="0" w:color="auto"/>
            </w:tcBorders>
          </w:tcPr>
          <w:p w14:paraId="77F6647E" w14:textId="77777777" w:rsidR="009F2DFA" w:rsidRPr="00F04CCD" w:rsidRDefault="0096199E" w:rsidP="00590F35">
            <w:pPr>
              <w:rPr>
                <w:b/>
                <w:i/>
              </w:rPr>
            </w:pPr>
            <w:r>
              <w:rPr>
                <w:b/>
                <w:i/>
              </w:rPr>
              <w:t>X</w:t>
            </w:r>
          </w:p>
        </w:tc>
      </w:tr>
      <w:tr w:rsidR="009F2DFA" w:rsidRPr="00F04CCD" w14:paraId="3B0E441C" w14:textId="77777777" w:rsidTr="00151977">
        <w:tc>
          <w:tcPr>
            <w:tcW w:w="9212" w:type="dxa"/>
            <w:tcBorders>
              <w:bottom w:val="single" w:sz="4" w:space="0" w:color="auto"/>
            </w:tcBorders>
          </w:tcPr>
          <w:p w14:paraId="61F4B1EA" w14:textId="77777777" w:rsidR="009F2DFA" w:rsidRPr="00F04CCD" w:rsidRDefault="002B1108" w:rsidP="00151977">
            <w:pPr>
              <w:rPr>
                <w:b/>
                <w:i/>
              </w:rPr>
            </w:pPr>
            <w:r>
              <w:rPr>
                <w:b/>
                <w:i/>
              </w:rPr>
              <w:t>3</w:t>
            </w:r>
            <w:r w:rsidR="009F2DFA" w:rsidRPr="00F04CCD">
              <w:rPr>
                <w:b/>
                <w:i/>
              </w:rPr>
              <w:t>.3.3 Administratívne náklady</w:t>
            </w:r>
          </w:p>
          <w:p w14:paraId="035A5227" w14:textId="77777777" w:rsidR="009F2DFA" w:rsidRPr="00F04CCD" w:rsidRDefault="009F2DFA" w:rsidP="001C3158">
            <w:pPr>
              <w:rPr>
                <w:i/>
              </w:rPr>
            </w:pPr>
            <w:r w:rsidRPr="00F04CCD">
              <w:rPr>
                <w:i/>
              </w:rPr>
              <w:t>Dochádza k</w:t>
            </w:r>
            <w:r w:rsidR="00FF17F6">
              <w:rPr>
                <w:i/>
              </w:rPr>
              <w:t xml:space="preserve"> </w:t>
            </w:r>
            <w:r w:rsidRPr="00F04CCD">
              <w:rPr>
                <w:i/>
              </w:rPr>
              <w:t>zavedeniu nových informačných povinností alebo odstráneniu, príp. úprave existujúcich informačných povinností? (napr. zmena požadovaných dát, zmena frekvencie reportovania, zmena formy predkladania a</w:t>
            </w:r>
            <w:r w:rsidR="001C3158">
              <w:rPr>
                <w:i/>
              </w:rPr>
              <w:t xml:space="preserve"> </w:t>
            </w:r>
            <w:r w:rsidRPr="00F04CCD">
              <w:rPr>
                <w:i/>
              </w:rPr>
              <w:t>pod.) Ak áno, popíšte a vyčíslite administratívne náklady. Uveďte tiež spôsob ich výpočtu.</w:t>
            </w:r>
          </w:p>
        </w:tc>
      </w:tr>
      <w:tr w:rsidR="009F2DFA" w:rsidRPr="00F04CCD" w14:paraId="1C0ED203" w14:textId="77777777" w:rsidTr="00151977">
        <w:tc>
          <w:tcPr>
            <w:tcW w:w="9212" w:type="dxa"/>
            <w:tcBorders>
              <w:bottom w:val="single" w:sz="4" w:space="0" w:color="auto"/>
            </w:tcBorders>
          </w:tcPr>
          <w:p w14:paraId="2D57CAE1" w14:textId="77777777" w:rsidR="0096199E" w:rsidRPr="00F04CCD" w:rsidRDefault="0096199E" w:rsidP="00590F35">
            <w:pPr>
              <w:rPr>
                <w:b/>
                <w:i/>
              </w:rPr>
            </w:pPr>
            <w:r>
              <w:rPr>
                <w:b/>
                <w:i/>
              </w:rPr>
              <w:t>X</w:t>
            </w:r>
          </w:p>
        </w:tc>
      </w:tr>
      <w:tr w:rsidR="009F2DFA" w:rsidRPr="00F04CCD" w14:paraId="5666821C" w14:textId="77777777" w:rsidTr="008F0266">
        <w:trPr>
          <w:trHeight w:val="1636"/>
        </w:trPr>
        <w:tc>
          <w:tcPr>
            <w:tcW w:w="9212" w:type="dxa"/>
            <w:tcBorders>
              <w:bottom w:val="single" w:sz="4" w:space="0" w:color="auto"/>
            </w:tcBorders>
          </w:tcPr>
          <w:p w14:paraId="7F9B805F" w14:textId="77777777" w:rsidR="009F2DFA" w:rsidRPr="00F04CCD" w:rsidRDefault="002B1108" w:rsidP="00151977">
            <w:pPr>
              <w:rPr>
                <w:i/>
              </w:rPr>
            </w:pPr>
            <w:r>
              <w:rPr>
                <w:b/>
                <w:i/>
              </w:rPr>
              <w:t>3</w:t>
            </w:r>
            <w:r w:rsidR="009F2DFA" w:rsidRPr="00F04CCD">
              <w:rPr>
                <w:b/>
                <w:i/>
              </w:rPr>
              <w:t>.3.4 Súhrnná tabuľka nákladov regulácie</w:t>
            </w:r>
          </w:p>
          <w:tbl>
            <w:tblPr>
              <w:tblStyle w:val="Mriekatabuky"/>
              <w:tblW w:w="0" w:type="auto"/>
              <w:tblLook w:val="04A0" w:firstRow="1" w:lastRow="0" w:firstColumn="1" w:lastColumn="0" w:noHBand="0" w:noVBand="1"/>
            </w:tblPr>
            <w:tblGrid>
              <w:gridCol w:w="2949"/>
              <w:gridCol w:w="2354"/>
              <w:gridCol w:w="3533"/>
            </w:tblGrid>
            <w:tr w:rsidR="009F2DFA" w:rsidRPr="00F04CCD" w14:paraId="2FFD78D4" w14:textId="77777777" w:rsidTr="00590F35">
              <w:tc>
                <w:tcPr>
                  <w:tcW w:w="2993" w:type="dxa"/>
                </w:tcPr>
                <w:p w14:paraId="0B98C110" w14:textId="77777777" w:rsidR="009F2DFA" w:rsidRPr="00F04CCD" w:rsidRDefault="009F2DFA" w:rsidP="00151977">
                  <w:pPr>
                    <w:rPr>
                      <w:i/>
                    </w:rPr>
                  </w:pPr>
                </w:p>
              </w:tc>
              <w:tc>
                <w:tcPr>
                  <w:tcW w:w="2389" w:type="dxa"/>
                </w:tcPr>
                <w:p w14:paraId="7E3342B9" w14:textId="77777777" w:rsidR="009F2DFA" w:rsidRPr="00F04CCD" w:rsidRDefault="009F2DFA" w:rsidP="00151977">
                  <w:pPr>
                    <w:jc w:val="center"/>
                    <w:rPr>
                      <w:i/>
                    </w:rPr>
                  </w:pPr>
                  <w:r w:rsidRPr="00F04CCD">
                    <w:rPr>
                      <w:i/>
                    </w:rPr>
                    <w:t>Náklady na 1 podnikateľa</w:t>
                  </w:r>
                </w:p>
              </w:tc>
              <w:tc>
                <w:tcPr>
                  <w:tcW w:w="3599" w:type="dxa"/>
                </w:tcPr>
                <w:p w14:paraId="0F93B117" w14:textId="77777777" w:rsidR="009F2DFA" w:rsidRPr="00F04CCD" w:rsidRDefault="009F2DFA" w:rsidP="00151977">
                  <w:pPr>
                    <w:jc w:val="center"/>
                    <w:rPr>
                      <w:i/>
                    </w:rPr>
                  </w:pPr>
                  <w:r w:rsidRPr="00F04CCD">
                    <w:rPr>
                      <w:i/>
                    </w:rPr>
                    <w:t>Náklady na celé podnikateľské prostredie</w:t>
                  </w:r>
                </w:p>
              </w:tc>
            </w:tr>
            <w:tr w:rsidR="009F2DFA" w:rsidRPr="00F04CCD" w14:paraId="16D60F1D" w14:textId="77777777" w:rsidTr="00590F35">
              <w:tc>
                <w:tcPr>
                  <w:tcW w:w="2993" w:type="dxa"/>
                </w:tcPr>
                <w:p w14:paraId="2A111CB5" w14:textId="77777777" w:rsidR="009F2DFA" w:rsidRPr="00F04CCD" w:rsidRDefault="009F2DFA" w:rsidP="00151977">
                  <w:pPr>
                    <w:rPr>
                      <w:i/>
                    </w:rPr>
                  </w:pPr>
                  <w:r w:rsidRPr="00F04CCD">
                    <w:rPr>
                      <w:i/>
                    </w:rPr>
                    <w:t>Priame finančné náklady</w:t>
                  </w:r>
                </w:p>
              </w:tc>
              <w:tc>
                <w:tcPr>
                  <w:tcW w:w="2389" w:type="dxa"/>
                </w:tcPr>
                <w:p w14:paraId="6D870E5D" w14:textId="714BA0E8" w:rsidR="009F2DFA" w:rsidRPr="00F04CCD" w:rsidRDefault="00436CBC" w:rsidP="00436CBC">
                  <w:pPr>
                    <w:jc w:val="center"/>
                    <w:rPr>
                      <w:i/>
                    </w:rPr>
                  </w:pPr>
                  <w:r>
                    <w:rPr>
                      <w:i/>
                    </w:rPr>
                    <w:t>N/A</w:t>
                  </w:r>
                </w:p>
              </w:tc>
              <w:tc>
                <w:tcPr>
                  <w:tcW w:w="3599" w:type="dxa"/>
                </w:tcPr>
                <w:p w14:paraId="713EF1FB" w14:textId="10BF47BE" w:rsidR="009F2DFA" w:rsidRPr="00F04CCD" w:rsidRDefault="00436CBC" w:rsidP="00436CBC">
                  <w:pPr>
                    <w:jc w:val="center"/>
                    <w:rPr>
                      <w:i/>
                    </w:rPr>
                  </w:pPr>
                  <w:r>
                    <w:rPr>
                      <w:i/>
                    </w:rPr>
                    <w:t>N/A</w:t>
                  </w:r>
                </w:p>
              </w:tc>
            </w:tr>
            <w:tr w:rsidR="009F2DFA" w:rsidRPr="00F04CCD" w14:paraId="4CB4D469" w14:textId="77777777" w:rsidTr="00590F35">
              <w:tc>
                <w:tcPr>
                  <w:tcW w:w="2993" w:type="dxa"/>
                </w:tcPr>
                <w:p w14:paraId="2D0E98CA" w14:textId="77777777" w:rsidR="009F2DFA" w:rsidRPr="00F04CCD" w:rsidRDefault="009F2DFA" w:rsidP="00151977">
                  <w:pPr>
                    <w:rPr>
                      <w:i/>
                    </w:rPr>
                  </w:pPr>
                  <w:r w:rsidRPr="00F04CCD">
                    <w:rPr>
                      <w:i/>
                    </w:rPr>
                    <w:t>Nepriame finančné náklady</w:t>
                  </w:r>
                </w:p>
              </w:tc>
              <w:tc>
                <w:tcPr>
                  <w:tcW w:w="2389" w:type="dxa"/>
                </w:tcPr>
                <w:p w14:paraId="24083B47" w14:textId="1B70B694" w:rsidR="009F2DFA" w:rsidRPr="00F04CCD" w:rsidRDefault="00436CBC" w:rsidP="00436CBC">
                  <w:pPr>
                    <w:jc w:val="center"/>
                    <w:rPr>
                      <w:i/>
                    </w:rPr>
                  </w:pPr>
                  <w:r>
                    <w:rPr>
                      <w:i/>
                    </w:rPr>
                    <w:t>N/A</w:t>
                  </w:r>
                </w:p>
              </w:tc>
              <w:tc>
                <w:tcPr>
                  <w:tcW w:w="3599" w:type="dxa"/>
                </w:tcPr>
                <w:p w14:paraId="6AD6C79D" w14:textId="1153F5AF" w:rsidR="009F2DFA" w:rsidRPr="00F04CCD" w:rsidRDefault="00436CBC" w:rsidP="00436CBC">
                  <w:pPr>
                    <w:jc w:val="center"/>
                    <w:rPr>
                      <w:i/>
                    </w:rPr>
                  </w:pPr>
                  <w:r>
                    <w:rPr>
                      <w:i/>
                    </w:rPr>
                    <w:t>N/A</w:t>
                  </w:r>
                </w:p>
              </w:tc>
            </w:tr>
            <w:tr w:rsidR="009F2DFA" w:rsidRPr="00F04CCD" w14:paraId="5EE2E333" w14:textId="77777777" w:rsidTr="00590F35">
              <w:tc>
                <w:tcPr>
                  <w:tcW w:w="2993" w:type="dxa"/>
                </w:tcPr>
                <w:p w14:paraId="50459C15" w14:textId="77777777" w:rsidR="009F2DFA" w:rsidRPr="00F04CCD" w:rsidRDefault="009F2DFA" w:rsidP="00151977">
                  <w:pPr>
                    <w:rPr>
                      <w:i/>
                    </w:rPr>
                  </w:pPr>
                  <w:r w:rsidRPr="00F04CCD">
                    <w:rPr>
                      <w:i/>
                    </w:rPr>
                    <w:t>Administratívne náklady</w:t>
                  </w:r>
                </w:p>
              </w:tc>
              <w:tc>
                <w:tcPr>
                  <w:tcW w:w="2389" w:type="dxa"/>
                </w:tcPr>
                <w:p w14:paraId="1981A69A" w14:textId="7B933477" w:rsidR="009F2DFA" w:rsidRPr="00F04CCD" w:rsidRDefault="00436CBC" w:rsidP="00436CBC">
                  <w:pPr>
                    <w:jc w:val="center"/>
                    <w:rPr>
                      <w:i/>
                    </w:rPr>
                  </w:pPr>
                  <w:r>
                    <w:rPr>
                      <w:i/>
                    </w:rPr>
                    <w:t>N/A</w:t>
                  </w:r>
                </w:p>
              </w:tc>
              <w:tc>
                <w:tcPr>
                  <w:tcW w:w="3599" w:type="dxa"/>
                </w:tcPr>
                <w:p w14:paraId="1DE114AD" w14:textId="0EB2BCE3" w:rsidR="009F2DFA" w:rsidRPr="00F04CCD" w:rsidRDefault="00436CBC" w:rsidP="00436CBC">
                  <w:pPr>
                    <w:jc w:val="center"/>
                    <w:rPr>
                      <w:i/>
                    </w:rPr>
                  </w:pPr>
                  <w:r>
                    <w:rPr>
                      <w:i/>
                    </w:rPr>
                    <w:t>N/A</w:t>
                  </w:r>
                </w:p>
              </w:tc>
            </w:tr>
            <w:tr w:rsidR="009F2DFA" w:rsidRPr="00F04CCD" w14:paraId="79E17CEC" w14:textId="77777777" w:rsidTr="00590F35">
              <w:tc>
                <w:tcPr>
                  <w:tcW w:w="2993" w:type="dxa"/>
                </w:tcPr>
                <w:p w14:paraId="4132F7C4" w14:textId="77777777" w:rsidR="009F2DFA" w:rsidRPr="00F04CCD" w:rsidRDefault="009F2DFA" w:rsidP="00151977">
                  <w:pPr>
                    <w:rPr>
                      <w:b/>
                      <w:i/>
                    </w:rPr>
                  </w:pPr>
                  <w:r w:rsidRPr="00F04CCD">
                    <w:rPr>
                      <w:b/>
                      <w:i/>
                    </w:rPr>
                    <w:t>Celkové náklady regulácie</w:t>
                  </w:r>
                </w:p>
              </w:tc>
              <w:tc>
                <w:tcPr>
                  <w:tcW w:w="2389" w:type="dxa"/>
                </w:tcPr>
                <w:p w14:paraId="5B57E4AE" w14:textId="53FABD87" w:rsidR="009F2DFA" w:rsidRPr="00F04CCD" w:rsidRDefault="00436CBC" w:rsidP="00436CBC">
                  <w:pPr>
                    <w:jc w:val="center"/>
                    <w:rPr>
                      <w:b/>
                      <w:i/>
                    </w:rPr>
                  </w:pPr>
                  <w:r>
                    <w:rPr>
                      <w:b/>
                      <w:i/>
                    </w:rPr>
                    <w:t>N/A</w:t>
                  </w:r>
                </w:p>
              </w:tc>
              <w:tc>
                <w:tcPr>
                  <w:tcW w:w="3599" w:type="dxa"/>
                </w:tcPr>
                <w:p w14:paraId="55ECD62E" w14:textId="7DBE44B5" w:rsidR="009F2DFA" w:rsidRPr="00F04CCD" w:rsidRDefault="00436CBC" w:rsidP="00436CBC">
                  <w:pPr>
                    <w:jc w:val="center"/>
                    <w:rPr>
                      <w:b/>
                      <w:i/>
                    </w:rPr>
                  </w:pPr>
                  <w:r>
                    <w:rPr>
                      <w:b/>
                      <w:i/>
                    </w:rPr>
                    <w:t>N/A</w:t>
                  </w:r>
                </w:p>
              </w:tc>
            </w:tr>
          </w:tbl>
          <w:p w14:paraId="5A825E3F" w14:textId="77777777" w:rsidR="005D6E3A" w:rsidRPr="00F04CCD" w:rsidRDefault="005D6E3A" w:rsidP="00151977">
            <w:pPr>
              <w:rPr>
                <w:i/>
              </w:rPr>
            </w:pPr>
          </w:p>
        </w:tc>
      </w:tr>
      <w:tr w:rsidR="009F2DFA" w:rsidRPr="00F04CCD" w14:paraId="7A12578B" w14:textId="77777777" w:rsidTr="00151977">
        <w:tc>
          <w:tcPr>
            <w:tcW w:w="9212" w:type="dxa"/>
            <w:shd w:val="clear" w:color="auto" w:fill="D9D9D9" w:themeFill="background1" w:themeFillShade="D9"/>
          </w:tcPr>
          <w:p w14:paraId="359A433D" w14:textId="77777777" w:rsidR="009F2DFA" w:rsidRPr="00F04CCD" w:rsidRDefault="002B1108" w:rsidP="008F0266">
            <w:r>
              <w:rPr>
                <w:b/>
                <w:sz w:val="24"/>
              </w:rPr>
              <w:t>3</w:t>
            </w:r>
            <w:r w:rsidR="009F2DFA" w:rsidRPr="00042C66">
              <w:rPr>
                <w:b/>
                <w:sz w:val="24"/>
              </w:rPr>
              <w:t>.4 Konkurencieschopnosť a správanie sa podnikov na trhu</w:t>
            </w:r>
            <w:r w:rsidR="008F0266">
              <w:rPr>
                <w:b/>
                <w:sz w:val="24"/>
              </w:rPr>
              <w:t xml:space="preserve"> </w:t>
            </w:r>
            <w:r w:rsidR="009F2DFA" w:rsidRPr="00042C66">
              <w:rPr>
                <w:sz w:val="24"/>
              </w:rPr>
              <w:t xml:space="preserve">- </w:t>
            </w:r>
            <w:r w:rsidR="009F2DFA" w:rsidRPr="00042C66">
              <w:rPr>
                <w:b/>
                <w:sz w:val="24"/>
              </w:rPr>
              <w:t>z</w:t>
            </w:r>
            <w:r w:rsidR="00590F35">
              <w:rPr>
                <w:b/>
                <w:sz w:val="24"/>
              </w:rPr>
              <w:t xml:space="preserve"> </w:t>
            </w:r>
            <w:r w:rsidR="009F2DFA" w:rsidRPr="00042C66">
              <w:rPr>
                <w:b/>
                <w:sz w:val="24"/>
              </w:rPr>
              <w:t>toho MSP</w:t>
            </w:r>
          </w:p>
        </w:tc>
      </w:tr>
      <w:tr w:rsidR="009F2DFA" w:rsidRPr="00F04CCD" w14:paraId="3A5588D3" w14:textId="77777777" w:rsidTr="00151977">
        <w:tc>
          <w:tcPr>
            <w:tcW w:w="9212" w:type="dxa"/>
            <w:tcBorders>
              <w:bottom w:val="single" w:sz="4" w:space="0" w:color="auto"/>
            </w:tcBorders>
          </w:tcPr>
          <w:p w14:paraId="2CB56E47" w14:textId="77777777" w:rsidR="009F2DFA" w:rsidRPr="00F04CCD" w:rsidRDefault="009F2DFA" w:rsidP="00151977">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14:paraId="47545A28" w14:textId="77777777" w:rsidR="009F2DFA" w:rsidRPr="00F04CCD" w:rsidRDefault="009F2DFA" w:rsidP="00151977">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14:paraId="0A138B7F" w14:textId="77777777" w:rsidR="009F2DFA" w:rsidRPr="00F04CCD" w:rsidRDefault="009F2DFA" w:rsidP="00151977">
            <w:pPr>
              <w:rPr>
                <w:i/>
              </w:rPr>
            </w:pPr>
            <w:r w:rsidRPr="00F04CCD">
              <w:rPr>
                <w:i/>
              </w:rPr>
              <w:t>Ako ovplyvní cenu alebo dostupnosť základných zdrojov (suroviny, mechanizmy, pracovná sila, energie atď.)?</w:t>
            </w:r>
          </w:p>
          <w:p w14:paraId="2ADB4E3F" w14:textId="77777777" w:rsidR="009F2DFA" w:rsidRPr="00F04CCD" w:rsidRDefault="009F2DFA" w:rsidP="00151977">
            <w:pPr>
              <w:rPr>
                <w:i/>
              </w:rPr>
            </w:pPr>
            <w:r w:rsidRPr="00F04CCD">
              <w:rPr>
                <w:i/>
              </w:rPr>
              <w:t>Ovplyvňuje prístup k financiám? Ak áno, ako?</w:t>
            </w:r>
          </w:p>
        </w:tc>
      </w:tr>
      <w:tr w:rsidR="009F2DFA" w:rsidRPr="00F04CCD" w14:paraId="7DC11DCA" w14:textId="77777777" w:rsidTr="00C17403">
        <w:trPr>
          <w:trHeight w:val="386"/>
        </w:trPr>
        <w:tc>
          <w:tcPr>
            <w:tcW w:w="9212" w:type="dxa"/>
            <w:tcBorders>
              <w:bottom w:val="single" w:sz="4" w:space="0" w:color="auto"/>
            </w:tcBorders>
          </w:tcPr>
          <w:p w14:paraId="7E6EDA7E" w14:textId="77777777" w:rsidR="008F0266" w:rsidRPr="00413E39" w:rsidRDefault="005B3384" w:rsidP="00DD7397">
            <w:pPr>
              <w:jc w:val="both"/>
            </w:pPr>
            <w:r w:rsidRPr="00AF76D8">
              <w:rPr>
                <w:b/>
                <w:i/>
              </w:rPr>
              <w:t>X</w:t>
            </w:r>
          </w:p>
        </w:tc>
      </w:tr>
      <w:tr w:rsidR="009F2DFA" w:rsidRPr="00F04CCD" w14:paraId="55C0BDA8" w14:textId="77777777" w:rsidTr="00151977">
        <w:tc>
          <w:tcPr>
            <w:tcW w:w="9212" w:type="dxa"/>
            <w:shd w:val="clear" w:color="auto" w:fill="D9D9D9" w:themeFill="background1" w:themeFillShade="D9"/>
          </w:tcPr>
          <w:p w14:paraId="74A0BEB3" w14:textId="77777777" w:rsidR="009F2DFA" w:rsidRPr="00F04CCD" w:rsidRDefault="002B1108" w:rsidP="008F0266">
            <w:pPr>
              <w:rPr>
                <w:b/>
              </w:rPr>
            </w:pPr>
            <w:r>
              <w:rPr>
                <w:b/>
                <w:sz w:val="24"/>
              </w:rPr>
              <w:t>3</w:t>
            </w:r>
            <w:r w:rsidR="009F2DFA" w:rsidRPr="00042C66">
              <w:rPr>
                <w:b/>
                <w:sz w:val="24"/>
              </w:rPr>
              <w:t xml:space="preserve">.5 Inovácie </w:t>
            </w:r>
            <w:r w:rsidR="009F2DFA" w:rsidRPr="00042C66">
              <w:rPr>
                <w:sz w:val="24"/>
              </w:rPr>
              <w:t xml:space="preserve">- </w:t>
            </w:r>
            <w:r w:rsidR="009F2DFA" w:rsidRPr="00042C66">
              <w:rPr>
                <w:b/>
                <w:sz w:val="24"/>
              </w:rPr>
              <w:t>z toho MSP</w:t>
            </w:r>
          </w:p>
        </w:tc>
      </w:tr>
      <w:tr w:rsidR="009F2DFA" w:rsidRPr="00F04CCD" w14:paraId="76613913" w14:textId="77777777" w:rsidTr="00151977">
        <w:tc>
          <w:tcPr>
            <w:tcW w:w="9212" w:type="dxa"/>
          </w:tcPr>
          <w:p w14:paraId="5E38ADC5" w14:textId="77777777" w:rsidR="009F2DFA" w:rsidRPr="00F04CCD" w:rsidRDefault="009F2DFA" w:rsidP="00151977">
            <w:pPr>
              <w:rPr>
                <w:i/>
              </w:rPr>
            </w:pPr>
            <w:r w:rsidRPr="00F04CCD">
              <w:rPr>
                <w:i/>
              </w:rPr>
              <w:t>Uveďte, ako podporuje navrhovaná zmena inovácie.</w:t>
            </w:r>
          </w:p>
          <w:p w14:paraId="3F6F534E" w14:textId="77777777" w:rsidR="009F2DFA" w:rsidRPr="00F04CCD" w:rsidRDefault="009F2DFA" w:rsidP="00151977">
            <w:pPr>
              <w:rPr>
                <w:i/>
              </w:rPr>
            </w:pPr>
            <w:r w:rsidRPr="00F04CCD">
              <w:rPr>
                <w:i/>
              </w:rPr>
              <w:t>Zjednodušuje uvedenie alebo rozšírenie nových výrobných metód, technológií a výrobkov na trh?</w:t>
            </w:r>
          </w:p>
          <w:p w14:paraId="2CDBB107" w14:textId="77777777" w:rsidR="009F2DFA" w:rsidRPr="00F04CCD" w:rsidRDefault="009F2DFA" w:rsidP="00151977">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14:paraId="03231D48" w14:textId="77777777" w:rsidR="009F2DFA" w:rsidRDefault="009F2DFA" w:rsidP="00151977">
            <w:pPr>
              <w:rPr>
                <w:i/>
              </w:rPr>
            </w:pPr>
            <w:r w:rsidRPr="00F04CCD">
              <w:rPr>
                <w:i/>
              </w:rPr>
              <w:t>Podporuje vyššiu efektivitu výroby/využívania zdrojov? Ak áno, ako?</w:t>
            </w:r>
          </w:p>
          <w:p w14:paraId="75270E6C" w14:textId="77777777" w:rsidR="00837639" w:rsidRPr="00F04CCD" w:rsidRDefault="00837639" w:rsidP="00151977">
            <w:r w:rsidRPr="00154881">
              <w:rPr>
                <w:i/>
              </w:rPr>
              <w:t>Vytvorí zmena nové pracovné miesta pre zamestnancov výskumu a vývoja v</w:t>
            </w:r>
            <w:r>
              <w:rPr>
                <w:i/>
              </w:rPr>
              <w:t> </w:t>
            </w:r>
            <w:r w:rsidRPr="00154881">
              <w:rPr>
                <w:i/>
              </w:rPr>
              <w:t>SR</w:t>
            </w:r>
            <w:r>
              <w:rPr>
                <w:i/>
              </w:rPr>
              <w:t>?</w:t>
            </w:r>
          </w:p>
        </w:tc>
      </w:tr>
      <w:tr w:rsidR="009F2DFA" w:rsidRPr="00F04CCD" w14:paraId="071ADA19" w14:textId="77777777" w:rsidTr="001C3158">
        <w:trPr>
          <w:trHeight w:val="200"/>
        </w:trPr>
        <w:tc>
          <w:tcPr>
            <w:tcW w:w="9212" w:type="dxa"/>
          </w:tcPr>
          <w:p w14:paraId="0AD777C8" w14:textId="77777777" w:rsidR="009F2DFA" w:rsidRPr="00AF76D8" w:rsidRDefault="00AF76D8" w:rsidP="00151977">
            <w:pPr>
              <w:rPr>
                <w:b/>
                <w:i/>
              </w:rPr>
            </w:pPr>
            <w:r w:rsidRPr="00AF76D8">
              <w:rPr>
                <w:b/>
                <w:i/>
              </w:rPr>
              <w:t>X</w:t>
            </w:r>
          </w:p>
        </w:tc>
      </w:tr>
    </w:tbl>
    <w:p w14:paraId="2C2DAB87" w14:textId="77777777" w:rsidR="00CB3623" w:rsidRPr="00413E39" w:rsidRDefault="00CB3623">
      <w:pPr>
        <w:rPr>
          <w:b/>
          <w:sz w:val="24"/>
        </w:rPr>
      </w:pPr>
    </w:p>
    <w:sectPr w:rsidR="00CB3623" w:rsidRPr="00413E39" w:rsidSect="008F0266">
      <w:headerReference w:type="default" r:id="rId12"/>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94E8E" w14:textId="77777777" w:rsidR="00AF0F86" w:rsidRDefault="00AF0F86" w:rsidP="009F2DFA">
      <w:r>
        <w:separator/>
      </w:r>
    </w:p>
  </w:endnote>
  <w:endnote w:type="continuationSeparator" w:id="0">
    <w:p w14:paraId="32D57934" w14:textId="77777777" w:rsidR="00AF0F86" w:rsidRDefault="00AF0F86"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14:paraId="7AF9E6B8" w14:textId="5F31A337" w:rsidR="009F2DFA" w:rsidRDefault="009F2DFA">
        <w:pPr>
          <w:pStyle w:val="Pta"/>
          <w:jc w:val="right"/>
        </w:pPr>
        <w:r>
          <w:fldChar w:fldCharType="begin"/>
        </w:r>
        <w:r>
          <w:instrText>PAGE   \* MERGEFORMAT</w:instrText>
        </w:r>
        <w:r>
          <w:fldChar w:fldCharType="separate"/>
        </w:r>
        <w:r w:rsidR="000A0240">
          <w:rPr>
            <w:noProof/>
          </w:rPr>
          <w:t>2</w:t>
        </w:r>
        <w:r>
          <w:fldChar w:fldCharType="end"/>
        </w:r>
      </w:p>
    </w:sdtContent>
  </w:sdt>
  <w:p w14:paraId="601523E4" w14:textId="77777777" w:rsidR="009F2DFA" w:rsidRDefault="009F2DF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61FDA" w14:textId="77777777" w:rsidR="00AF0F86" w:rsidRDefault="00AF0F86" w:rsidP="009F2DFA">
      <w:r>
        <w:separator/>
      </w:r>
    </w:p>
  </w:footnote>
  <w:footnote w:type="continuationSeparator" w:id="0">
    <w:p w14:paraId="5155CFC8" w14:textId="77777777" w:rsidR="00AF0F86" w:rsidRDefault="00AF0F86" w:rsidP="009F2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CBB1" w14:textId="77777777" w:rsidR="00413E39" w:rsidRPr="000A15AE" w:rsidRDefault="00413E39" w:rsidP="00413E39">
    <w:pPr>
      <w:pStyle w:val="Hlavika"/>
      <w:jc w:val="right"/>
      <w:rPr>
        <w:sz w:val="24"/>
        <w:szCs w:val="24"/>
      </w:rPr>
    </w:pPr>
    <w:r>
      <w:rPr>
        <w:sz w:val="24"/>
        <w:szCs w:val="24"/>
      </w:rPr>
      <w:t>Príloha č. 3</w:t>
    </w:r>
  </w:p>
  <w:p w14:paraId="2F9329B5" w14:textId="77777777" w:rsidR="009F2DFA" w:rsidRDefault="009F2DF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062B8"/>
    <w:rsid w:val="00047430"/>
    <w:rsid w:val="00060C5B"/>
    <w:rsid w:val="00060CAD"/>
    <w:rsid w:val="000939C0"/>
    <w:rsid w:val="000A0240"/>
    <w:rsid w:val="000F6641"/>
    <w:rsid w:val="001209F0"/>
    <w:rsid w:val="00125F4E"/>
    <w:rsid w:val="00151977"/>
    <w:rsid w:val="00154881"/>
    <w:rsid w:val="00172B80"/>
    <w:rsid w:val="00184E65"/>
    <w:rsid w:val="001B43B5"/>
    <w:rsid w:val="001B7F40"/>
    <w:rsid w:val="001C3158"/>
    <w:rsid w:val="001C43CF"/>
    <w:rsid w:val="001C50F2"/>
    <w:rsid w:val="002135E0"/>
    <w:rsid w:val="0024785C"/>
    <w:rsid w:val="002513D6"/>
    <w:rsid w:val="00276D2C"/>
    <w:rsid w:val="002B1108"/>
    <w:rsid w:val="002E2C30"/>
    <w:rsid w:val="002E62CC"/>
    <w:rsid w:val="00304A49"/>
    <w:rsid w:val="003136F4"/>
    <w:rsid w:val="0032268C"/>
    <w:rsid w:val="0032691A"/>
    <w:rsid w:val="003479FC"/>
    <w:rsid w:val="0037559F"/>
    <w:rsid w:val="003762D5"/>
    <w:rsid w:val="0039375F"/>
    <w:rsid w:val="003B2360"/>
    <w:rsid w:val="003B60F8"/>
    <w:rsid w:val="003C606F"/>
    <w:rsid w:val="003D7F05"/>
    <w:rsid w:val="003E269E"/>
    <w:rsid w:val="003E584F"/>
    <w:rsid w:val="003F364B"/>
    <w:rsid w:val="00413E39"/>
    <w:rsid w:val="00426FAD"/>
    <w:rsid w:val="00436353"/>
    <w:rsid w:val="00436CBC"/>
    <w:rsid w:val="00493C8C"/>
    <w:rsid w:val="004A4E64"/>
    <w:rsid w:val="004A6A9F"/>
    <w:rsid w:val="005026A2"/>
    <w:rsid w:val="0052297F"/>
    <w:rsid w:val="00524620"/>
    <w:rsid w:val="005602E7"/>
    <w:rsid w:val="00577A05"/>
    <w:rsid w:val="00582967"/>
    <w:rsid w:val="00590F35"/>
    <w:rsid w:val="00597DCC"/>
    <w:rsid w:val="005B3384"/>
    <w:rsid w:val="005C34E4"/>
    <w:rsid w:val="005C6BE7"/>
    <w:rsid w:val="005D6E3A"/>
    <w:rsid w:val="005E3A41"/>
    <w:rsid w:val="00622D81"/>
    <w:rsid w:val="006379AE"/>
    <w:rsid w:val="00663151"/>
    <w:rsid w:val="00676C83"/>
    <w:rsid w:val="00683BED"/>
    <w:rsid w:val="006871A8"/>
    <w:rsid w:val="006934E1"/>
    <w:rsid w:val="0069496F"/>
    <w:rsid w:val="006A0749"/>
    <w:rsid w:val="006A1934"/>
    <w:rsid w:val="006C1393"/>
    <w:rsid w:val="00713064"/>
    <w:rsid w:val="00774C67"/>
    <w:rsid w:val="007760F3"/>
    <w:rsid w:val="00780BA6"/>
    <w:rsid w:val="007867D6"/>
    <w:rsid w:val="007D3B0F"/>
    <w:rsid w:val="00802168"/>
    <w:rsid w:val="00837639"/>
    <w:rsid w:val="00852BF2"/>
    <w:rsid w:val="00892475"/>
    <w:rsid w:val="008967CE"/>
    <w:rsid w:val="008A1252"/>
    <w:rsid w:val="008B1218"/>
    <w:rsid w:val="008B6099"/>
    <w:rsid w:val="008F0266"/>
    <w:rsid w:val="008F51A1"/>
    <w:rsid w:val="00904C9B"/>
    <w:rsid w:val="00906DE8"/>
    <w:rsid w:val="00920EAB"/>
    <w:rsid w:val="00926408"/>
    <w:rsid w:val="00927407"/>
    <w:rsid w:val="0096199E"/>
    <w:rsid w:val="009650AF"/>
    <w:rsid w:val="0098555B"/>
    <w:rsid w:val="009F2DFA"/>
    <w:rsid w:val="009F37F9"/>
    <w:rsid w:val="00A46126"/>
    <w:rsid w:val="00A74024"/>
    <w:rsid w:val="00A854D1"/>
    <w:rsid w:val="00A97DBC"/>
    <w:rsid w:val="00AC3F1B"/>
    <w:rsid w:val="00AD67B3"/>
    <w:rsid w:val="00AF0F86"/>
    <w:rsid w:val="00AF4202"/>
    <w:rsid w:val="00AF76D8"/>
    <w:rsid w:val="00AF7996"/>
    <w:rsid w:val="00B13C14"/>
    <w:rsid w:val="00B31A8E"/>
    <w:rsid w:val="00B5171E"/>
    <w:rsid w:val="00B871BC"/>
    <w:rsid w:val="00BA073A"/>
    <w:rsid w:val="00BA1B28"/>
    <w:rsid w:val="00BC3AA0"/>
    <w:rsid w:val="00BD7FA9"/>
    <w:rsid w:val="00BE3914"/>
    <w:rsid w:val="00BF34B2"/>
    <w:rsid w:val="00BF6D35"/>
    <w:rsid w:val="00C01671"/>
    <w:rsid w:val="00C17403"/>
    <w:rsid w:val="00C46BFA"/>
    <w:rsid w:val="00C47A43"/>
    <w:rsid w:val="00C57578"/>
    <w:rsid w:val="00C60215"/>
    <w:rsid w:val="00C63BE9"/>
    <w:rsid w:val="00C95B07"/>
    <w:rsid w:val="00CA3953"/>
    <w:rsid w:val="00CB3623"/>
    <w:rsid w:val="00CC7A8C"/>
    <w:rsid w:val="00CD73D0"/>
    <w:rsid w:val="00CD7EF1"/>
    <w:rsid w:val="00CF1F93"/>
    <w:rsid w:val="00D077B6"/>
    <w:rsid w:val="00D122FE"/>
    <w:rsid w:val="00D25514"/>
    <w:rsid w:val="00D70D8B"/>
    <w:rsid w:val="00D828A4"/>
    <w:rsid w:val="00D86F93"/>
    <w:rsid w:val="00D92ADD"/>
    <w:rsid w:val="00D959B2"/>
    <w:rsid w:val="00D97145"/>
    <w:rsid w:val="00DC43EB"/>
    <w:rsid w:val="00DD4B12"/>
    <w:rsid w:val="00DD733E"/>
    <w:rsid w:val="00DD7397"/>
    <w:rsid w:val="00DE6126"/>
    <w:rsid w:val="00E04B7E"/>
    <w:rsid w:val="00E150A4"/>
    <w:rsid w:val="00E208B1"/>
    <w:rsid w:val="00E243B4"/>
    <w:rsid w:val="00E25722"/>
    <w:rsid w:val="00E37918"/>
    <w:rsid w:val="00E56586"/>
    <w:rsid w:val="00E6790E"/>
    <w:rsid w:val="00E70DDA"/>
    <w:rsid w:val="00E86AD1"/>
    <w:rsid w:val="00EA3175"/>
    <w:rsid w:val="00EB4C1A"/>
    <w:rsid w:val="00EC4109"/>
    <w:rsid w:val="00F04914"/>
    <w:rsid w:val="00F35D27"/>
    <w:rsid w:val="00F41620"/>
    <w:rsid w:val="00F42B85"/>
    <w:rsid w:val="00F53186"/>
    <w:rsid w:val="00F636EE"/>
    <w:rsid w:val="00F70312"/>
    <w:rsid w:val="00FB5C13"/>
    <w:rsid w:val="00FB6690"/>
    <w:rsid w:val="00FC1182"/>
    <w:rsid w:val="00FD61C5"/>
    <w:rsid w:val="00FE1927"/>
    <w:rsid w:val="00FF17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65B8"/>
  <w15:docId w15:val="{7D316BC5-634C-44D5-90E9-E90F0BBE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unhideWhenUsed/>
    <w:rsid w:val="00D86F93"/>
    <w:rPr>
      <w:color w:val="0000FF"/>
      <w:u w:val="single"/>
    </w:rPr>
  </w:style>
  <w:style w:type="character" w:styleId="PouitHypertextovPrepojenie">
    <w:name w:val="FollowedHyperlink"/>
    <w:basedOn w:val="Predvolenpsmoodseku"/>
    <w:uiPriority w:val="99"/>
    <w:semiHidden/>
    <w:unhideWhenUsed/>
    <w:rsid w:val="00D86F93"/>
    <w:rPr>
      <w:color w:val="800080" w:themeColor="followedHyperlink"/>
      <w:u w:val="single"/>
    </w:rPr>
  </w:style>
  <w:style w:type="character" w:styleId="Odkaznakomentr">
    <w:name w:val="annotation reference"/>
    <w:basedOn w:val="Predvolenpsmoodseku"/>
    <w:uiPriority w:val="99"/>
    <w:semiHidden/>
    <w:unhideWhenUsed/>
    <w:rsid w:val="00E6790E"/>
    <w:rPr>
      <w:sz w:val="16"/>
      <w:szCs w:val="16"/>
    </w:rPr>
  </w:style>
  <w:style w:type="paragraph" w:styleId="Textkomentra">
    <w:name w:val="annotation text"/>
    <w:basedOn w:val="Normlny"/>
    <w:link w:val="TextkomentraChar"/>
    <w:uiPriority w:val="99"/>
    <w:semiHidden/>
    <w:unhideWhenUsed/>
    <w:rsid w:val="00E6790E"/>
  </w:style>
  <w:style w:type="character" w:customStyle="1" w:styleId="TextkomentraChar">
    <w:name w:val="Text komentára Char"/>
    <w:basedOn w:val="Predvolenpsmoodseku"/>
    <w:link w:val="Textkomentra"/>
    <w:uiPriority w:val="99"/>
    <w:semiHidden/>
    <w:rsid w:val="00E6790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6790E"/>
    <w:rPr>
      <w:b/>
      <w:bCs/>
    </w:rPr>
  </w:style>
  <w:style w:type="character" w:customStyle="1" w:styleId="PredmetkomentraChar">
    <w:name w:val="Predmet komentára Char"/>
    <w:basedOn w:val="TextkomentraChar"/>
    <w:link w:val="Predmetkomentra"/>
    <w:uiPriority w:val="99"/>
    <w:semiHidden/>
    <w:rsid w:val="00E6790E"/>
    <w:rPr>
      <w:rFonts w:ascii="Times New Roman" w:eastAsia="Times New Roman" w:hAnsi="Times New Roman" w:cs="Times New Roman"/>
      <w:b/>
      <w:bCs/>
      <w:sz w:val="20"/>
      <w:szCs w:val="20"/>
      <w:lang w:eastAsia="sk-SK"/>
    </w:rPr>
  </w:style>
  <w:style w:type="paragraph" w:styleId="Obyajntext">
    <w:name w:val="Plain Text"/>
    <w:basedOn w:val="Normlny"/>
    <w:link w:val="ObyajntextChar"/>
    <w:uiPriority w:val="99"/>
    <w:semiHidden/>
    <w:unhideWhenUsed/>
    <w:rsid w:val="00493C8C"/>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493C8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20329">
      <w:bodyDiv w:val="1"/>
      <w:marLeft w:val="0"/>
      <w:marRight w:val="0"/>
      <w:marTop w:val="0"/>
      <w:marBottom w:val="0"/>
      <w:divBdr>
        <w:top w:val="none" w:sz="0" w:space="0" w:color="auto"/>
        <w:left w:val="none" w:sz="0" w:space="0" w:color="auto"/>
        <w:bottom w:val="none" w:sz="0" w:space="0" w:color="auto"/>
        <w:right w:val="none" w:sz="0" w:space="0" w:color="auto"/>
      </w:divBdr>
    </w:div>
    <w:div w:id="1443497511">
      <w:bodyDiv w:val="1"/>
      <w:marLeft w:val="0"/>
      <w:marRight w:val="0"/>
      <w:marTop w:val="0"/>
      <w:marBottom w:val="0"/>
      <w:divBdr>
        <w:top w:val="none" w:sz="0" w:space="0" w:color="auto"/>
        <w:left w:val="none" w:sz="0" w:space="0" w:color="auto"/>
        <w:bottom w:val="none" w:sz="0" w:space="0" w:color="auto"/>
        <w:right w:val="none" w:sz="0" w:space="0" w:color="auto"/>
      </w:divBdr>
    </w:div>
    <w:div w:id="15526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f:fields xmlns:f="http://schemas.fabasoft.com/folio/2007/fields">
  <f:record ref="">
    <f:field ref="objname" par="" edit="true" text="05_doložka_podnikateľské_21-10-2016"/>
    <f:field ref="objsubject" par="" edit="true" text=""/>
    <f:field ref="objcreatedby" par="" text="Zubková, Katarína"/>
    <f:field ref="objcreatedat" par="" text="22.11.2016 15:32:01"/>
    <f:field ref="objchangedby" par="" text="Administrator, System"/>
    <f:field ref="objmodifiedat" par="" text="22.11.2016 15:32: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363B-2B9D-4CE1-9B61-8817791F6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90BCE1-7FDE-4307-97E3-90DFC6709C63}">
  <ds:schemaRefs>
    <ds:schemaRef ds:uri="http://schemas.microsoft.com/sharepoint/v3/contenttype/forms"/>
  </ds:schemaRefs>
</ds:datastoreItem>
</file>

<file path=customXml/itemProps3.xml><?xml version="1.0" encoding="utf-8"?>
<ds:datastoreItem xmlns:ds="http://schemas.openxmlformats.org/officeDocument/2006/customXml" ds:itemID="{207F1C9B-226B-442F-B264-B452EA50DF45}">
  <ds:schemaRefs>
    <ds:schemaRef ds:uri="http://schemas.microsoft.com/office/2006/metadata/propertie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11A45DF2-860E-4C0A-9CAE-5E47B69F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5696</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Kaiserová Dominika</cp:lastModifiedBy>
  <cp:revision>2</cp:revision>
  <cp:lastPrinted>2018-12-10T14:12:00Z</cp:lastPrinted>
  <dcterms:created xsi:type="dcterms:W3CDTF">2021-01-13T12:01:00Z</dcterms:created>
  <dcterms:modified xsi:type="dcterms:W3CDTF">2021-01-13T12:01:00Z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prostredie_x000d_
Príroda a krajina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Katarína Zubková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Návrh Programu starostlivosti o Chránené vtáčie územie Horná Orava na roky 2017 – 2046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892/2010  </vt:lpwstr>
  </property>
  <property fmtid="{D5CDD505-2E9C-101B-9397-08002B2CF9AE}" pid="23" name="FSC#SKEDITIONSLOVLEX@103.510:plnynazovpredpis">
    <vt:lpwstr> Návrh Programu starostlivosti o Chránené vtáčie územie Horná Orava na roky 2017 – 2046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8114/2016-6.1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LP/2016/1037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10. 11. 2016</vt:lpwstr>
  </property>
  <property fmtid="{D5CDD505-2E9C-101B-9397-08002B2CF9AE}" pid="59" name="FSC#SKEDITIONSLOVLEX@103.510:AttrDateDocPropUkonceniePKK">
    <vt:lpwstr>18. 11. 2016</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Stav ochrany druhov, biotopov a časti krajiny v CHVÚ Horná Orava vo všeobecnosti ovplyvňuje najmä poľnohospodárstvo, lesné hospodárstvo, vodné hospodárstvo, človekom spôsobené zmeny prírodných podmienok a aktivity (urbanizácia, cestovný ruch a infraštrukt</vt:lpwstr>
  </property>
  <property fmtid="{D5CDD505-2E9C-101B-9397-08002B2CF9AE}" pid="66" name="FSC#SKEDITIONSLOVLEX@103.510:AttrStrListDocPropAltRiesenia">
    <vt:lpwstr>Možnosti využitia opatrení s pozitívnym vplyvom na prírodu a krajinu financované zo zdrojov Európskeho spoločenstva.Na odstránenie definovaných problémov boli relevantné opatrenia s pozitívnym vplyvom na prírodu a krajinu zaradené medzi oprávnené aktivity</vt:lpwstr>
  </property>
  <property fmtid="{D5CDD505-2E9C-101B-9397-08002B2CF9AE}" pid="67" name="FSC#SKEDITIONSLOVLEX@103.510:AttrStrListDocPropStanoviskoGest">
    <vt:lpwstr>Stanovisko Komisie pre posudzovanie vybraných vplyvov (list číslo 296/2016 zo dňa 18. novembra.2016 doručený elektronicky 18. novembra 2016 v rámci predbežného pripomienkového konania):I. Úvod: Ministerstvo životného prostredia Slovenskej republiky dňa 10</vt:lpwstr>
  </property>
  <property fmtid="{D5CDD505-2E9C-101B-9397-08002B2CF9AE}" pid="68" name="FSC#SKEDITIONSLOVLEX@103.510:AttrStrListDocPropTextKomunike">
    <vt:lpwstr>Vláda Slovenskej republiky na svojom zasadnutí dňa...................... prerokovala a schválila Program starostlivosti o Chránené vtáčie územie Horná Orava na roky 2017 - 2046. Program obsahuje ciele starostlivosti a pravidlá trvalo udržateľného územia t</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minister životného prostredia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ministerovi životného prostredia Slovenskej republiky</vt:lpwstr>
  </property>
  <property fmtid="{D5CDD505-2E9C-101B-9397-08002B2CF9AE}" pid="143" name="FSC#SKEDITIONSLOVLEX@103.510:funkciaZodpPredDativ">
    <vt:lpwstr>ministera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 Predloženie uvedeného materiálu vyplýva z&amp;nbsp;uznesenia vlády Slovenskej republiky č. 892 z&amp;nbsp;15. decembra 2010, ktorým bol schválený Plán práce vlády S</vt:lpwstr>
  </property>
  <property fmtid="{D5CDD505-2E9C-101B-9397-08002B2CF9AE}" pid="150" name="FSC#COOSYSTEM@1.1:Container">
    <vt:lpwstr>COO.2145.1000.3.1696740</vt:lpwstr>
  </property>
  <property fmtid="{D5CDD505-2E9C-101B-9397-08002B2CF9AE}" pid="151" name="FSC#FSCFOLIO@1.1001:docpropproject">
    <vt:lpwstr/>
  </property>
</Properties>
</file>