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0BEBD0EF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1A2D92" w14:textId="50187A58" w:rsidR="009F2DFA" w:rsidRPr="00042C66" w:rsidRDefault="008A1252" w:rsidP="0015197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7532629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53CA425C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BB12B9" w14:textId="77777777"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14:paraId="45E4834B" w14:textId="77777777" w:rsidTr="0015197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396F9BB4" w14:textId="77777777" w:rsidTr="00151977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60A6B4" w14:textId="77777777" w:rsidR="009F2DFA" w:rsidRPr="00F04CCD" w:rsidRDefault="00597DCC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E814B7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029AE3E" w14:textId="77777777" w:rsidTr="00151977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B51F76" w14:textId="77777777" w:rsidR="009F2DFA" w:rsidRPr="00F04CCD" w:rsidRDefault="00D25514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484A7E5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7852DF6" w14:textId="77777777" w:rsidTr="00151977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0E6741" w14:textId="3F3B7581" w:rsidR="009F2DFA" w:rsidRPr="00F04CCD" w:rsidRDefault="00AD67B3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59BDD49" w14:textId="77777777" w:rsidR="009F2DFA" w:rsidRPr="00F04CCD" w:rsidRDefault="009F2DFA" w:rsidP="0015197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3B40F42F" w14:textId="77777777" w:rsidR="009F2DFA" w:rsidRPr="00F04CCD" w:rsidRDefault="009F2DFA" w:rsidP="00151977">
            <w:pPr>
              <w:rPr>
                <w:b/>
              </w:rPr>
            </w:pPr>
          </w:p>
        </w:tc>
      </w:tr>
      <w:tr w:rsidR="009F2DFA" w:rsidRPr="00F04CCD" w14:paraId="181D38F7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8DB460" w14:textId="77777777" w:rsidR="009F2DFA" w:rsidRPr="00042C66" w:rsidRDefault="002B1108" w:rsidP="00151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94DC8CD" w14:textId="77777777"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8E03B8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41F2310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2990F3A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2A293748" w14:textId="77777777" w:rsidTr="001519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2B9613F" w14:textId="24350027" w:rsidR="00724272" w:rsidRDefault="00724272">
            <w:pPr>
              <w:jc w:val="both"/>
            </w:pPr>
            <w:r>
              <w:t xml:space="preserve">Schválením nariadenia vlády Slovenskej republiky, ktorým sa vyhlasuje </w:t>
            </w:r>
            <w:r w:rsidR="003345F4">
              <w:t>chránený areál</w:t>
            </w:r>
            <w:r>
              <w:t xml:space="preserve"> Devínske jazero, budú ovplyvnení predovšetkým vlastníci a užívatelia pozemkov v</w:t>
            </w:r>
            <w:r w:rsidR="003345F4">
              <w:t> chránenom areáli (CHA)</w:t>
            </w:r>
            <w:r>
              <w:t xml:space="preserve"> Devínske jazero, na ktorých dôjde k obmedzeniu bežného obhospodarovania  v zmysle § 61 zákona č. 543/2002 Z. z. o ochrane prírody a krajiny v znení neskorších predpisov (ďalej len „zákon“).</w:t>
            </w:r>
          </w:p>
          <w:p w14:paraId="1BCDF021" w14:textId="386E4908" w:rsidR="00724272" w:rsidRDefault="00724272">
            <w:pPr>
              <w:jc w:val="both"/>
            </w:pPr>
          </w:p>
          <w:p w14:paraId="79F49018" w14:textId="20539024" w:rsidR="00724272" w:rsidRDefault="00724272">
            <w:pPr>
              <w:jc w:val="both"/>
            </w:pPr>
            <w:r>
              <w:t xml:space="preserve">Ide o lesné pozemky na troch lesných porastoch v rámci Lesného celku Kostolište (č. 753,754 a 755), na ktorých sa vyhlásením </w:t>
            </w:r>
            <w:r w:rsidR="003345F4">
              <w:t>CHA</w:t>
            </w:r>
            <w:r>
              <w:t xml:space="preserve"> Devínske jazero zmení 2. a 3. stupeň ochrany na 5. stupeň ochrany (na výmere približne </w:t>
            </w:r>
            <w:r w:rsidR="001F7A78">
              <w:t xml:space="preserve">20 </w:t>
            </w:r>
            <w:r>
              <w:t xml:space="preserve">ha). </w:t>
            </w:r>
            <w:r w:rsidR="001F7A78">
              <w:t xml:space="preserve">Stupeň ochrany sa zvýši z druhého 2. na 3. stupeň v lesných porastoch č. 741, 759, 760 a 761, ale vzhľadom na minimálny nárast obmedzení, či zákazov oproti súčasnému stavu to nemá vplyv na ich ďalšie obhospodarovanie zo strany vlastníka či užívateľa pozemkov. </w:t>
            </w:r>
          </w:p>
          <w:p w14:paraId="27C4825D" w14:textId="77777777" w:rsidR="00724272" w:rsidRDefault="00724272">
            <w:pPr>
              <w:jc w:val="both"/>
            </w:pPr>
          </w:p>
          <w:p w14:paraId="5F481AC9" w14:textId="76ED24ED" w:rsidR="00724272" w:rsidRDefault="001F7A78">
            <w:pPr>
              <w:jc w:val="both"/>
            </w:pPr>
            <w:r>
              <w:t xml:space="preserve">Vlastníci alebo užívatelia dotknutých pozemkov môžu požiadať o náhradu za obmedzenie bežného obhospodarovania v zmysle § 61 zákona. </w:t>
            </w:r>
          </w:p>
          <w:p w14:paraId="45A6B479" w14:textId="77777777" w:rsidR="00713064" w:rsidRDefault="00713064" w:rsidP="00713064">
            <w:pPr>
              <w:jc w:val="both"/>
              <w:rPr>
                <w:b/>
                <w:bCs/>
              </w:rPr>
            </w:pPr>
          </w:p>
          <w:p w14:paraId="5ABAA116" w14:textId="5F09B117" w:rsidR="00713064" w:rsidRPr="001F7A78" w:rsidRDefault="00713064" w:rsidP="001F7A78">
            <w:pPr>
              <w:spacing w:after="12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Pozitívne vplyvy </w:t>
            </w:r>
            <w:r w:rsidR="001F7A78" w:rsidRPr="00194453">
              <w:rPr>
                <w:bCs/>
              </w:rPr>
              <w:t xml:space="preserve">budú </w:t>
            </w:r>
            <w:r w:rsidR="001F7A78">
              <w:rPr>
                <w:bCs/>
              </w:rPr>
              <w:t xml:space="preserve">v prípade, že sa vlastníci a užívatelia pozemkov, na ktorých dochádza k obmedzeniu bežného obhospodarovania budú uchádzať o náhradu za obmedzenie bežného obhospodarovania a táto im bude priznaná (je </w:t>
            </w:r>
            <w:proofErr w:type="spellStart"/>
            <w:r w:rsidR="001F7A78">
              <w:rPr>
                <w:bCs/>
              </w:rPr>
              <w:t>nárokovateľná</w:t>
            </w:r>
            <w:proofErr w:type="spellEnd"/>
            <w:r w:rsidR="001F7A78">
              <w:rPr>
                <w:bCs/>
              </w:rPr>
              <w:t xml:space="preserve">). T. j. v plnej miere bude nahradené vzniknuté obmedzenie. </w:t>
            </w:r>
          </w:p>
          <w:p w14:paraId="0FBB3776" w14:textId="58835925" w:rsidR="001F7A78" w:rsidRDefault="001F7A78" w:rsidP="001F7A78">
            <w:pPr>
              <w:spacing w:after="120"/>
              <w:jc w:val="both"/>
            </w:pPr>
            <w:r w:rsidRPr="00377378">
              <w:rPr>
                <w:b/>
                <w:bCs/>
              </w:rPr>
              <w:t>Negatívne vplyvy</w:t>
            </w:r>
            <w:r w:rsidRPr="00FD4006">
              <w:t xml:space="preserve"> môžu nastať v prípade, </w:t>
            </w:r>
            <w:r>
              <w:t xml:space="preserve">ak vlastníci a užívatelia pozemkov nepožiadajú o náhradu za obmedzenie bežného obhospodarovania v zmysle § 61 zákona. V takomto prípade dôjde len k obmedzeniu ich </w:t>
            </w:r>
            <w:r w:rsidRPr="00FD4006">
              <w:t>podnikateľských aktivít bez následnej kompenzácie</w:t>
            </w:r>
            <w:r>
              <w:t xml:space="preserve">. </w:t>
            </w:r>
          </w:p>
          <w:p w14:paraId="026CFCC1" w14:textId="39F90FE9" w:rsidR="00AD67B3" w:rsidRPr="00F04CCD" w:rsidRDefault="001F7A78" w:rsidP="001754FC">
            <w:pPr>
              <w:jc w:val="both"/>
              <w:rPr>
                <w:i/>
              </w:rPr>
            </w:pPr>
            <w:r>
              <w:t xml:space="preserve">Spôsob a výška náhrady za obmedzenie bežného obhospodarovania budú dohodnuté s vlastníkmi, resp. užívateľmi pozemkov. V prípade, ak bude ako náhrada za obmedzenie bežného obhospodarovania využitá forma </w:t>
            </w:r>
            <w:r w:rsidR="001754FC">
              <w:t>nájmu § 61b</w:t>
            </w:r>
            <w:r>
              <w:t xml:space="preserve"> zákona, predpokladaná celková výška finančných prostriedkov na vyplatenie </w:t>
            </w:r>
            <w:r w:rsidR="001754FC">
              <w:t>nájmu za pozemky</w:t>
            </w:r>
            <w:r>
              <w:t xml:space="preserve"> je približne </w:t>
            </w:r>
            <w:r w:rsidR="001754FC">
              <w:t>1 786</w:t>
            </w:r>
            <w:r>
              <w:t xml:space="preserve"> EUR/rok. Vlastníci a užívatelia </w:t>
            </w:r>
            <w:r w:rsidR="003345F4">
              <w:t xml:space="preserve">pozemkov </w:t>
            </w:r>
            <w:r>
              <w:t>môžu využiť aj ďalšie formy náhrady podľa § 61 zákona.</w:t>
            </w:r>
          </w:p>
        </w:tc>
      </w:tr>
      <w:tr w:rsidR="009F2DFA" w:rsidRPr="00F04CCD" w14:paraId="00E7DF62" w14:textId="77777777" w:rsidTr="0015197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A7D5C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2BF52495" w14:textId="77777777" w:rsidTr="0015197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5A71657A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4B4EDFF9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2BF332EB" w14:textId="77777777" w:rsidR="009F2DFA" w:rsidRPr="000D2622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1616273E" w14:textId="77777777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14:paraId="5D796B4C" w14:textId="40CD82DB" w:rsidR="008F0266" w:rsidRPr="008F0266" w:rsidRDefault="001754FC" w:rsidP="00167DDC">
            <w:pPr>
              <w:jc w:val="both"/>
            </w:pPr>
            <w:r>
              <w:t xml:space="preserve">Zámer vyhlásiť </w:t>
            </w:r>
            <w:r w:rsidR="003345F4">
              <w:t>CHA</w:t>
            </w:r>
            <w:r>
              <w:t xml:space="preserve"> Devínske jazero bol v zmysle § 50 oznámený Okresným úradom Bratislava dňa 23. apríla 2018. </w:t>
            </w:r>
            <w:r w:rsidR="00241A9B">
              <w:t>Okresný úrad Bratislava zvolal prerokovanie vznesených pripomienok, ktoré sa uskutočnilo d</w:t>
            </w:r>
            <w:r w:rsidR="00D53E3C">
              <w:t>ňa 15</w:t>
            </w:r>
            <w:r w:rsidR="00241A9B">
              <w:t xml:space="preserve">.08.2018. </w:t>
            </w:r>
            <w:r w:rsidR="00D53E3C">
              <w:t xml:space="preserve">Prerokovania sa zúčastnili Bratislavský samosprávny kraj, Ministerstvo obrany Slovenskej republiky, Mesto Stupava, štátny podnik Lesy Slovenskej republiky – Odštepný závod </w:t>
            </w:r>
            <w:r w:rsidR="00D53E3C" w:rsidRPr="00EE08A6">
              <w:t>Šaštín, A</w:t>
            </w:r>
            <w:r w:rsidR="00167DDC" w:rsidRPr="00EE08A6">
              <w:t>L</w:t>
            </w:r>
            <w:r w:rsidR="00D53E3C" w:rsidRPr="00EE08A6">
              <w:t>LAS</w:t>
            </w:r>
            <w:r w:rsidR="00D53E3C">
              <w:t xml:space="preserve"> Slovakia, s. r. o. a Slovenský vodohospodársky podnik. Všetky pripomienky k</w:t>
            </w:r>
            <w:r>
              <w:t xml:space="preserve"> zámeru vznesené zo strany dotknutých subjektov boli </w:t>
            </w:r>
            <w:r w:rsidR="00D53E3C">
              <w:t xml:space="preserve">akceptované a </w:t>
            </w:r>
            <w:r>
              <w:t xml:space="preserve">zapracované do </w:t>
            </w:r>
            <w:r w:rsidR="00D53E3C">
              <w:t>projektu ochrany (§ 54 ods. 13 zákona), ktorý je podkladom na vyhlasovanie chránených území</w:t>
            </w:r>
            <w:r>
              <w:t>.</w:t>
            </w:r>
          </w:p>
        </w:tc>
      </w:tr>
      <w:tr w:rsidR="009F2DFA" w:rsidRPr="00F04CCD" w14:paraId="009A5A6D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EC26D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DAED75A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C8BBF1F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82FD29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488F6568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887221" w14:textId="77777777" w:rsidR="0096199E" w:rsidRPr="00F04CCD" w:rsidRDefault="0096199E" w:rsidP="00DD7397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  <w:r w:rsidR="009F37F9">
              <w:rPr>
                <w:b/>
                <w:i/>
              </w:rPr>
              <w:t xml:space="preserve"> </w:t>
            </w:r>
          </w:p>
        </w:tc>
      </w:tr>
      <w:tr w:rsidR="009F2DFA" w:rsidRPr="00F04CCD" w14:paraId="7B9AAD47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403225B7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5EDDBCA3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427A1E99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F6647E" w14:textId="77777777" w:rsidR="009F2DFA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9F2DFA" w:rsidRPr="00F04CCD" w14:paraId="3B0E441C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61F4B1EA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035A5227" w14:textId="77777777"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lastRenderedPageBreak/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14:paraId="1C0ED20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D57CAE1" w14:textId="77777777" w:rsidR="0096199E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X</w:t>
            </w:r>
          </w:p>
        </w:tc>
      </w:tr>
      <w:tr w:rsidR="009F2DFA" w:rsidRPr="00F04CCD" w14:paraId="5666821C" w14:textId="77777777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F9B805F" w14:textId="77777777" w:rsidR="009F2DFA" w:rsidRPr="00F04CCD" w:rsidRDefault="002B1108" w:rsidP="00151977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14:paraId="2FFD78D4" w14:textId="77777777" w:rsidTr="00590F35">
              <w:tc>
                <w:tcPr>
                  <w:tcW w:w="2993" w:type="dxa"/>
                </w:tcPr>
                <w:p w14:paraId="0B98C110" w14:textId="77777777" w:rsidR="009F2DFA" w:rsidRPr="00F04CCD" w:rsidRDefault="009F2DFA" w:rsidP="00151977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14:paraId="7E3342B9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14:paraId="0F93B117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16D60F1D" w14:textId="77777777" w:rsidTr="00590F35">
              <w:tc>
                <w:tcPr>
                  <w:tcW w:w="2993" w:type="dxa"/>
                </w:tcPr>
                <w:p w14:paraId="2A111CB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14:paraId="6D870E5D" w14:textId="714BA0E8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713EF1FB" w14:textId="10BF47BE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4CB4D469" w14:textId="77777777" w:rsidTr="00590F35">
              <w:tc>
                <w:tcPr>
                  <w:tcW w:w="2993" w:type="dxa"/>
                </w:tcPr>
                <w:p w14:paraId="2D0E98CA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14:paraId="24083B47" w14:textId="1B70B694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6AD6C79D" w14:textId="1153F5AF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5EE2E333" w14:textId="77777777" w:rsidTr="00590F35">
              <w:tc>
                <w:tcPr>
                  <w:tcW w:w="2993" w:type="dxa"/>
                </w:tcPr>
                <w:p w14:paraId="50459C1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14:paraId="1981A69A" w14:textId="7B933477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1DE114AD" w14:textId="0EB2BCE3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79E17CEC" w14:textId="77777777" w:rsidTr="00590F35">
              <w:tc>
                <w:tcPr>
                  <w:tcW w:w="2993" w:type="dxa"/>
                </w:tcPr>
                <w:p w14:paraId="4132F7C4" w14:textId="77777777" w:rsidR="009F2DFA" w:rsidRPr="00F04CCD" w:rsidRDefault="009F2DFA" w:rsidP="0015197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14:paraId="5B57E4AE" w14:textId="53FABD87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55ECD62E" w14:textId="7DBE44B5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14:paraId="5A825E3F" w14:textId="77777777" w:rsidR="005D6E3A" w:rsidRPr="00F04CCD" w:rsidRDefault="005D6E3A" w:rsidP="00151977">
            <w:pPr>
              <w:rPr>
                <w:i/>
              </w:rPr>
            </w:pPr>
          </w:p>
        </w:tc>
      </w:tr>
      <w:tr w:rsidR="009F2DFA" w:rsidRPr="00F04CCD" w14:paraId="7A12578B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359A433D" w14:textId="77777777"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A5588D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CB56E4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14:paraId="47545A2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A138B7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2ADB4E3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7DC11DCA" w14:textId="77777777" w:rsidTr="00C17403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E6EDA7E" w14:textId="77777777" w:rsidR="008F0266" w:rsidRPr="00413E39" w:rsidRDefault="005B3384" w:rsidP="00DD7397">
            <w:pPr>
              <w:jc w:val="both"/>
            </w:pPr>
            <w:r w:rsidRPr="00AF76D8">
              <w:rPr>
                <w:b/>
                <w:i/>
              </w:rPr>
              <w:t>X</w:t>
            </w:r>
          </w:p>
        </w:tc>
      </w:tr>
      <w:tr w:rsidR="009F2DFA" w:rsidRPr="00F04CCD" w14:paraId="55C0BDA8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74A0BEB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6613913" w14:textId="77777777" w:rsidTr="00151977">
        <w:tc>
          <w:tcPr>
            <w:tcW w:w="9212" w:type="dxa"/>
          </w:tcPr>
          <w:p w14:paraId="5E38ADC5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3F6F534E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2CDBB10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03231D48" w14:textId="77777777" w:rsidR="009F2DFA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5270E6C" w14:textId="77777777" w:rsidR="00837639" w:rsidRPr="00F04CCD" w:rsidRDefault="00837639" w:rsidP="0015197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71ADA19" w14:textId="77777777" w:rsidTr="001C3158">
        <w:trPr>
          <w:trHeight w:val="200"/>
        </w:trPr>
        <w:tc>
          <w:tcPr>
            <w:tcW w:w="9212" w:type="dxa"/>
          </w:tcPr>
          <w:p w14:paraId="0AD777C8" w14:textId="77777777" w:rsidR="009F2DFA" w:rsidRPr="00AF76D8" w:rsidRDefault="00AF76D8" w:rsidP="00151977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14:paraId="2C2DAB87" w14:textId="77777777"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66DC" w14:textId="77777777" w:rsidR="001E07B5" w:rsidRDefault="001E07B5" w:rsidP="009F2DFA">
      <w:r>
        <w:separator/>
      </w:r>
    </w:p>
  </w:endnote>
  <w:endnote w:type="continuationSeparator" w:id="0">
    <w:p w14:paraId="5B7F8FFC" w14:textId="77777777" w:rsidR="001E07B5" w:rsidRDefault="001E07B5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7AF9E6B8" w14:textId="54C7E3D4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8F">
          <w:rPr>
            <w:noProof/>
          </w:rPr>
          <w:t>1</w:t>
        </w:r>
        <w:r>
          <w:fldChar w:fldCharType="end"/>
        </w:r>
      </w:p>
    </w:sdtContent>
  </w:sdt>
  <w:p w14:paraId="601523E4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F72C" w14:textId="77777777" w:rsidR="001E07B5" w:rsidRDefault="001E07B5" w:rsidP="009F2DFA">
      <w:r>
        <w:separator/>
      </w:r>
    </w:p>
  </w:footnote>
  <w:footnote w:type="continuationSeparator" w:id="0">
    <w:p w14:paraId="0CDCF74E" w14:textId="77777777" w:rsidR="001E07B5" w:rsidRDefault="001E07B5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BB1" w14:textId="77777777"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14:paraId="2F9329B5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47430"/>
    <w:rsid w:val="00060C5B"/>
    <w:rsid w:val="00060CAD"/>
    <w:rsid w:val="000939C0"/>
    <w:rsid w:val="000C1FA1"/>
    <w:rsid w:val="000F6641"/>
    <w:rsid w:val="00125F4E"/>
    <w:rsid w:val="00151977"/>
    <w:rsid w:val="00154881"/>
    <w:rsid w:val="00167DDC"/>
    <w:rsid w:val="00172B80"/>
    <w:rsid w:val="001754FC"/>
    <w:rsid w:val="00184E65"/>
    <w:rsid w:val="001B43B5"/>
    <w:rsid w:val="001B7F40"/>
    <w:rsid w:val="001C3158"/>
    <w:rsid w:val="001C43CF"/>
    <w:rsid w:val="001E07B5"/>
    <w:rsid w:val="001F7A78"/>
    <w:rsid w:val="002135E0"/>
    <w:rsid w:val="00241A9B"/>
    <w:rsid w:val="0024785C"/>
    <w:rsid w:val="002513D6"/>
    <w:rsid w:val="002675ED"/>
    <w:rsid w:val="00276D2C"/>
    <w:rsid w:val="002B1108"/>
    <w:rsid w:val="002E62CC"/>
    <w:rsid w:val="00304A49"/>
    <w:rsid w:val="003136F4"/>
    <w:rsid w:val="0032268C"/>
    <w:rsid w:val="003345F4"/>
    <w:rsid w:val="003479FC"/>
    <w:rsid w:val="0037559F"/>
    <w:rsid w:val="003762D5"/>
    <w:rsid w:val="0039375F"/>
    <w:rsid w:val="003B2360"/>
    <w:rsid w:val="003B60F8"/>
    <w:rsid w:val="003C606F"/>
    <w:rsid w:val="003D7F05"/>
    <w:rsid w:val="003E269E"/>
    <w:rsid w:val="003F364B"/>
    <w:rsid w:val="00413E39"/>
    <w:rsid w:val="00426FAD"/>
    <w:rsid w:val="00436CBC"/>
    <w:rsid w:val="00493C8C"/>
    <w:rsid w:val="004A4E64"/>
    <w:rsid w:val="004A6A9F"/>
    <w:rsid w:val="004F6C8F"/>
    <w:rsid w:val="005026A2"/>
    <w:rsid w:val="0052297F"/>
    <w:rsid w:val="00524620"/>
    <w:rsid w:val="00582967"/>
    <w:rsid w:val="00590F35"/>
    <w:rsid w:val="00597DCC"/>
    <w:rsid w:val="005B3384"/>
    <w:rsid w:val="005C34E4"/>
    <w:rsid w:val="005C6BE7"/>
    <w:rsid w:val="005D6E3A"/>
    <w:rsid w:val="005E3A41"/>
    <w:rsid w:val="006379AE"/>
    <w:rsid w:val="00663151"/>
    <w:rsid w:val="00676C83"/>
    <w:rsid w:val="00683BED"/>
    <w:rsid w:val="006871A8"/>
    <w:rsid w:val="006934E1"/>
    <w:rsid w:val="0069496F"/>
    <w:rsid w:val="006A0749"/>
    <w:rsid w:val="006A1934"/>
    <w:rsid w:val="006C1393"/>
    <w:rsid w:val="00713064"/>
    <w:rsid w:val="00724272"/>
    <w:rsid w:val="00774C67"/>
    <w:rsid w:val="00780BA6"/>
    <w:rsid w:val="007867D6"/>
    <w:rsid w:val="007D3B0F"/>
    <w:rsid w:val="007D3F89"/>
    <w:rsid w:val="00837639"/>
    <w:rsid w:val="00852BF2"/>
    <w:rsid w:val="00892475"/>
    <w:rsid w:val="008967CE"/>
    <w:rsid w:val="008A1252"/>
    <w:rsid w:val="008B1218"/>
    <w:rsid w:val="008B6099"/>
    <w:rsid w:val="008F0266"/>
    <w:rsid w:val="00904C9B"/>
    <w:rsid w:val="00920EAB"/>
    <w:rsid w:val="00926408"/>
    <w:rsid w:val="00927407"/>
    <w:rsid w:val="0096199E"/>
    <w:rsid w:val="009650AF"/>
    <w:rsid w:val="0098555B"/>
    <w:rsid w:val="009F2DFA"/>
    <w:rsid w:val="009F37F9"/>
    <w:rsid w:val="00A854D1"/>
    <w:rsid w:val="00A97DBC"/>
    <w:rsid w:val="00AC3F1B"/>
    <w:rsid w:val="00AD67B3"/>
    <w:rsid w:val="00AF76D8"/>
    <w:rsid w:val="00AF7996"/>
    <w:rsid w:val="00B13C14"/>
    <w:rsid w:val="00B31A8E"/>
    <w:rsid w:val="00B5171E"/>
    <w:rsid w:val="00B871BC"/>
    <w:rsid w:val="00BA073A"/>
    <w:rsid w:val="00BD7FA9"/>
    <w:rsid w:val="00BE3914"/>
    <w:rsid w:val="00BF34B2"/>
    <w:rsid w:val="00C01671"/>
    <w:rsid w:val="00C17403"/>
    <w:rsid w:val="00C46BFA"/>
    <w:rsid w:val="00C57578"/>
    <w:rsid w:val="00C60215"/>
    <w:rsid w:val="00C63BE9"/>
    <w:rsid w:val="00C95B07"/>
    <w:rsid w:val="00CA3953"/>
    <w:rsid w:val="00CB3623"/>
    <w:rsid w:val="00CC7A8C"/>
    <w:rsid w:val="00CD73D0"/>
    <w:rsid w:val="00CD7EF1"/>
    <w:rsid w:val="00CF1F93"/>
    <w:rsid w:val="00D122FE"/>
    <w:rsid w:val="00D25514"/>
    <w:rsid w:val="00D53E3C"/>
    <w:rsid w:val="00D828A4"/>
    <w:rsid w:val="00D86F93"/>
    <w:rsid w:val="00D959B2"/>
    <w:rsid w:val="00D97145"/>
    <w:rsid w:val="00DC43EB"/>
    <w:rsid w:val="00DD4B12"/>
    <w:rsid w:val="00DD733E"/>
    <w:rsid w:val="00DD7397"/>
    <w:rsid w:val="00E150A4"/>
    <w:rsid w:val="00E208B1"/>
    <w:rsid w:val="00E243B4"/>
    <w:rsid w:val="00E25722"/>
    <w:rsid w:val="00E37918"/>
    <w:rsid w:val="00E56586"/>
    <w:rsid w:val="00E6790E"/>
    <w:rsid w:val="00E70DDA"/>
    <w:rsid w:val="00E86AD1"/>
    <w:rsid w:val="00EA3175"/>
    <w:rsid w:val="00EB4C1A"/>
    <w:rsid w:val="00EC4109"/>
    <w:rsid w:val="00EE08A6"/>
    <w:rsid w:val="00F04914"/>
    <w:rsid w:val="00F35D27"/>
    <w:rsid w:val="00F41620"/>
    <w:rsid w:val="00F42B85"/>
    <w:rsid w:val="00F53186"/>
    <w:rsid w:val="00F636EE"/>
    <w:rsid w:val="00F70312"/>
    <w:rsid w:val="00FB5C13"/>
    <w:rsid w:val="00FB6690"/>
    <w:rsid w:val="00FC1182"/>
    <w:rsid w:val="00FD61C5"/>
    <w:rsid w:val="00FE192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5B8"/>
  <w15:docId w15:val="{7D316BC5-634C-44D5-90E9-E90F0BB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7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90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9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9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93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3C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5_doložka_podnikateľské_21-10-2016"/>
    <f:field ref="objsubject" par="" edit="true" text=""/>
    <f:field ref="objcreatedby" par="" text="Zubková, Katarína"/>
    <f:field ref="objcreatedat" par="" text="22.11.2016 15:32:01"/>
    <f:field ref="objchangedby" par="" text="Administrator, System"/>
    <f:field ref="objmodifiedat" par="" text="22.11.2016 15:32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1EF213B-0978-4B5D-B4EB-E8D99B7A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Lojková Silvia</cp:lastModifiedBy>
  <cp:revision>2</cp:revision>
  <cp:lastPrinted>2021-01-13T11:16:00Z</cp:lastPrinted>
  <dcterms:created xsi:type="dcterms:W3CDTF">2021-01-13T11:16:00Z</dcterms:created>
  <dcterms:modified xsi:type="dcterms:W3CDTF">2021-01-13T11:16:00Z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COO.2145.1000.3.1696740</vt:lpwstr>
  </property>
  <property fmtid="{D5CDD505-2E9C-101B-9397-08002B2CF9AE}" pid="151" name="FSC#FSCFOLIO@1.1001:docpropproject">
    <vt:lpwstr/>
  </property>
</Properties>
</file>