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A5" w:rsidRPr="003939FE" w:rsidRDefault="00085E04">
      <w:pPr>
        <w:spacing w:after="0" w:line="240" w:lineRule="auto"/>
        <w:jc w:val="center"/>
        <w:rPr>
          <w:rFonts w:ascii="Times New Roman" w:eastAsia="Times New Roman" w:hAnsi="Times New Roman" w:cs="Times New Roman"/>
          <w:b/>
          <w:bCs/>
          <w:caps/>
          <w:sz w:val="28"/>
          <w:szCs w:val="28"/>
        </w:rPr>
      </w:pPr>
      <w:r w:rsidRPr="003939FE">
        <w:rPr>
          <w:rFonts w:ascii="Times New Roman" w:hAnsi="Times New Roman"/>
          <w:b/>
          <w:bCs/>
          <w:caps/>
          <w:sz w:val="28"/>
          <w:szCs w:val="28"/>
        </w:rPr>
        <w:t>Vyhodnotenie medzirezortného pripomienkového konania</w:t>
      </w:r>
    </w:p>
    <w:p w:rsidR="00966AA5" w:rsidRPr="003939FE" w:rsidRDefault="00966AA5">
      <w:pPr>
        <w:jc w:val="center"/>
      </w:pPr>
    </w:p>
    <w:p w:rsidR="00966AA5" w:rsidRPr="003939FE" w:rsidRDefault="00085E04">
      <w:pPr>
        <w:jc w:val="center"/>
        <w:rPr>
          <w:rFonts w:ascii="Times Roman" w:eastAsia="Times Roman" w:hAnsi="Times Roman" w:cs="Times Roman"/>
          <w:sz w:val="25"/>
          <w:szCs w:val="25"/>
        </w:rPr>
      </w:pPr>
      <w:r w:rsidRPr="003939FE">
        <w:rPr>
          <w:rFonts w:ascii="Times Roman" w:hAnsi="Times Roman"/>
          <w:sz w:val="25"/>
          <w:szCs w:val="25"/>
        </w:rPr>
        <w:t>Nariadenie vlády Slovenskej republiky, ktorým sa vyhlasuje chránený areál Široká</w:t>
      </w:r>
    </w:p>
    <w:p w:rsidR="00966AA5" w:rsidRPr="003939FE" w:rsidRDefault="00966AA5"/>
    <w:tbl>
      <w:tblPr>
        <w:tblStyle w:val="TableNormal"/>
        <w:tblW w:w="1559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97"/>
        <w:gridCol w:w="7801"/>
      </w:tblGrid>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Spôsob pripomienkového konania</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0"/>
                <w:szCs w:val="20"/>
              </w:rPr>
              <w:t> </w:t>
            </w:r>
          </w:p>
        </w:tc>
      </w:tr>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Počet vznesených pripomienok, z toho zásadných</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Roman" w:hAnsi="Times Roman"/>
                <w:sz w:val="25"/>
                <w:szCs w:val="25"/>
              </w:rPr>
              <w:t>10 /4</w:t>
            </w:r>
          </w:p>
        </w:tc>
      </w:tr>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Počet vyhodnotených pripomienok</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Roman" w:hAnsi="Times Roman"/>
                <w:sz w:val="25"/>
                <w:szCs w:val="25"/>
              </w:rPr>
              <w:t>10</w:t>
            </w:r>
          </w:p>
        </w:tc>
      </w:tr>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tc>
      </w:tr>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Počet akceptovaných pripomienok, z toho zásadných</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0"/>
                <w:szCs w:val="20"/>
                <w14:textOutline w14:w="12700" w14:cap="flat" w14:cmpd="sng" w14:algn="ctr">
                  <w14:noFill/>
                  <w14:prstDash w14:val="solid"/>
                  <w14:miter w14:lim="400000"/>
                </w14:textOutline>
              </w:rPr>
              <w:t xml:space="preserve"> </w:t>
            </w:r>
            <w:r w:rsidRPr="003939FE">
              <w:rPr>
                <w:rFonts w:ascii="Times New Roman" w:hAnsi="Times New Roman"/>
                <w:sz w:val="25"/>
                <w:szCs w:val="25"/>
                <w14:textOutline w14:w="12700" w14:cap="flat" w14:cmpd="sng" w14:algn="ctr">
                  <w14:noFill/>
                  <w14:prstDash w14:val="solid"/>
                  <w14:miter w14:lim="400000"/>
                </w14:textOutline>
              </w:rPr>
              <w:t>6 /1</w:t>
            </w:r>
          </w:p>
        </w:tc>
      </w:tr>
      <w:tr w:rsidR="00966AA5" w:rsidRPr="003939FE">
        <w:trPr>
          <w:trHeight w:val="320"/>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Počet čiastočne akceptovaných pripomienok, z toho zásadných</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4"/>
                <w:szCs w:val="24"/>
              </w:rPr>
              <w:t xml:space="preserve"> </w:t>
            </w:r>
            <w:r w:rsidRPr="003939FE">
              <w:rPr>
                <w:rFonts w:ascii="Times New Roman" w:hAnsi="Times New Roman"/>
                <w:sz w:val="25"/>
                <w:szCs w:val="25"/>
              </w:rPr>
              <w:t>1</w:t>
            </w:r>
            <w:r w:rsidRPr="003939FE">
              <w:rPr>
                <w:rFonts w:ascii="Times New Roman" w:hAnsi="Times New Roman"/>
                <w:sz w:val="20"/>
                <w:szCs w:val="20"/>
              </w:rPr>
              <w:t xml:space="preserve"> </w:t>
            </w:r>
            <w:r w:rsidRPr="003939FE">
              <w:rPr>
                <w:rFonts w:ascii="Times Roman" w:hAnsi="Times Roman"/>
                <w:sz w:val="25"/>
                <w:szCs w:val="25"/>
              </w:rPr>
              <w:t>/1</w:t>
            </w:r>
          </w:p>
        </w:tc>
      </w:tr>
      <w:tr w:rsidR="00966AA5" w:rsidRPr="003939FE">
        <w:trPr>
          <w:trHeight w:val="320"/>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Počet neakceptovaných pripomienok, z toho zásadných</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0"/>
                <w:szCs w:val="20"/>
              </w:rPr>
              <w:t xml:space="preserve"> </w:t>
            </w:r>
            <w:r w:rsidRPr="003939FE">
              <w:rPr>
                <w:rFonts w:ascii="Times New Roman" w:hAnsi="Times New Roman"/>
                <w:sz w:val="25"/>
                <w:szCs w:val="25"/>
              </w:rPr>
              <w:t>3</w:t>
            </w:r>
            <w:r w:rsidRPr="003939FE">
              <w:rPr>
                <w:rFonts w:ascii="Times New Roman" w:hAnsi="Times New Roman"/>
                <w:sz w:val="24"/>
                <w:szCs w:val="24"/>
              </w:rPr>
              <w:t xml:space="preserve"> </w:t>
            </w:r>
            <w:r w:rsidRPr="003939FE">
              <w:rPr>
                <w:rFonts w:ascii="Times Roman" w:hAnsi="Times Roman"/>
                <w:sz w:val="25"/>
                <w:szCs w:val="25"/>
              </w:rPr>
              <w:t>/2</w:t>
            </w:r>
          </w:p>
        </w:tc>
      </w:tr>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tc>
      </w:tr>
      <w:tr w:rsidR="00966AA5" w:rsidRPr="003939FE">
        <w:trPr>
          <w:trHeight w:val="1509"/>
        </w:trPr>
        <w:tc>
          <w:tcPr>
            <w:tcW w:w="7797" w:type="dxa"/>
            <w:tcBorders>
              <w:top w:val="nil"/>
              <w:left w:val="nil"/>
              <w:bottom w:val="nil"/>
              <w:right w:val="nil"/>
            </w:tcBorders>
            <w:shd w:val="clear" w:color="auto" w:fill="auto"/>
            <w:tcMar>
              <w:top w:w="80" w:type="dxa"/>
              <w:left w:w="80" w:type="dxa"/>
              <w:bottom w:w="80" w:type="dxa"/>
              <w:right w:w="80" w:type="dxa"/>
            </w:tcMar>
          </w:tcPr>
          <w:p w:rsidR="003939FE" w:rsidRPr="003939FE" w:rsidRDefault="00085E04" w:rsidP="003939FE">
            <w:pPr>
              <w:spacing w:after="0" w:line="240" w:lineRule="auto"/>
              <w:rPr>
                <w:rFonts w:ascii="Times New Roman" w:hAnsi="Times New Roman"/>
                <w:sz w:val="25"/>
                <w:szCs w:val="25"/>
                <w14:textOutline w14:w="12700" w14:cap="flat" w14:cmpd="sng" w14:algn="ctr">
                  <w14:noFill/>
                  <w14:prstDash w14:val="solid"/>
                  <w14:miter w14:lim="400000"/>
                </w14:textOutline>
              </w:rPr>
            </w:pPr>
            <w:r w:rsidRPr="003939FE">
              <w:rPr>
                <w:rFonts w:ascii="Times New Roman" w:hAnsi="Times New Roman"/>
                <w:sz w:val="25"/>
                <w:szCs w:val="25"/>
              </w:rPr>
              <w:t>Rozporové konanie (s kým, kedy, s akým výsledkom)</w:t>
            </w:r>
            <w:r w:rsidR="003939FE" w:rsidRPr="003939FE">
              <w:rPr>
                <w:rFonts w:ascii="Times New Roman" w:hAnsi="Times New Roman"/>
                <w:sz w:val="25"/>
                <w:szCs w:val="25"/>
                <w14:textOutline w14:w="12700" w14:cap="flat" w14:cmpd="sng" w14:algn="ctr">
                  <w14:noFill/>
                  <w14:prstDash w14:val="solid"/>
                  <w14:miter w14:lim="400000"/>
                </w14:textOutline>
              </w:rPr>
              <w:t xml:space="preserve"> </w:t>
            </w:r>
          </w:p>
          <w:p w:rsidR="003939FE" w:rsidRPr="003939FE" w:rsidRDefault="003939FE" w:rsidP="003939FE">
            <w:pPr>
              <w:spacing w:after="0" w:line="240" w:lineRule="auto"/>
              <w:rPr>
                <w:rFonts w:ascii="Times New Roman" w:eastAsia="Times New Roman" w:hAnsi="Times New Roman" w:cs="Times New Roman"/>
                <w:sz w:val="25"/>
                <w:szCs w:val="25"/>
                <w14:textOutline w14:w="12700" w14:cap="flat" w14:cmpd="sng" w14:algn="ctr">
                  <w14:noFill/>
                  <w14:prstDash w14:val="solid"/>
                  <w14:miter w14:lim="400000"/>
                </w14:textOutline>
              </w:rPr>
            </w:pPr>
            <w:r w:rsidRPr="003939FE">
              <w:rPr>
                <w:rFonts w:ascii="Times New Roman" w:hAnsi="Times New Roman"/>
                <w:sz w:val="25"/>
                <w:szCs w:val="25"/>
                <w14:textOutline w14:w="12700" w14:cap="flat" w14:cmpd="sng" w14:algn="ctr">
                  <w14:noFill/>
                  <w14:prstDash w14:val="solid"/>
                  <w14:miter w14:lim="400000"/>
                </w14:textOutline>
              </w:rPr>
              <w:t>Rozporové konanie sa uskutočnilo s MPRV SR dňa 8. 12. 2020 a 7. 1</w:t>
            </w:r>
            <w:bookmarkStart w:id="0" w:name="_GoBack"/>
            <w:bookmarkEnd w:id="0"/>
            <w:r w:rsidRPr="003939FE">
              <w:rPr>
                <w:rFonts w:ascii="Times New Roman" w:hAnsi="Times New Roman"/>
                <w:sz w:val="25"/>
                <w:szCs w:val="25"/>
                <w14:textOutline w14:w="12700" w14:cap="flat" w14:cmpd="sng" w14:algn="ctr">
                  <w14:noFill/>
                  <w14:prstDash w14:val="solid"/>
                  <w14:miter w14:lim="400000"/>
                </w14:textOutline>
              </w:rPr>
              <w:t>. 2021 (na úrovni štátnych tajomníkov). MPRV SR od zásadných pripomienok odstúpilo, rozpor bol odstránený.</w:t>
            </w:r>
          </w:p>
          <w:p w:rsidR="00966AA5" w:rsidRPr="003939FE" w:rsidRDefault="003939FE" w:rsidP="003939FE">
            <w:pPr>
              <w:spacing w:after="0" w:line="240" w:lineRule="auto"/>
            </w:pPr>
            <w:r w:rsidRPr="003939FE">
              <w:rPr>
                <w:rFonts w:ascii="Times New Roman" w:hAnsi="Times New Roman"/>
                <w:sz w:val="25"/>
                <w:szCs w:val="25"/>
                <w14:textOutline w14:w="12700" w14:cap="flat" w14:cmpd="sng" w14:algn="ctr">
                  <w14:noFill/>
                  <w14:prstDash w14:val="solid"/>
                  <w14:miter w14:lim="400000"/>
                </w14:textOutline>
              </w:rPr>
              <w:t>Rozporové konanie s MO SR sa uskutočnilo dňa 9. 12.2020, rozpor bol odstránený.</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pPr>
              <w:spacing w:after="0" w:line="240" w:lineRule="auto"/>
            </w:pPr>
          </w:p>
        </w:tc>
      </w:tr>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Počet odstránených pripomienok</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tc>
      </w:tr>
      <w:tr w:rsidR="00966AA5" w:rsidRPr="003939FE">
        <w:trPr>
          <w:trHeight w:val="309"/>
        </w:trPr>
        <w:tc>
          <w:tcPr>
            <w:tcW w:w="7797"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spacing w:after="0" w:line="240" w:lineRule="auto"/>
            </w:pPr>
            <w:r w:rsidRPr="003939FE">
              <w:rPr>
                <w:rFonts w:ascii="Times New Roman" w:hAnsi="Times New Roman"/>
                <w:sz w:val="25"/>
                <w:szCs w:val="25"/>
              </w:rPr>
              <w:t>Počet neodstránených pripomienok</w:t>
            </w:r>
          </w:p>
        </w:tc>
        <w:tc>
          <w:tcPr>
            <w:tcW w:w="7801"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tc>
      </w:tr>
    </w:tbl>
    <w:p w:rsidR="00966AA5" w:rsidRPr="003939FE" w:rsidRDefault="00966AA5">
      <w:pPr>
        <w:widowControl w:val="0"/>
        <w:spacing w:line="240" w:lineRule="auto"/>
        <w:ind w:left="108" w:hanging="108"/>
      </w:pPr>
    </w:p>
    <w:p w:rsidR="00966AA5" w:rsidRPr="003939FE" w:rsidRDefault="00966AA5">
      <w:pPr>
        <w:widowControl w:val="0"/>
        <w:spacing w:after="0" w:line="240" w:lineRule="auto"/>
      </w:pPr>
    </w:p>
    <w:p w:rsidR="00966AA5" w:rsidRPr="003939FE" w:rsidRDefault="00966AA5">
      <w:pPr>
        <w:spacing w:after="0" w:line="240" w:lineRule="auto"/>
        <w:rPr>
          <w:rFonts w:ascii="Times New Roman" w:eastAsia="Times New Roman" w:hAnsi="Times New Roman" w:cs="Times New Roman"/>
          <w:b/>
          <w:bCs/>
          <w:sz w:val="20"/>
          <w:szCs w:val="20"/>
        </w:rPr>
      </w:pPr>
    </w:p>
    <w:p w:rsidR="00966AA5" w:rsidRPr="003939FE" w:rsidRDefault="00085E04">
      <w:pPr>
        <w:spacing w:after="0" w:line="240" w:lineRule="auto"/>
        <w:rPr>
          <w:sz w:val="25"/>
          <w:szCs w:val="25"/>
        </w:rPr>
      </w:pPr>
      <w:r w:rsidRPr="003939FE">
        <w:rPr>
          <w:rFonts w:ascii="Times New Roman" w:hAnsi="Times New Roman"/>
          <w:sz w:val="25"/>
          <w:szCs w:val="25"/>
        </w:rPr>
        <w:t>Sumarizácia vznesených pripomienok podľa subjektov</w:t>
      </w:r>
    </w:p>
    <w:tbl>
      <w:tblPr>
        <w:tblStyle w:val="TableNormal"/>
        <w:tblW w:w="132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
        <w:gridCol w:w="7481"/>
        <w:gridCol w:w="1404"/>
        <w:gridCol w:w="1404"/>
        <w:gridCol w:w="1391"/>
        <w:gridCol w:w="1034"/>
      </w:tblGrid>
      <w:tr w:rsidR="00966AA5" w:rsidRPr="003939FE">
        <w:trPr>
          <w:trHeight w:val="991"/>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Č.</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Subjekt</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Pripomienky do termínu</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Pripomienky po termíne</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Nemali pripomienky</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Vôbec nezaslali</w:t>
            </w:r>
          </w:p>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financií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 (1o,0z)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obrany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 (0o,1z)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pôdohospodárstva a rozvoja vidieka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 (0o,3z)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4.</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spravodlivosti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 (3o,0z)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5.</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vnútra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 (1o,0z)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6.</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Odbor aproximácie práva sekcie vládnej legislatívy Úradu vlády SR</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 (1o,0z)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7.</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jadrového dozoru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8.</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Štatistický úrad Slovenskej republiky (Úrad vlády Slovenskej republiky, odbor legislatívy ostatných ústredných orgánov štátnej správy)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9.</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práce, sociálnych vecí a rodiny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954"/>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lastRenderedPageBreak/>
              <w:t>10.</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pre normalizáciu, metrológiu a skúšobníctvo Slovenskej republiky (Úrad vlády Slovenskej republiky, odbor legislatívy ostatných ústredných orgánov štátnej správy)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11.</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priemyselného vlastníctva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12.</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Národná banka Slovenska</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13.</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kultúry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14.</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hospodárstva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15.</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geodézie, kartografie a katastra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16.</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Generálna prokuratúra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17.</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Asociácia zamestnávatelských zväzov a združení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18.</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Protimonopolný úrad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19.</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zdravotníctva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lastRenderedPageBreak/>
              <w:t>20.</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investícií, regionálneho rozvoja a informatizácie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21.</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dopravy a výstavby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22.</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školstva, vedy, výskumu a športu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23.</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zahraničných vecí a európskych záležitostí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24.</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Ministerstvo životného prostredia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25.</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vlády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26.</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pre verejné obstarávanie</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27.</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pre normalizáciu, metrológiu a skúšobníctvo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28.</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Štatistický úrad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29.</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Správa štátnych hmotných rezerv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30.</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Najvyšší kontrolný úrad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lastRenderedPageBreak/>
              <w:t>31.</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Najvyšší súd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32.</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Národná rada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33.</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Kancelária Ústavného súdu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34.</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Slovenská poľnohospodárska a potravinárska komora</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35.</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Združenie miest a obcí Slovenska</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36.</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Splnomocnenec vlády Slovenskej republiky pre rómske komunity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37.</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Konfederácia odborových zväzov Slovenskej republiky</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38.</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Republiková únia zamestnávateľov</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39.</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Úrad pre dohľad nad zdravotnou starostlivosťou</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40.</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Konferencia biskupov Slovenska</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41.</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Asociácia priemyselných zväzov</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632"/>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lastRenderedPageBreak/>
              <w:t>42.</w:t>
            </w:r>
          </w:p>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Národný bezpečnostný úrad</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x</w:t>
            </w:r>
          </w:p>
        </w:tc>
      </w:tr>
      <w:tr w:rsidR="00966AA5" w:rsidRPr="003939FE">
        <w:trPr>
          <w:trHeight w:val="310"/>
          <w:jc w:val="center"/>
        </w:trPr>
        <w:tc>
          <w:tcPr>
            <w:tcW w:w="55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74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r w:rsidRPr="003939FE">
              <w:rPr>
                <w:rFonts w:ascii="Times Roman" w:hAnsi="Times Roman"/>
                <w:sz w:val="25"/>
                <w:szCs w:val="25"/>
              </w:rPr>
              <w:t>Spolu</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10 (6o,4z)</w:t>
            </w:r>
          </w:p>
        </w:tc>
        <w:tc>
          <w:tcPr>
            <w:tcW w:w="140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085E04">
            <w:pPr>
              <w:jc w:val="center"/>
            </w:pPr>
            <w:r w:rsidRPr="003939FE">
              <w:rPr>
                <w:rFonts w:ascii="Times Roman" w:hAnsi="Times Roman"/>
                <w:sz w:val="25"/>
                <w:szCs w:val="25"/>
              </w:rPr>
              <w:t>0 (0o,0z)</w:t>
            </w:r>
          </w:p>
        </w:tc>
        <w:tc>
          <w:tcPr>
            <w:tcW w:w="13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c>
          <w:tcPr>
            <w:tcW w:w="10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66AA5" w:rsidRPr="003939FE" w:rsidRDefault="00966AA5"/>
        </w:tc>
      </w:tr>
    </w:tbl>
    <w:p w:rsidR="00966AA5" w:rsidRPr="003939FE" w:rsidRDefault="00966AA5">
      <w:pPr>
        <w:widowControl w:val="0"/>
        <w:spacing w:after="0" w:line="240" w:lineRule="auto"/>
        <w:jc w:val="center"/>
        <w:rPr>
          <w:sz w:val="25"/>
          <w:szCs w:val="25"/>
        </w:rPr>
      </w:pPr>
    </w:p>
    <w:p w:rsidR="00966AA5" w:rsidRPr="003939FE" w:rsidRDefault="00966AA5">
      <w:pPr>
        <w:widowControl w:val="0"/>
        <w:spacing w:line="240" w:lineRule="auto"/>
        <w:jc w:val="center"/>
      </w:pPr>
    </w:p>
    <w:p w:rsidR="00966AA5" w:rsidRPr="003939FE" w:rsidRDefault="00085E04">
      <w:pPr>
        <w:rPr>
          <w:b/>
          <w:bCs/>
          <w:sz w:val="20"/>
          <w:szCs w:val="20"/>
        </w:rPr>
      </w:pPr>
      <w:r w:rsidRPr="003939FE">
        <w:rPr>
          <w:rFonts w:ascii="Times New Roman" w:hAnsi="Times New Roman"/>
          <w:sz w:val="25"/>
          <w:szCs w:val="25"/>
        </w:rPr>
        <w:t>Vyhodnotenie vecných pripomienok je uvedené v tabuľkovej časti.</w:t>
      </w:r>
    </w:p>
    <w:p w:rsidR="00966AA5" w:rsidRPr="003939FE" w:rsidRDefault="00966AA5">
      <w:pPr>
        <w:pStyle w:val="Zkladntext"/>
        <w:widowControl/>
        <w:jc w:val="both"/>
        <w:rPr>
          <w:b w:val="0"/>
          <w:bCs w:val="0"/>
          <w:sz w:val="20"/>
          <w:szCs w:val="20"/>
        </w:rPr>
      </w:pPr>
    </w:p>
    <w:tbl>
      <w:tblPr>
        <w:tblStyle w:val="TableNormal"/>
        <w:tblW w:w="49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3119"/>
      </w:tblGrid>
      <w:tr w:rsidR="00966AA5" w:rsidRPr="003939FE">
        <w:trPr>
          <w:trHeight w:val="309"/>
        </w:trPr>
        <w:tc>
          <w:tcPr>
            <w:tcW w:w="4928" w:type="dxa"/>
            <w:gridSpan w:val="2"/>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pStyle w:val="Zkladntext"/>
              <w:widowControl/>
              <w:spacing w:after="0" w:line="240" w:lineRule="auto"/>
              <w:jc w:val="both"/>
            </w:pPr>
            <w:r w:rsidRPr="003939FE">
              <w:rPr>
                <w:b w:val="0"/>
                <w:bCs w:val="0"/>
                <w:sz w:val="25"/>
                <w:szCs w:val="25"/>
              </w:rPr>
              <w:t>Vysvetlivky  k použitým skratkám v tabuľke:</w:t>
            </w:r>
          </w:p>
        </w:tc>
      </w:tr>
      <w:tr w:rsidR="00966AA5" w:rsidRPr="003939FE">
        <w:trPr>
          <w:trHeight w:val="309"/>
        </w:trPr>
        <w:tc>
          <w:tcPr>
            <w:tcW w:w="1809"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pStyle w:val="Zkladntext"/>
              <w:widowControl/>
              <w:spacing w:after="0" w:line="240" w:lineRule="auto"/>
              <w:jc w:val="both"/>
            </w:pPr>
            <w:r w:rsidRPr="003939FE">
              <w:rPr>
                <w:b w:val="0"/>
                <w:bCs w:val="0"/>
                <w:sz w:val="25"/>
                <w:szCs w:val="25"/>
              </w:rPr>
              <w:t>O – obyčajná</w:t>
            </w:r>
          </w:p>
        </w:tc>
        <w:tc>
          <w:tcPr>
            <w:tcW w:w="3119"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pStyle w:val="Zkladntext"/>
              <w:widowControl/>
              <w:spacing w:after="0" w:line="240" w:lineRule="auto"/>
              <w:jc w:val="both"/>
            </w:pPr>
            <w:r w:rsidRPr="003939FE">
              <w:rPr>
                <w:b w:val="0"/>
                <w:bCs w:val="0"/>
                <w:sz w:val="25"/>
                <w:szCs w:val="25"/>
              </w:rPr>
              <w:t>A – akceptovaná</w:t>
            </w:r>
          </w:p>
        </w:tc>
      </w:tr>
      <w:tr w:rsidR="00966AA5" w:rsidRPr="003939FE">
        <w:trPr>
          <w:trHeight w:val="309"/>
        </w:trPr>
        <w:tc>
          <w:tcPr>
            <w:tcW w:w="1809"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pStyle w:val="Zkladntext"/>
              <w:widowControl/>
              <w:spacing w:after="0" w:line="240" w:lineRule="auto"/>
              <w:jc w:val="both"/>
            </w:pPr>
            <w:r w:rsidRPr="003939FE">
              <w:rPr>
                <w:b w:val="0"/>
                <w:bCs w:val="0"/>
                <w:sz w:val="25"/>
                <w:szCs w:val="25"/>
              </w:rPr>
              <w:t>Z – zásadná</w:t>
            </w:r>
          </w:p>
        </w:tc>
        <w:tc>
          <w:tcPr>
            <w:tcW w:w="3119"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pStyle w:val="Zkladntext"/>
              <w:widowControl/>
              <w:spacing w:after="0" w:line="240" w:lineRule="auto"/>
              <w:jc w:val="both"/>
            </w:pPr>
            <w:r w:rsidRPr="003939FE">
              <w:rPr>
                <w:b w:val="0"/>
                <w:bCs w:val="0"/>
                <w:sz w:val="25"/>
                <w:szCs w:val="25"/>
              </w:rPr>
              <w:t>N – neakceptovaná</w:t>
            </w:r>
          </w:p>
        </w:tc>
      </w:tr>
      <w:tr w:rsidR="00966AA5" w:rsidRPr="003939FE">
        <w:trPr>
          <w:trHeight w:val="309"/>
        </w:trPr>
        <w:tc>
          <w:tcPr>
            <w:tcW w:w="1809" w:type="dxa"/>
            <w:tcBorders>
              <w:top w:val="nil"/>
              <w:left w:val="nil"/>
              <w:bottom w:val="nil"/>
              <w:right w:val="nil"/>
            </w:tcBorders>
            <w:shd w:val="clear" w:color="auto" w:fill="auto"/>
            <w:tcMar>
              <w:top w:w="80" w:type="dxa"/>
              <w:left w:w="80" w:type="dxa"/>
              <w:bottom w:w="80" w:type="dxa"/>
              <w:right w:w="80" w:type="dxa"/>
            </w:tcMar>
          </w:tcPr>
          <w:p w:rsidR="00966AA5" w:rsidRPr="003939FE" w:rsidRDefault="00966AA5"/>
        </w:tc>
        <w:tc>
          <w:tcPr>
            <w:tcW w:w="3119" w:type="dxa"/>
            <w:tcBorders>
              <w:top w:val="nil"/>
              <w:left w:val="nil"/>
              <w:bottom w:val="nil"/>
              <w:right w:val="nil"/>
            </w:tcBorders>
            <w:shd w:val="clear" w:color="auto" w:fill="auto"/>
            <w:tcMar>
              <w:top w:w="80" w:type="dxa"/>
              <w:left w:w="80" w:type="dxa"/>
              <w:bottom w:w="80" w:type="dxa"/>
              <w:right w:w="80" w:type="dxa"/>
            </w:tcMar>
          </w:tcPr>
          <w:p w:rsidR="00966AA5" w:rsidRPr="003939FE" w:rsidRDefault="00085E04">
            <w:pPr>
              <w:pStyle w:val="Zkladntext"/>
              <w:widowControl/>
              <w:spacing w:after="0" w:line="240" w:lineRule="auto"/>
              <w:jc w:val="both"/>
            </w:pPr>
            <w:r w:rsidRPr="003939FE">
              <w:rPr>
                <w:b w:val="0"/>
                <w:bCs w:val="0"/>
                <w:sz w:val="25"/>
                <w:szCs w:val="25"/>
              </w:rPr>
              <w:t>ČA – čiastočne akceptovaná</w:t>
            </w:r>
          </w:p>
        </w:tc>
      </w:tr>
    </w:tbl>
    <w:p w:rsidR="00966AA5" w:rsidRPr="003939FE" w:rsidRDefault="00966AA5">
      <w:pPr>
        <w:pStyle w:val="Zkladntext"/>
        <w:spacing w:line="240" w:lineRule="auto"/>
        <w:ind w:left="108" w:hanging="108"/>
        <w:jc w:val="both"/>
        <w:rPr>
          <w:b w:val="0"/>
          <w:bCs w:val="0"/>
          <w:sz w:val="20"/>
          <w:szCs w:val="20"/>
        </w:rPr>
      </w:pPr>
    </w:p>
    <w:p w:rsidR="00966AA5" w:rsidRPr="003939FE" w:rsidRDefault="00966AA5">
      <w:pPr>
        <w:pStyle w:val="Zkladntext"/>
        <w:jc w:val="both"/>
        <w:rPr>
          <w:b w:val="0"/>
          <w:bCs w:val="0"/>
          <w:sz w:val="20"/>
          <w:szCs w:val="20"/>
        </w:rPr>
      </w:pPr>
    </w:p>
    <w:p w:rsidR="00966AA5" w:rsidRPr="003939FE" w:rsidRDefault="00085E04">
      <w:r w:rsidRPr="003939FE">
        <w:rPr>
          <w:rFonts w:ascii="Arial Unicode MS" w:hAnsi="Arial Unicode MS"/>
        </w:rPr>
        <w:br w:type="page"/>
      </w:r>
    </w:p>
    <w:p w:rsidR="00966AA5" w:rsidRPr="003939FE" w:rsidRDefault="00966AA5">
      <w:pPr>
        <w:rPr>
          <w:rFonts w:ascii="Consolas" w:eastAsia="Consolas" w:hAnsi="Consolas" w:cs="Consolas"/>
          <w:sz w:val="20"/>
          <w:szCs w:val="20"/>
        </w:rPr>
      </w:pPr>
    </w:p>
    <w:tbl>
      <w:tblPr>
        <w:tblStyle w:val="TableNormal"/>
        <w:tblW w:w="132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10"/>
        <w:gridCol w:w="6220"/>
        <w:gridCol w:w="709"/>
        <w:gridCol w:w="748"/>
        <w:gridCol w:w="3885"/>
      </w:tblGrid>
      <w:tr w:rsidR="00966AA5" w:rsidRPr="003939FE" w:rsidTr="007E55A1">
        <w:trPr>
          <w:trHeight w:val="632"/>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Subjekt</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Pripomienka</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Typ</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Vyh.</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Spôsob vyhodnotenia</w:t>
            </w:r>
          </w:p>
        </w:tc>
      </w:tr>
      <w:tr w:rsidR="00966AA5" w:rsidRPr="003939FE" w:rsidTr="007E55A1">
        <w:trPr>
          <w:trHeight w:val="3068"/>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MFSR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Všeobecne</w:t>
            </w:r>
            <w:r w:rsidRPr="003939FE">
              <w:rPr>
                <w:rFonts w:ascii="Times Roman" w:eastAsia="Times Roman" w:hAnsi="Times Roman" w:cs="Times Roman"/>
                <w:sz w:val="25"/>
                <w:szCs w:val="25"/>
              </w:rPr>
              <w:br/>
            </w:r>
            <w:r w:rsidRPr="003939FE">
              <w:rPr>
                <w:rFonts w:ascii="Times Roman" w:hAnsi="Times Roman"/>
                <w:sz w:val="25"/>
                <w:szCs w:val="25"/>
              </w:rPr>
              <w:t>Návrh je potrebné zosúladiť s prílohou č. 1 Legislatívnych pravidiel vlády SR (v § 1 ods. 4 slovo „stanovené“ nahradiť slovom „určené“, v prílohe č. 2 časti „Poznámky“ vypustiť legislatívnu skratku „(ďalej len „vyhláška č. 24/2003 Z. z.</w:t>
            </w:r>
            <w:r w:rsidRPr="003939FE">
              <w:rPr>
                <w:rFonts w:ascii="Arial Unicode MS" w:hAnsi="Arial Unicode MS"/>
                <w:sz w:val="25"/>
                <w:szCs w:val="25"/>
                <w:rtl/>
              </w:rPr>
              <w:t>“</w:t>
            </w:r>
            <w:r w:rsidRPr="003939FE">
              <w:rPr>
                <w:rFonts w:ascii="Times Roman" w:hAnsi="Times Roman"/>
                <w:sz w:val="25"/>
                <w:szCs w:val="25"/>
              </w:rPr>
              <w:t>)</w:t>
            </w:r>
            <w:r w:rsidRPr="003939FE">
              <w:rPr>
                <w:rFonts w:ascii="Arial Unicode MS" w:hAnsi="Arial Unicode MS"/>
                <w:sz w:val="25"/>
                <w:szCs w:val="25"/>
                <w:rtl/>
              </w:rPr>
              <w:t>“</w:t>
            </w:r>
            <w:r w:rsidRPr="003939FE">
              <w:rPr>
                <w:rFonts w:ascii="Times Roman" w:hAnsi="Times Roman"/>
                <w:sz w:val="25"/>
                <w:szCs w:val="25"/>
              </w:rPr>
              <w:t>, pretože sa ďalej v texte používa len jedenkrát a slová „s prílohou č. 4 a s prílohou č. 6 “ nahradiť slovami „s prílohami č. 4 a 6</w:t>
            </w:r>
            <w:r w:rsidRPr="003939FE">
              <w:rPr>
                <w:rFonts w:ascii="Arial Unicode MS" w:hAnsi="Arial Unicode MS"/>
                <w:sz w:val="25"/>
                <w:szCs w:val="25"/>
                <w:rtl/>
              </w:rPr>
              <w:t>“</w:t>
            </w:r>
            <w:r w:rsidRPr="003939FE">
              <w:rPr>
                <w:rFonts w:ascii="Times Roman" w:hAnsi="Times Roman"/>
                <w:sz w:val="25"/>
                <w:szCs w:val="25"/>
              </w:rPr>
              <w:t xml:space="preserve">).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O</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A</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sidP="007E55A1">
            <w:r w:rsidRPr="003939FE">
              <w:rPr>
                <w:rFonts w:ascii="Times New Roman" w:hAnsi="Times New Roman"/>
                <w:sz w:val="24"/>
                <w:szCs w:val="24"/>
              </w:rPr>
              <w:t>Materiál upravený podľa pripomienky. Slovo „stanovené“ MŽP SR nahradilo slovom „uvedené“ (pripomienka v tomto znení bola vznesená k pripravovaným nariadeniam vlády SR, ktorým sa vyhlasuje PR Devínske jazero, PR Oborínsky luh a CHA Čachtické Karpaty).</w:t>
            </w:r>
          </w:p>
        </w:tc>
      </w:tr>
      <w:tr w:rsidR="00966AA5" w:rsidRPr="003939FE" w:rsidTr="007E55A1">
        <w:trPr>
          <w:trHeight w:val="9246"/>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lastRenderedPageBreak/>
              <w:t>MOSR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doložke vybraných vplyvov a analýze vplyvov na rozpočet verejnej správy, na zamestnanosť vo verejnej správe a financovanie návrhu</w:t>
            </w:r>
            <w:r w:rsidRPr="003939FE">
              <w:rPr>
                <w:rFonts w:ascii="Times Roman" w:eastAsia="Times Roman" w:hAnsi="Times Roman" w:cs="Times Roman"/>
                <w:sz w:val="25"/>
                <w:szCs w:val="25"/>
              </w:rPr>
              <w:br/>
              <w:t>Ž</w:t>
            </w:r>
            <w:r w:rsidRPr="003939FE">
              <w:rPr>
                <w:rFonts w:ascii="Times Roman" w:hAnsi="Times Roman"/>
                <w:sz w:val="25"/>
                <w:szCs w:val="25"/>
              </w:rPr>
              <w:t>iadame upraviť znenie doložky vybraných vplyvov a analýzu vplyvov na rozpočet verejnej správy, na zamestnanosť vo verejnej správe a financovanie návrhu v časti týkajúcej sa zabezpečenia „vyčistenia územia od pyrotechniky</w:t>
            </w:r>
            <w:r w:rsidRPr="003939FE">
              <w:rPr>
                <w:rFonts w:ascii="Arial Unicode MS" w:hAnsi="Arial Unicode MS"/>
                <w:sz w:val="25"/>
                <w:szCs w:val="25"/>
                <w:rtl/>
              </w:rPr>
              <w:t>“</w:t>
            </w:r>
            <w:r w:rsidRPr="003939FE">
              <w:rPr>
                <w:rFonts w:ascii="Times Roman" w:hAnsi="Times Roman"/>
                <w:sz w:val="25"/>
                <w:szCs w:val="25"/>
              </w:rPr>
              <w:t xml:space="preserve">. Odôvodnenie Ministerstvo životného prostredia Slovenskej republiky navrhuje vyhlásiť Chránený areál Široká, ktorý sa nachádza vo Vojenskom obvode Záhorie a vo vojenskom výcvikovom priestore Kuchyňa ako časť dopadovej plochy strelnice v užívaní vzdušných síl Ozbrojených síl Slovenskej republiky. V doložke vybraných vplyvov, ako aj v analýze vplyvov na rozpočet verejnej správy, na zamestnanosť vo verejnej správe a financovanie návrhu sa uvádza, že „ak to bude nevyhnutné, po dohode so správcom územia a získaní osobitných finančných zdrojov (hlavne zdroje EÚ, resp. Environmentálny fond), bude zabezpečené vyčistenie územia od pyrotechniky”. Uvedené znenie je potrebné upraviť, a to z viacerých hľadísk. Je potrebné ho zladiť so znením § 61 a § 62 zákona č. 58/2014 Z. z. o výbušninách, výbušných predmetoch a munícii a o zmene a doplnení niektorých zákonov v znení neskorších predpisov, podľa ktorých sa nevykonáva „vyčistenie územia od pyrotechniky”, ale „vyhľadávanie nevybuchnutej munície” a „ničenie munície”. V súlade s § 75 zákona č. 58/2014 Z. z. v znení neskorších predpisov Ministerstvo </w:t>
            </w:r>
            <w:r w:rsidRPr="003939FE">
              <w:rPr>
                <w:rFonts w:ascii="Times Roman" w:hAnsi="Times Roman"/>
                <w:sz w:val="25"/>
                <w:szCs w:val="25"/>
              </w:rPr>
              <w:lastRenderedPageBreak/>
              <w:t xml:space="preserve">obrany Slovenskej republiky vo svojej pôsobnosti riadi výkon štátnej správy na úseku výbušnín, výbušných predmetov a munície, teda vo svojich objektoch a priestoroch riadi všetky činnosti spojené s výbušninami, výbušnými predmetmi a muníciou. Vyhľadávanie a ničenie munície Ministerstvo obrany Slovenskej republiky zabezpečuje prostredníctvom pyrotechnikov ozbrojených síl Slovenskej republiky, najmä špecialistov na zneškodňovanie nevybuchnutých výbušných prostriedkov (EOD) pôsobiacich v ozbrojených silách Slovenskej republiky. Vlastné vykonávanie týchto činností je vysoko rizikové. Predovšetkým kvôli nebezpečnosti dopadovej plochy. Rizikovosť spočíva vo využívaní tohto priestoru ako leteckej strelnice už od roku 1929, či už československými, slovenskými, ale aj najmä nemeckými vzdušnými silami (v rokoch 1940-1945). Aj po druhej svetovej vojne boli vykonávané skúšky munície pre československú armádu a zahraničných subjektov (bývalý Sovietsky zväz, Južná Amerika, Juhoslávia, Švédsko, Poľsko, Irán, Turecko a iné). Na základe týchto skutočností je predpokladaný vysoký výskyt leteckej nevybuchnutej munície. Tá sa radí do kategórie neznámej a nebezpečnej munície a práca s ňou je veľmi nebezpečná. Dopadová plocha je nebezpečná aj z hľadiska povahy pieskov na území vyhlasovaného chráneného areálu, keďže dochádza k pohybu pieskov a s tým je spojený aj pohyb munície nachádzajúcej sa na danom území. Je potrebné </w:t>
            </w:r>
            <w:r w:rsidRPr="003939FE">
              <w:rPr>
                <w:rFonts w:ascii="Times Roman" w:hAnsi="Times Roman"/>
                <w:sz w:val="25"/>
                <w:szCs w:val="25"/>
              </w:rPr>
              <w:lastRenderedPageBreak/>
              <w:t xml:space="preserve">predpokladať možnosť výskytu predtým skrytej munície, ktorá bola aj niekoľko metrov ukrytá v piesku. Z tohto dôvodu nie je možné vykonať jednorazovú pyrotechnickú asanáciu, ktorá by zaručovala čistý a bezpečný priestor, ale vyhľadanie nevybuchnutej munície je potrebné uskutočniť opakovane, najmä pred každou plánovanou aktivitou orgánov ochrany prírody a krajiny v Chránenom areáli Široká z titulu starostlivosti o životné prostredie. V neposlednom rade je potrebné zohľadniť aj finančné hľadiská vyhľadávania nevybuchnutej munície na území zriaďovaného Chráneného areálu Široké a jej následného ničenia a tieto vplyvy aj zvlášť v doložke vplyvov špecifikovať. V analýze vplyvov sa uvádzajú iba celkové finančné výdavky na realizáciu manažmentových opatrení a nie je zrejmé, aká suma bude vynaložená na úhradu materiálno-technického vybavenia, ako aj na samotnú činnosť vyhľadávania nevybuchnutej munície a jej prípadného následného ničenia. Z hľadiska možnosti zabezpečenia týchto činností z fondov Európskej únie je otázne, či sú na tieto činnosti vyhlásené alebo v dohľadnej dobe sa budú vyhlasovať výzvy z európskych štrukturálnych a investičných fondov, v rámci ktorých by ich bolo možné finančne pokryť. V materiáli nie je teda jednoznačne doriešené, z akých zdrojov budú finančné prostriedky na tieto účely vynakladané. Z týchto dôvodov žiadame o úpravu doložky vybraných vplyvov a analýzy vplyvov na rozpočet verejnej správy, na zamestnanosť vo </w:t>
            </w:r>
            <w:r w:rsidRPr="003939FE">
              <w:rPr>
                <w:rFonts w:ascii="Times Roman" w:hAnsi="Times Roman"/>
                <w:sz w:val="25"/>
                <w:szCs w:val="25"/>
              </w:rPr>
              <w:lastRenderedPageBreak/>
              <w:t>verejnej správe a financovanie návrhu v nadväznosti na uvedené skutočnosti, a to po vzájomnej dohode. Túto pripomienku považuje Ministerstvo obrany Slovenskej republiky za zásadnú.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lastRenderedPageBreak/>
              <w:t>Z</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A</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rPr>
                <w:rFonts w:ascii="Times New Roman" w:hAnsi="Times New Roman" w:cs="Times New Roman"/>
                <w:sz w:val="24"/>
                <w:szCs w:val="24"/>
              </w:rPr>
            </w:pPr>
            <w:r w:rsidRPr="003939FE">
              <w:rPr>
                <w:rFonts w:ascii="Times New Roman" w:hAnsi="Times New Roman" w:cs="Times New Roman"/>
                <w:sz w:val="24"/>
                <w:szCs w:val="24"/>
              </w:rPr>
              <w:t xml:space="preserve">Doložka vybraných vplyvov a analýza vplyvov na rozpočet verejnej správy, na zamestnanosť vo verejnej správe a financovanie návrhu boli upravené podľa pripomienky a na základe dohody z rozporového konania s Ministerstvom obrany SR. </w:t>
            </w:r>
            <w:r w:rsidRPr="003939FE">
              <w:rPr>
                <w:rFonts w:ascii="Times New Roman" w:hAnsi="Times New Roman" w:cs="Times New Roman"/>
                <w:color w:val="FF0000"/>
                <w:sz w:val="24"/>
                <w:szCs w:val="24"/>
                <w:u w:color="FF0000"/>
              </w:rPr>
              <w:t xml:space="preserve"> </w:t>
            </w:r>
          </w:p>
        </w:tc>
      </w:tr>
      <w:tr w:rsidR="00966AA5" w:rsidRPr="003939FE" w:rsidTr="007E55A1">
        <w:trPr>
          <w:trHeight w:val="9246"/>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lastRenderedPageBreak/>
              <w:t>MPRVSR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 1</w:t>
            </w:r>
            <w:r w:rsidRPr="003939FE">
              <w:rPr>
                <w:rFonts w:ascii="Times Roman" w:eastAsia="Times Roman" w:hAnsi="Times Roman" w:cs="Times Roman"/>
                <w:sz w:val="25"/>
                <w:szCs w:val="25"/>
              </w:rPr>
              <w:br/>
            </w:r>
            <w:r w:rsidRPr="003939FE">
              <w:rPr>
                <w:rFonts w:ascii="Times Roman" w:hAnsi="Times Roman"/>
                <w:sz w:val="25"/>
                <w:szCs w:val="25"/>
              </w:rPr>
              <w:t>V § 1 žiadame znenie odsekov 4 a 5 nahradiť podrobnosťami o územnej ochrane v súlade s § 21 ods. 4 zákona č. 543/2002 Z. z. o ochrane prírody a krajiny v znení neskorších predpisov (ďalej len „zákon o ochrane prírody</w:t>
            </w:r>
            <w:r w:rsidRPr="003939FE">
              <w:rPr>
                <w:rFonts w:ascii="Arial Unicode MS" w:hAnsi="Arial Unicode MS"/>
                <w:sz w:val="25"/>
                <w:szCs w:val="25"/>
                <w:rtl/>
              </w:rPr>
              <w:t>“</w:t>
            </w:r>
            <w:r w:rsidRPr="003939FE">
              <w:rPr>
                <w:rFonts w:ascii="Times Roman" w:hAnsi="Times Roman"/>
                <w:sz w:val="25"/>
                <w:szCs w:val="25"/>
              </w:rPr>
              <w:t>), t. j. stanoviť územný a časový rozsah uplatňovania zákazov a obmedzení. Táto pripomienka je zásadná. Odôvodnenie: Predkladateľ v § 1 ods. 4 a 5 odkazuje na „projekt ochrany“ a „program starostlivosti</w:t>
            </w:r>
            <w:r w:rsidRPr="003939FE">
              <w:rPr>
                <w:rFonts w:ascii="Arial Unicode MS" w:hAnsi="Arial Unicode MS"/>
                <w:sz w:val="25"/>
                <w:szCs w:val="25"/>
                <w:rtl/>
              </w:rPr>
              <w:t>“</w:t>
            </w:r>
            <w:r w:rsidRPr="003939FE">
              <w:rPr>
                <w:rFonts w:ascii="Times Roman" w:hAnsi="Times Roman"/>
                <w:sz w:val="25"/>
                <w:szCs w:val="25"/>
              </w:rPr>
              <w:t>. Tieto dokumenty sú zverejnené na webovom sídle Štátnej ochrany prírody vo forme „návrhu na prerokovanie</w:t>
            </w:r>
            <w:r w:rsidRPr="003939FE">
              <w:rPr>
                <w:rFonts w:ascii="Arial Unicode MS" w:hAnsi="Arial Unicode MS"/>
                <w:sz w:val="25"/>
                <w:szCs w:val="25"/>
                <w:rtl/>
              </w:rPr>
              <w:t>“</w:t>
            </w:r>
            <w:r w:rsidRPr="003939FE">
              <w:rPr>
                <w:rFonts w:ascii="Times Roman" w:hAnsi="Times Roman"/>
                <w:sz w:val="25"/>
                <w:szCs w:val="25"/>
              </w:rPr>
              <w:t>, teda nie sú schválené v súlade so zákonom o ochrane prírody. Zároveň upozorňujeme na skutočnosť, že tieto dokumenty, na ktoré sa návrh nariadenia vlády Slovenskej republiky odvoláva, nie sú zverejnené v žiadnom publikačnom nástroji orgánov verejnej moci (napr. vestník). Navrhované znenie vyššie uvedených odsekov uvádza dotknuté subjekty do právnej neistoty a nevytvára predpoklad pre dosiahnutie cieľa, teda priaznivého stavu biotopov európskeho významu Pi1 a Tr4. V zmysle § 21 ods. 4 zákona o ochrane prírody podrobnosti o územnej ochrane chráneného areálu a jeho ochranného pásma ustanoví vláda nariadením. Podrobnosťami o územnej ochrane sa určuje najmä územný a časový rozsah uplatňovania zákazov a obmedzení podľa uplatňovaného stupňa ochrany. Z uvedeného dôvodu žiadame takto prepracovať ustanovenia odseku 4 a 5 návrhu nariadenia vlády.</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Z</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ČA</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E55A1" w:rsidRPr="003939FE" w:rsidRDefault="007E55A1" w:rsidP="007E55A1">
            <w:pPr>
              <w:pStyle w:val="PredvolenA"/>
            </w:pPr>
            <w:r w:rsidRPr="003939FE">
              <w:t>V § 1 návrhu nariadenia vlády bol odsek 4 a 5 zlúčený do jedného odseku, pričom znenie odseku je totožné so znením, ktoré obsahujú nariadenia vlády SR, ktorými sa vyhlasujú chránené areály už schválené vládou SR a vyhlásené v Zbierke zákonov SR. (napr. Nariadenie vlády Slovenskej republiky č. 248/2020 Z. z., ktorým sa vyhlasuje chránený areál Panské lúky.</w:t>
            </w:r>
          </w:p>
          <w:p w:rsidR="007E55A1" w:rsidRPr="003939FE" w:rsidRDefault="007E55A1" w:rsidP="007E55A1">
            <w:pPr>
              <w:pStyle w:val="PredvolenA"/>
            </w:pPr>
            <w:r w:rsidRPr="003939FE">
              <w:t>„Ciele starostlivosti o chránený areál, opatrenia na ich dosiahnutie a zásady využívania územia upravuje program starostlivosti o chránený areál podľa § 54 ods. 5 zákona.“</w:t>
            </w:r>
          </w:p>
          <w:p w:rsidR="007E55A1" w:rsidRPr="003939FE" w:rsidRDefault="007E55A1" w:rsidP="007E55A1">
            <w:pPr>
              <w:pStyle w:val="PredvolenA"/>
              <w:spacing w:before="0"/>
            </w:pPr>
            <w:r w:rsidRPr="003939FE">
              <w:t>MPRV SR od svojej pripomienky odstúpilo počas rozporového rokovania zo dňa 7.1.2021 (konaného na úrovni štátnych tajomníkov), rozpor bol týmto odstránený.</w:t>
            </w:r>
          </w:p>
        </w:tc>
      </w:tr>
      <w:tr w:rsidR="00966AA5" w:rsidRPr="003939FE" w:rsidTr="007E55A1">
        <w:trPr>
          <w:trHeight w:val="6812"/>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lastRenderedPageBreak/>
              <w:t>MPRVSR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Predkladacia správa</w:t>
            </w:r>
            <w:r w:rsidRPr="003939FE">
              <w:rPr>
                <w:rFonts w:ascii="Times Roman" w:eastAsia="Times Roman" w:hAnsi="Times Roman" w:cs="Times Roman"/>
                <w:sz w:val="25"/>
                <w:szCs w:val="25"/>
              </w:rPr>
              <w:br/>
            </w:r>
            <w:r w:rsidRPr="003939FE">
              <w:rPr>
                <w:rFonts w:ascii="Times Roman" w:hAnsi="Times Roman"/>
                <w:sz w:val="25"/>
                <w:szCs w:val="25"/>
              </w:rPr>
              <w:t>V šiestom odseku žiadame za slová „v rámci schvaľovacieho procesu“ doplniť slová „pred predložením na rokovanie vlády Slovenskej republiky</w:t>
            </w:r>
            <w:r w:rsidRPr="003939FE">
              <w:rPr>
                <w:rFonts w:ascii="Arial Unicode MS" w:hAnsi="Arial Unicode MS"/>
                <w:sz w:val="25"/>
                <w:szCs w:val="25"/>
                <w:rtl/>
              </w:rPr>
              <w:t>“</w:t>
            </w:r>
            <w:r w:rsidRPr="003939FE">
              <w:rPr>
                <w:rFonts w:ascii="Times Roman" w:hAnsi="Times Roman"/>
                <w:sz w:val="25"/>
                <w:szCs w:val="25"/>
              </w:rPr>
              <w:t xml:space="preserve">, zároveň žiadame uviesť termín predloženia vektorových priestorových dát správcovi informačného systému podľa § 38 ods. 2 písm. e) zákona č. 326/ 2005 Z. z. o lesoch v znení neskorších predpisov. Táto pripomienka je zásadná. Odôvodnenie: Na úrovni rezortov bolo dohodnuté, že vektorové priestorové dáta popisujúce geometrické body, línie a plochy hranice navrhovaného chráneného územia budú predložené správcovi informačného systému podľa § 38 ods. 2 písm. e) zákona č. 326/ 2005 Z. z. o lesoch v znení neskorších predpisov v rámci schvaľovacieho procesu pred predložením na rokovanie vlády Slovenskej republiky, ako aj pred zápisom do katastra nehnuteľností. Napriek tomu, že návrh je predmetom schvaľovacieho procesu a v dôvodovej správe sa uvádza, že „pôvodná výmera vo výnose MŽP SR č. 3/2004-5.1. bola znížená z dôvodu úprav hraníc“ , predkladateľ správcovi informačného systému vektorové dáta nepredložil, teda materiál je zavádzajúci.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Z</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N</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rPr>
                <w:rFonts w:ascii="Times New Roman" w:eastAsia="Times New Roman" w:hAnsi="Times New Roman" w:cs="Times New Roman"/>
                <w:sz w:val="24"/>
                <w:szCs w:val="24"/>
              </w:rPr>
            </w:pPr>
            <w:r w:rsidRPr="003939FE">
              <w:rPr>
                <w:rFonts w:ascii="Times New Roman" w:hAnsi="Times New Roman"/>
                <w:sz w:val="24"/>
                <w:szCs w:val="24"/>
              </w:rPr>
              <w:t xml:space="preserve">MPRV SR na základe dohody z predchádzajúcich rokovaní požadovalo predloženie  vektorových priestorových dát </w:t>
            </w:r>
            <w:r w:rsidRPr="003939FE">
              <w:rPr>
                <w:rFonts w:ascii="Times Roman" w:hAnsi="Times Roman"/>
                <w:sz w:val="25"/>
                <w:szCs w:val="25"/>
              </w:rPr>
              <w:t>správcovi informačného systému podľa § 38 ods. 2 písm. e) zákona č. 326/ 2005 Z. z. o lesoch v znení neskorších predpisov ako aj uvádzanie predmetnej formulácie v predkladacej správe pri chránených územiach, v ktorých sa nachádzajú lesné pozemky. V CHA Široká sú všetky pozemky evidované ako „ostatné plochy</w:t>
            </w:r>
            <w:r w:rsidRPr="003939FE">
              <w:rPr>
                <w:rFonts w:ascii="Arial Unicode MS" w:hAnsi="Arial Unicode MS"/>
                <w:sz w:val="25"/>
                <w:szCs w:val="25"/>
                <w:rtl/>
              </w:rPr>
              <w:t>“</w:t>
            </w:r>
            <w:r w:rsidRPr="003939FE">
              <w:rPr>
                <w:rFonts w:ascii="Times Roman" w:hAnsi="Times Roman"/>
                <w:sz w:val="25"/>
                <w:szCs w:val="25"/>
              </w:rPr>
              <w:t xml:space="preserve">. </w:t>
            </w:r>
            <w:r w:rsidRPr="003939FE">
              <w:rPr>
                <w:rFonts w:ascii="Times New Roman" w:hAnsi="Times New Roman"/>
                <w:sz w:val="24"/>
                <w:szCs w:val="24"/>
              </w:rPr>
              <w:t xml:space="preserve"> </w:t>
            </w:r>
          </w:p>
          <w:p w:rsidR="00966AA5" w:rsidRPr="003939FE" w:rsidRDefault="00085E04">
            <w:r w:rsidRPr="003939FE">
              <w:rPr>
                <w:rFonts w:ascii="Times New Roman" w:hAnsi="Times New Roman"/>
                <w:sz w:val="24"/>
                <w:szCs w:val="24"/>
              </w:rPr>
              <w:t>MPRV SR od zásadnej pripomienky odstúpilo na rozporovom konaní, rozpor je teda odstránený.</w:t>
            </w:r>
          </w:p>
        </w:tc>
      </w:tr>
      <w:tr w:rsidR="00966AA5" w:rsidRPr="003939FE" w:rsidTr="007E55A1">
        <w:trPr>
          <w:trHeight w:val="9246"/>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lastRenderedPageBreak/>
              <w:t>MPRVSR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spacing w:after="0"/>
            </w:pPr>
            <w:r w:rsidRPr="003939FE">
              <w:rPr>
                <w:rFonts w:ascii="Times New Roman" w:hAnsi="Times New Roman"/>
                <w:b/>
                <w:bCs/>
                <w:sz w:val="25"/>
                <w:szCs w:val="25"/>
              </w:rPr>
              <w:t>Predkladacia správa</w:t>
            </w:r>
            <w:r w:rsidRPr="003939FE">
              <w:rPr>
                <w:rFonts w:ascii="Times Roman" w:eastAsia="Times Roman" w:hAnsi="Times Roman" w:cs="Times Roman"/>
                <w:sz w:val="25"/>
                <w:szCs w:val="25"/>
              </w:rPr>
              <w:br/>
            </w:r>
            <w:r w:rsidRPr="003939FE">
              <w:rPr>
                <w:rFonts w:ascii="Times Roman" w:hAnsi="Times Roman"/>
                <w:sz w:val="25"/>
                <w:szCs w:val="25"/>
              </w:rPr>
              <w:t>V treťom odseku žiadame doplniť, ktorý orgán ochrany prírody, čím a kedy rozhodol o schválení projektu ochrany (resp. kedy a čím schválila vláda Slovenskej republiky program starostlivosti). V prípade, že tieto dokumenty schválené nie sú, žiadame zosúladiť postup vyhlásenia chráneného areálu so zákonom o ochrane prírody. Táto pripomienka je zásadná. Odôvodnenie: Projekt ochrany chráneného areálu je podkladom pre vyhlásenie CHA Široká. Podľa § 54 ods. 20 zákona o ochrane prírody tento dokument ochrany prírody obstaráva a schvaľuje príslušný orgán ochrany prírody po prerokovaní s dotknutými orgánmi štátnej správy. Zároveň sa v § 54 ods. 20 zákona o ochrane prírody uvádza, že „program starostlivosti o prírodnú pamiatku, národnú prírodnú pamiatku, prírodnú rezerváciu, národnú prírodnú rezerváciu a chránený areál“ obstaráva Ministerstvo životného prostredia Slovenskej republiky a schvaľuje vláda Slovenskej republiky. Predkladateľ zároveň odkazuje na „webové sídlo Štátnej ochrany prírody</w:t>
            </w:r>
            <w:r w:rsidRPr="003939FE">
              <w:rPr>
                <w:rFonts w:ascii="Arial Unicode MS" w:hAnsi="Arial Unicode MS"/>
                <w:sz w:val="25"/>
                <w:szCs w:val="25"/>
                <w:rtl/>
              </w:rPr>
              <w:t>“</w:t>
            </w:r>
            <w:r w:rsidRPr="003939FE">
              <w:rPr>
                <w:rFonts w:ascii="Times Roman" w:hAnsi="Times Roman"/>
                <w:sz w:val="25"/>
                <w:szCs w:val="25"/>
              </w:rPr>
              <w:t>, pričom však na tomto sídle sa nachádza len „Projekt ochrany o CHA Široká“ a „Program starostlivosti o CHA Široká“ vo forme „návrhov na prerokovanie</w:t>
            </w:r>
            <w:r w:rsidRPr="003939FE">
              <w:rPr>
                <w:rFonts w:ascii="Arial Unicode MS" w:hAnsi="Arial Unicode MS"/>
                <w:sz w:val="25"/>
                <w:szCs w:val="25"/>
                <w:rtl/>
              </w:rPr>
              <w:t>“</w:t>
            </w:r>
            <w:r w:rsidRPr="003939FE">
              <w:rPr>
                <w:rFonts w:ascii="Times Roman" w:hAnsi="Times Roman"/>
                <w:sz w:val="25"/>
                <w:szCs w:val="25"/>
              </w:rPr>
              <w:t xml:space="preserve">, nie teda schválené dokumenty. „Návrh na prerokovanie“ nie je dostačujúcim dokumentom ochrany prírody (podkladom) na vyhlásenie chráneného areálu. Projekt ochrany, ktorý má byť podkladom pre vyhlásenie chráneného územia, musí byť schválený podľa zákona o </w:t>
            </w:r>
            <w:r w:rsidRPr="003939FE">
              <w:rPr>
                <w:rFonts w:ascii="Times Roman" w:hAnsi="Times Roman"/>
                <w:sz w:val="25"/>
                <w:szCs w:val="25"/>
              </w:rPr>
              <w:lastRenderedPageBreak/>
              <w:t>ochrane prírody. Obdobne aj program starostlivosti, ktorý má špecifikovať opatrenia na dosiahnutie cieľov ochrany, je relevantný len v prípade, že je schválený v súlade so zák</w:t>
            </w:r>
            <w:r w:rsidR="003939FE" w:rsidRPr="003939FE">
              <w:rPr>
                <w:rFonts w:ascii="Times Roman" w:hAnsi="Times Roman"/>
                <w:sz w:val="25"/>
                <w:szCs w:val="25"/>
              </w:rPr>
              <w:t>o</w:t>
            </w:r>
            <w:r w:rsidRPr="003939FE">
              <w:rPr>
                <w:rFonts w:ascii="Times Roman" w:hAnsi="Times Roman"/>
                <w:sz w:val="25"/>
                <w:szCs w:val="25"/>
              </w:rPr>
              <w:t xml:space="preserve">nom o ochrane prírody. </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spacing w:after="0"/>
              <w:jc w:val="center"/>
            </w:pPr>
            <w:r w:rsidRPr="003939FE">
              <w:rPr>
                <w:rFonts w:ascii="Times Roman" w:hAnsi="Times Roman"/>
                <w:sz w:val="25"/>
                <w:szCs w:val="25"/>
              </w:rPr>
              <w:lastRenderedPageBreak/>
              <w:t>Z</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3939FE" w:rsidP="003939FE">
            <w:pPr>
              <w:spacing w:after="0"/>
            </w:pPr>
            <w:r w:rsidRPr="003939FE">
              <w:rPr>
                <w:rFonts w:ascii="Times Roman" w:hAnsi="Times Roman"/>
                <w:sz w:val="25"/>
                <w:szCs w:val="25"/>
                <w14:textOutline w14:w="12700" w14:cap="flat" w14:cmpd="sng" w14:algn="ctr">
                  <w14:noFill/>
                  <w14:prstDash w14:val="solid"/>
                  <w14:miter w14:lim="400000"/>
                </w14:textOutline>
              </w:rPr>
              <w:t xml:space="preserve">   </w:t>
            </w:r>
            <w:r w:rsidR="00085E04" w:rsidRPr="003939FE">
              <w:rPr>
                <w:rFonts w:ascii="Times Roman" w:hAnsi="Times Roman"/>
                <w:sz w:val="25"/>
                <w:szCs w:val="25"/>
                <w14:textOutline w14:w="12700" w14:cap="flat" w14:cmpd="sng" w14:algn="ctr">
                  <w14:noFill/>
                  <w14:prstDash w14:val="solid"/>
                  <w14:miter w14:lim="400000"/>
                </w14:textOutline>
              </w:rPr>
              <w:t>N</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966AA5">
            <w:pPr>
              <w:spacing w:after="0"/>
              <w:rPr>
                <w:rFonts w:ascii="Times New Roman" w:hAnsi="Times New Roman"/>
                <w:sz w:val="24"/>
                <w:szCs w:val="24"/>
              </w:rPr>
            </w:pPr>
          </w:p>
          <w:p w:rsidR="007E55A1" w:rsidRPr="003939FE" w:rsidRDefault="007E55A1">
            <w:pPr>
              <w:spacing w:after="0"/>
              <w:rPr>
                <w:rFonts w:ascii="Times New Roman" w:hAnsi="Times New Roman"/>
                <w:sz w:val="24"/>
                <w:szCs w:val="24"/>
              </w:rPr>
            </w:pPr>
          </w:p>
          <w:p w:rsidR="007E55A1" w:rsidRPr="003939FE" w:rsidRDefault="007E55A1" w:rsidP="007E55A1">
            <w:pPr>
              <w:spacing w:after="0"/>
              <w:rPr>
                <w:rFonts w:ascii="Times New Roman" w:hAnsi="Times New Roman" w:cs="Times New Roman"/>
                <w:sz w:val="24"/>
                <w:szCs w:val="24"/>
              </w:rPr>
            </w:pPr>
            <w:r w:rsidRPr="003939FE">
              <w:rPr>
                <w:rFonts w:ascii="Times New Roman" w:hAnsi="Times New Roman" w:cs="Times New Roman"/>
                <w:sz w:val="24"/>
                <w:szCs w:val="24"/>
              </w:rPr>
              <w:t xml:space="preserve">Na základe pripomienky k vlastnému materiálu bol § 1 ods. 4 upravený a z paragrafového znenia bol projekt ochrany vypustený. V predkladacej správe považujeme za potrebné informácie o projekte ochrany ponechať (projekt ochrany nepodlieha osobitnému schvaľovaciemu procesu a vyhotovuje sa ako podklad na vyhlasovanie ochrany alebo zmeny ochrany chránených území). </w:t>
            </w:r>
          </w:p>
          <w:p w:rsidR="007E55A1" w:rsidRPr="003939FE" w:rsidRDefault="007E55A1" w:rsidP="007E55A1">
            <w:pPr>
              <w:spacing w:after="0"/>
              <w:rPr>
                <w:rFonts w:ascii="Times New Roman" w:hAnsi="Times New Roman" w:cs="Times New Roman"/>
                <w:sz w:val="24"/>
                <w:szCs w:val="24"/>
              </w:rPr>
            </w:pPr>
          </w:p>
          <w:p w:rsidR="007E55A1" w:rsidRPr="003939FE" w:rsidRDefault="007E55A1" w:rsidP="007E55A1">
            <w:pPr>
              <w:spacing w:after="0"/>
            </w:pPr>
            <w:r w:rsidRPr="003939FE">
              <w:rPr>
                <w:rFonts w:ascii="Times New Roman" w:hAnsi="Times New Roman" w:cs="Times New Roman"/>
                <w:sz w:val="24"/>
                <w:szCs w:val="24"/>
              </w:rPr>
              <w:t>MP RV SR od svojej pripomienky odstúpilo počas rozporového rokovania zo dňa 7.1.2021 (konaného na úrovni štátnych tajomníkov), rozpor bol týmto odstránený.</w:t>
            </w:r>
          </w:p>
        </w:tc>
      </w:tr>
      <w:tr w:rsidR="00966AA5" w:rsidRPr="003939FE" w:rsidTr="007E55A1">
        <w:trPr>
          <w:trHeight w:val="1292"/>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lastRenderedPageBreak/>
              <w:t>MSSR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K doložke zlučiteľnosti</w:t>
            </w:r>
            <w:r w:rsidRPr="003939FE">
              <w:rPr>
                <w:rFonts w:ascii="Times Roman" w:eastAsia="Times Roman" w:hAnsi="Times Roman" w:cs="Times Roman"/>
                <w:sz w:val="25"/>
                <w:szCs w:val="25"/>
              </w:rPr>
              <w:br/>
            </w:r>
            <w:r w:rsidRPr="003939FE">
              <w:rPr>
                <w:rFonts w:ascii="Times Roman" w:hAnsi="Times Roman"/>
                <w:sz w:val="25"/>
                <w:szCs w:val="25"/>
              </w:rPr>
              <w:t>Navrhujeme použiť aktuálny vzor doložky zlučiteľnosti v súlade s uznesením vlády Slovenskej republiky č. 251/2018 z 23. mája 2018.</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O</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A</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sz w:val="24"/>
                <w:szCs w:val="24"/>
              </w:rPr>
              <w:t>Upravené podľa pripomienky.</w:t>
            </w:r>
          </w:p>
        </w:tc>
      </w:tr>
      <w:tr w:rsidR="00966AA5" w:rsidRPr="003939FE" w:rsidTr="007E55A1">
        <w:trPr>
          <w:trHeight w:val="2258"/>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MSSR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K doložke vybraných vplyvov</w:t>
            </w:r>
            <w:r w:rsidRPr="003939FE">
              <w:rPr>
                <w:rFonts w:ascii="Times Roman" w:eastAsia="Times Roman" w:hAnsi="Times Roman" w:cs="Times Roman"/>
                <w:sz w:val="25"/>
                <w:szCs w:val="25"/>
              </w:rPr>
              <w:br/>
            </w:r>
            <w:r w:rsidRPr="003939FE">
              <w:rPr>
                <w:rFonts w:ascii="Times Roman" w:hAnsi="Times Roman"/>
                <w:sz w:val="25"/>
                <w:szCs w:val="25"/>
              </w:rPr>
              <w:t>Navrhujeme v bode 9 v kategórii vplyvy na podnikateľské prostredie neoznačiť políčko „žiadne“ v podkategórii vplyvy na MSP. Odôvodnenie: Podľa bodu 9 uznesenia vlády č. 24/2015 Slovenskej republiky z 14. januára 2015, ak návrh nemá vplyv na podnikateľské prostredie, vplyvy na malé a stredné podniky sa neoznačujú.</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O</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A</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sz w:val="24"/>
                <w:szCs w:val="24"/>
              </w:rPr>
              <w:t>Upravené podľa pripomienky.</w:t>
            </w:r>
          </w:p>
        </w:tc>
      </w:tr>
      <w:tr w:rsidR="00966AA5" w:rsidRPr="003939FE" w:rsidTr="007E55A1">
        <w:trPr>
          <w:trHeight w:val="1338"/>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MSSR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K analýze vplyvov na životné prostredie</w:t>
            </w:r>
            <w:r w:rsidRPr="003939FE">
              <w:rPr>
                <w:rFonts w:ascii="Times Roman" w:eastAsia="Times Roman" w:hAnsi="Times Roman" w:cs="Times Roman"/>
                <w:sz w:val="25"/>
                <w:szCs w:val="25"/>
              </w:rPr>
              <w:br/>
            </w:r>
            <w:r w:rsidRPr="003939FE">
              <w:rPr>
                <w:rFonts w:ascii="Times Roman" w:hAnsi="Times Roman"/>
                <w:sz w:val="25"/>
                <w:szCs w:val="25"/>
              </w:rPr>
              <w:t>V bode 5.1 v druhom odseku navrhujeme vypustiť slová a dvojbodku „európskeho významu:</w:t>
            </w:r>
            <w:r w:rsidRPr="003939FE">
              <w:rPr>
                <w:rFonts w:ascii="Arial Unicode MS" w:hAnsi="Arial Unicode MS"/>
                <w:sz w:val="25"/>
                <w:szCs w:val="25"/>
                <w:rtl/>
              </w:rPr>
              <w:t>“</w:t>
            </w:r>
            <w:r w:rsidRPr="003939FE">
              <w:rPr>
                <w:rFonts w:ascii="Times Roman" w:hAnsi="Times Roman"/>
                <w:sz w:val="25"/>
                <w:szCs w:val="25"/>
              </w:rPr>
              <w:t>, ktoré sa v danom bode nachádzajú duplicitne.</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O</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A</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sz w:val="24"/>
                <w:szCs w:val="24"/>
              </w:rPr>
              <w:t>Upravené podľa pripomienky.</w:t>
            </w:r>
          </w:p>
        </w:tc>
      </w:tr>
      <w:tr w:rsidR="00966AA5" w:rsidRPr="003939FE" w:rsidTr="007E55A1">
        <w:trPr>
          <w:trHeight w:val="2037"/>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t>MVSR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predkladacej správe a dôvodovej správe</w:t>
            </w:r>
            <w:r w:rsidRPr="003939FE">
              <w:rPr>
                <w:rFonts w:ascii="Times Roman" w:eastAsia="Times Roman" w:hAnsi="Times Roman" w:cs="Times Roman"/>
                <w:sz w:val="25"/>
                <w:szCs w:val="25"/>
              </w:rPr>
              <w:br/>
            </w:r>
            <w:r w:rsidRPr="003939FE">
              <w:rPr>
                <w:rFonts w:ascii="Times Roman" w:hAnsi="Times Roman"/>
                <w:sz w:val="25"/>
                <w:szCs w:val="25"/>
              </w:rPr>
              <w:t>V predkladacej správe a dôvodovej správe zavedené a používané skratky odporúčame upraviť podľa požiadaviek bodov 9.1. a 9.2. prílohy č. 1 Legislatívnych pravidiel vlády SR.</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O</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N</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E55A1" w:rsidRPr="003939FE" w:rsidRDefault="007E55A1">
            <w:r w:rsidRPr="003939FE">
              <w:rPr>
                <w:rFonts w:ascii="Times New Roman" w:hAnsi="Times New Roman" w:cs="Times New Roman"/>
                <w:sz w:val="24"/>
                <w:szCs w:val="24"/>
              </w:rPr>
              <w:t xml:space="preserve">Body 9.1 a 9.2 Legislatívnych pravidiel vlády SR sa týkajú legislatívnych skratiek v legislatívnych predpisoch (v normatívnom texte), nepovažujeme za potrebné  ich takto zavádzať v sprievodných dokumentoch. Skratky boli uvedeným spôsobom požité v už </w:t>
            </w:r>
            <w:r w:rsidRPr="003939FE">
              <w:rPr>
                <w:rFonts w:ascii="Times New Roman" w:hAnsi="Times New Roman" w:cs="Times New Roman"/>
                <w:sz w:val="24"/>
                <w:szCs w:val="24"/>
              </w:rPr>
              <w:lastRenderedPageBreak/>
              <w:t>schválených návrhoch vyhlasujúcich chránené areály/prírodné rezervácie.</w:t>
            </w:r>
          </w:p>
        </w:tc>
      </w:tr>
      <w:tr w:rsidR="00966AA5" w:rsidRPr="003939FE" w:rsidTr="007E55A1">
        <w:trPr>
          <w:trHeight w:val="1614"/>
          <w:jc w:val="center"/>
        </w:trPr>
        <w:tc>
          <w:tcPr>
            <w:tcW w:w="17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New Roman" w:hAnsi="Times New Roman"/>
                <w:b/>
                <w:bCs/>
                <w:sz w:val="25"/>
                <w:szCs w:val="25"/>
              </w:rPr>
              <w:lastRenderedPageBreak/>
              <w:t>OAPSVLÚVSR</w:t>
            </w:r>
          </w:p>
        </w:tc>
        <w:tc>
          <w:tcPr>
            <w:tcW w:w="62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b/>
                <w:bCs/>
                <w:sz w:val="25"/>
                <w:szCs w:val="25"/>
              </w:rPr>
              <w:t>K doložke zlučiteľnosti</w:t>
            </w:r>
            <w:r w:rsidRPr="003939FE">
              <w:rPr>
                <w:rFonts w:ascii="Times Roman" w:eastAsia="Times Roman" w:hAnsi="Times Roman" w:cs="Times Roman"/>
                <w:sz w:val="25"/>
                <w:szCs w:val="25"/>
              </w:rPr>
              <w:br/>
            </w:r>
            <w:r w:rsidRPr="003939FE">
              <w:rPr>
                <w:rFonts w:ascii="Times Roman" w:hAnsi="Times Roman"/>
                <w:sz w:val="25"/>
                <w:szCs w:val="25"/>
              </w:rPr>
              <w:t>1. V bode 3 doložky zlučiteľnosti žiadame správne označiť písmenami a) až c) primárne právo, sekundárne právo a judikatúru Súdneho dvora Európskej únie, a to v súlade s Prílohou č. 2 k Legislatívnym pravidlám vlády SR.</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O</w:t>
            </w:r>
          </w:p>
        </w:tc>
        <w:tc>
          <w:tcPr>
            <w:tcW w:w="7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pPr>
              <w:jc w:val="center"/>
            </w:pPr>
            <w:r w:rsidRPr="003939FE">
              <w:rPr>
                <w:rFonts w:ascii="Times Roman" w:hAnsi="Times Roman"/>
                <w:sz w:val="25"/>
                <w:szCs w:val="25"/>
              </w:rPr>
              <w:t>A</w:t>
            </w:r>
          </w:p>
        </w:tc>
        <w:tc>
          <w:tcPr>
            <w:tcW w:w="3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966AA5" w:rsidRPr="003939FE" w:rsidRDefault="00085E04">
            <w:r w:rsidRPr="003939FE">
              <w:rPr>
                <w:rFonts w:ascii="Times New Roman" w:hAnsi="Times New Roman"/>
                <w:sz w:val="24"/>
                <w:szCs w:val="24"/>
              </w:rPr>
              <w:t xml:space="preserve">Upravené podľa pripomienky. </w:t>
            </w:r>
          </w:p>
        </w:tc>
      </w:tr>
    </w:tbl>
    <w:p w:rsidR="00966AA5" w:rsidRPr="003939FE" w:rsidRDefault="00966AA5">
      <w:pPr>
        <w:widowControl w:val="0"/>
        <w:spacing w:line="240" w:lineRule="auto"/>
        <w:jc w:val="center"/>
        <w:rPr>
          <w:rFonts w:ascii="Consolas" w:eastAsia="Consolas" w:hAnsi="Consolas" w:cs="Consolas"/>
          <w:sz w:val="20"/>
          <w:szCs w:val="20"/>
        </w:rPr>
      </w:pPr>
    </w:p>
    <w:p w:rsidR="00966AA5" w:rsidRPr="003939FE" w:rsidRDefault="00966AA5">
      <w:pPr>
        <w:widowControl w:val="0"/>
        <w:spacing w:line="240" w:lineRule="auto"/>
        <w:jc w:val="center"/>
      </w:pPr>
    </w:p>
    <w:sectPr w:rsidR="00966AA5" w:rsidRPr="003939FE">
      <w:pgSz w:w="15840" w:h="12240" w:orient="landscape"/>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31" w:rsidRDefault="00BD5A31">
      <w:pPr>
        <w:spacing w:after="0" w:line="240" w:lineRule="auto"/>
      </w:pPr>
      <w:r>
        <w:separator/>
      </w:r>
    </w:p>
  </w:endnote>
  <w:endnote w:type="continuationSeparator" w:id="0">
    <w:p w:rsidR="00BD5A31" w:rsidRDefault="00BD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 Roman">
    <w:altName w:val="Times New Roman"/>
    <w:charset w:val="00"/>
    <w:family w:val="roman"/>
    <w:pitch w:val="default"/>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31" w:rsidRDefault="00BD5A31">
      <w:pPr>
        <w:spacing w:after="0" w:line="240" w:lineRule="auto"/>
      </w:pPr>
      <w:r>
        <w:separator/>
      </w:r>
    </w:p>
  </w:footnote>
  <w:footnote w:type="continuationSeparator" w:id="0">
    <w:p w:rsidR="00BD5A31" w:rsidRDefault="00BD5A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A5"/>
    <w:rsid w:val="00025F63"/>
    <w:rsid w:val="00085E04"/>
    <w:rsid w:val="003939FE"/>
    <w:rsid w:val="007E55A1"/>
    <w:rsid w:val="00966AA5"/>
    <w:rsid w:val="00BD5A31"/>
    <w:rsid w:val="00EF6B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6CA1"/>
  <w15:docId w15:val="{E1A9D037-6A56-4196-9DF2-6889905E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pacing w:after="200" w:line="276" w:lineRule="auto"/>
    </w:pPr>
    <w:rPr>
      <w:rFonts w:ascii="Calibri" w:hAnsi="Calibri" w:cs="Arial Unicode MS"/>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widowControl w:val="0"/>
      <w:spacing w:after="200" w:line="276" w:lineRule="auto"/>
      <w:jc w:val="center"/>
    </w:pPr>
    <w:rPr>
      <w:rFonts w:eastAsia="Times New Roman"/>
      <w:b/>
      <w:bCs/>
      <w:color w:val="000000"/>
      <w:sz w:val="28"/>
      <w:szCs w:val="28"/>
      <w:u w:color="000000"/>
    </w:rPr>
  </w:style>
  <w:style w:type="paragraph" w:customStyle="1" w:styleId="PredvolenA">
    <w:name w:val="Predvolené A"/>
    <w:pPr>
      <w:spacing w:before="160" w:after="200" w:line="276"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extbubliny">
    <w:name w:val="Balloon Text"/>
    <w:basedOn w:val="Normlny"/>
    <w:link w:val="TextbublinyChar"/>
    <w:uiPriority w:val="99"/>
    <w:semiHidden/>
    <w:unhideWhenUsed/>
    <w:rsid w:val="007E55A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55A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2615</Words>
  <Characters>14912</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Kaiserová Dominika</dc:creator>
  <cp:lastModifiedBy>Kaiserová Dominika</cp:lastModifiedBy>
  <cp:revision>2</cp:revision>
  <dcterms:created xsi:type="dcterms:W3CDTF">2021-01-13T10:15:00Z</dcterms:created>
  <dcterms:modified xsi:type="dcterms:W3CDTF">2021-01-13T10:15:00Z</dcterms:modified>
</cp:coreProperties>
</file>