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F" w:rsidRDefault="00D838D0">
      <w:pPr>
        <w:pStyle w:val="Normlnywebov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</w:t>
      </w:r>
      <w:r>
        <w:rPr>
          <w:b/>
          <w:bCs/>
          <w:sz w:val="28"/>
          <w:szCs w:val="28"/>
        </w:rPr>
        <w:t>žka vybraných vplyvov</w:t>
      </w:r>
    </w:p>
    <w:p w:rsidR="00D74C2F" w:rsidRDefault="00D74C2F">
      <w:pPr>
        <w:pStyle w:val="Normlnywebov"/>
        <w:rPr>
          <w:sz w:val="22"/>
          <w:szCs w:val="22"/>
        </w:rPr>
      </w:pP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3623"/>
      </w:tblGrid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90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sz w:val="20"/>
                <w:szCs w:val="20"/>
              </w:rPr>
              <w:t>Nariadenie vlády Slovenskej republiky, ktorým sa vyhlasuje chrá</w:t>
            </w:r>
            <w:r>
              <w:rPr>
                <w:sz w:val="20"/>
                <w:szCs w:val="20"/>
                <w:lang w:val="de-DE"/>
              </w:rPr>
              <w:t>nen</w:t>
            </w:r>
            <w:r>
              <w:rPr>
                <w:sz w:val="20"/>
                <w:szCs w:val="20"/>
              </w:rPr>
              <w:t>ý areál Široká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90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sz w:val="20"/>
                <w:szCs w:val="20"/>
              </w:rPr>
              <w:t>Ministerstvo životn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prostredia Slovenskej republiky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54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Charakter </w:t>
            </w:r>
            <w:r>
              <w:rPr>
                <w:b/>
                <w:bCs/>
                <w:sz w:val="22"/>
                <w:szCs w:val="22"/>
              </w:rPr>
              <w:t>predkladan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ho materiálu</w:t>
            </w:r>
          </w:p>
        </w:tc>
        <w:tc>
          <w:tcPr>
            <w:tcW w:w="3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> 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  <w:lang w:val="de-DE"/>
              </w:rPr>
              <w:t>Materi</w:t>
            </w:r>
            <w:r>
              <w:rPr>
                <w:sz w:val="20"/>
                <w:szCs w:val="20"/>
              </w:rPr>
              <w:t>ál nelegislatívnej povahy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54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D74C2F" w:rsidRDefault="00D74C2F"/>
        </w:tc>
        <w:tc>
          <w:tcPr>
            <w:tcW w:w="3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> 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  <w:lang w:val="de-DE"/>
              </w:rPr>
              <w:t>Materi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  <w:lang w:val="it-IT"/>
              </w:rPr>
              <w:t>l legislat</w:t>
            </w:r>
            <w:r>
              <w:rPr>
                <w:sz w:val="20"/>
                <w:szCs w:val="20"/>
              </w:rPr>
              <w:t xml:space="preserve">ívnej povahy 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54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D74C2F" w:rsidRDefault="00D74C2F"/>
        </w:tc>
        <w:tc>
          <w:tcPr>
            <w:tcW w:w="3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> 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>  Transpozí</w:t>
            </w:r>
            <w:r>
              <w:rPr>
                <w:sz w:val="20"/>
                <w:szCs w:val="20"/>
                <w:lang w:val="pt-PT"/>
              </w:rPr>
              <w:t>cia pr</w:t>
            </w:r>
            <w:r>
              <w:rPr>
                <w:sz w:val="20"/>
                <w:szCs w:val="20"/>
              </w:rPr>
              <w:t xml:space="preserve">áva EÚ 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90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74C2F"/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  <w:jc w:val="center"/>
        </w:trPr>
        <w:tc>
          <w:tcPr>
            <w:tcW w:w="5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 xml:space="preserve">  </w:t>
            </w:r>
            <w:r>
              <w:rPr>
                <w:b/>
                <w:bCs/>
                <w:sz w:val="22"/>
                <w:szCs w:val="22"/>
                <w:lang w:val="it-IT"/>
              </w:rPr>
              <w:t>Term</w:t>
            </w:r>
            <w:r>
              <w:rPr>
                <w:b/>
                <w:bCs/>
                <w:sz w:val="22"/>
                <w:szCs w:val="22"/>
              </w:rPr>
              <w:t>í</w:t>
            </w:r>
            <w:r>
              <w:rPr>
                <w:b/>
                <w:bCs/>
                <w:sz w:val="22"/>
                <w:szCs w:val="22"/>
                <w:lang w:val="nl-NL"/>
              </w:rPr>
              <w:t>n za</w:t>
            </w:r>
            <w:r>
              <w:rPr>
                <w:b/>
                <w:bCs/>
                <w:sz w:val="22"/>
                <w:szCs w:val="22"/>
              </w:rPr>
              <w:t>čiatku a ukončenia PPK</w:t>
            </w:r>
          </w:p>
        </w:tc>
        <w:tc>
          <w:tcPr>
            <w:tcW w:w="3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sz w:val="20"/>
                <w:szCs w:val="20"/>
              </w:rPr>
              <w:t>Začiatok:    16.10.2020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Ukončenie: 30.10.2020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  <w:jc w:val="center"/>
        </w:trPr>
        <w:tc>
          <w:tcPr>
            <w:tcW w:w="5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3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</w:t>
            </w:r>
            <w:r>
              <w:rPr>
                <w:sz w:val="20"/>
                <w:szCs w:val="20"/>
              </w:rPr>
              <w:t>iatok:    09.11.2020</w:t>
            </w:r>
          </w:p>
          <w:p w:rsidR="00D74C2F" w:rsidRDefault="00D838D0">
            <w:r>
              <w:rPr>
                <w:sz w:val="20"/>
                <w:szCs w:val="20"/>
              </w:rPr>
              <w:t>Ukončenie: 30.11.2020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5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Predpokladaný termín predloženia na Rokovanie vlá</w:t>
            </w:r>
            <w:r>
              <w:rPr>
                <w:b/>
                <w:bCs/>
                <w:sz w:val="22"/>
                <w:szCs w:val="22"/>
                <w:lang w:val="en-US"/>
              </w:rPr>
              <w:t>dy</w:t>
            </w:r>
            <w:r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3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sz w:val="20"/>
                <w:szCs w:val="20"/>
              </w:rPr>
              <w:t>január 2021</w:t>
            </w:r>
          </w:p>
        </w:tc>
      </w:tr>
    </w:tbl>
    <w:p w:rsidR="00D74C2F" w:rsidRDefault="00D74C2F">
      <w:pPr>
        <w:pStyle w:val="Normlnywebov"/>
        <w:widowControl w:val="0"/>
        <w:jc w:val="center"/>
        <w:rPr>
          <w:sz w:val="22"/>
          <w:szCs w:val="22"/>
        </w:rPr>
      </w:pPr>
    </w:p>
    <w:p w:rsidR="00D74C2F" w:rsidRDefault="00D74C2F">
      <w:pPr>
        <w:pStyle w:val="Normlnywebov"/>
        <w:rPr>
          <w:sz w:val="22"/>
          <w:szCs w:val="22"/>
        </w:rPr>
      </w:pPr>
    </w:p>
    <w:p w:rsidR="00D74C2F" w:rsidRDefault="00D74C2F">
      <w:pPr>
        <w:pStyle w:val="Normlnywebov"/>
        <w:rPr>
          <w:sz w:val="22"/>
          <w:szCs w:val="22"/>
        </w:rPr>
      </w:pP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2.  Definí</w:t>
            </w:r>
            <w:r>
              <w:rPr>
                <w:b/>
                <w:bCs/>
                <w:sz w:val="22"/>
                <w:szCs w:val="22"/>
                <w:lang w:val="pt-PT"/>
              </w:rPr>
              <w:t>cia probl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mu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jc w:val="both"/>
            </w:pPr>
            <w:r>
              <w:rPr>
                <w:sz w:val="20"/>
                <w:szCs w:val="20"/>
              </w:rPr>
              <w:t>Nedostatočn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 xml:space="preserve">plnenie záväzkov Slovenskej republiky vyplývajúcich z čl. 4 ods. 4 smernice Rady 92/43/EHS z 21. </w:t>
            </w:r>
            <w:r>
              <w:rPr>
                <w:sz w:val="20"/>
                <w:szCs w:val="20"/>
              </w:rPr>
              <w:t>mája 1992 o ochrane prirodzených biotopov a voľne žijúcich ž</w:t>
            </w:r>
            <w:r>
              <w:rPr>
                <w:sz w:val="20"/>
                <w:szCs w:val="20"/>
                <w:lang w:val="it-IT"/>
              </w:rPr>
              <w:t>ivo</w:t>
            </w:r>
            <w:r>
              <w:rPr>
                <w:sz w:val="20"/>
                <w:szCs w:val="20"/>
              </w:rPr>
              <w:t>číchov a rastlín (Ú. v. ES L 206, 22.7.1992; Mimoriadne vydanie Ú. v. EÚ, kap. 15/zv. 2) v platnom znení (ďalej len „smernica 92/43/EHS v platnom znen</w:t>
            </w:r>
            <w:r>
              <w:rPr>
                <w:sz w:val="20"/>
                <w:szCs w:val="20"/>
                <w:lang w:val="pt-PT"/>
              </w:rPr>
              <w:t>í“</w:t>
            </w:r>
            <w:r>
              <w:rPr>
                <w:sz w:val="20"/>
                <w:szCs w:val="20"/>
              </w:rPr>
              <w:t>) pokiaľ ide o vyhlasovanie lokalít zapís</w:t>
            </w:r>
            <w:r>
              <w:rPr>
                <w:sz w:val="20"/>
                <w:szCs w:val="20"/>
              </w:rPr>
              <w:t>aných v zozname lokalí</w:t>
            </w:r>
            <w:r>
              <w:rPr>
                <w:sz w:val="20"/>
                <w:szCs w:val="20"/>
                <w:lang w:val="fr-FR"/>
              </w:rPr>
              <w:t>t 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pskeho významu. Dôvodom vyhlásenia navrhovan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chrá</w:t>
            </w:r>
            <w:r>
              <w:rPr>
                <w:sz w:val="20"/>
                <w:szCs w:val="20"/>
                <w:lang w:val="de-DE"/>
              </w:rPr>
              <w:t>nen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en-US"/>
              </w:rPr>
              <w:t>ho are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  <w:lang w:val="de-DE"/>
              </w:rPr>
              <w:t xml:space="preserve">lu (CHA) </w:t>
            </w:r>
            <w:r>
              <w:rPr>
                <w:sz w:val="20"/>
                <w:szCs w:val="20"/>
              </w:rPr>
              <w:t>Široká je aj formálne oznámenie 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pskej komisie v rámci konania o porušení č. 2019/2141, ktor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sa týka nedostatočn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vyhlasovania lokalí</w:t>
            </w:r>
            <w:r>
              <w:rPr>
                <w:sz w:val="20"/>
                <w:szCs w:val="20"/>
                <w:lang w:val="fr-FR"/>
              </w:rPr>
              <w:t>t 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pskeho vý</w:t>
            </w:r>
            <w:r>
              <w:rPr>
                <w:sz w:val="20"/>
                <w:szCs w:val="20"/>
              </w:rPr>
              <w:t>znamu a stanovenia cieľov ochrany a opatrení na ich dosiahnutie (napr. v rámci programov starostlivosti).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  3.  </w:t>
            </w:r>
            <w:r>
              <w:rPr>
                <w:b/>
                <w:bCs/>
                <w:sz w:val="22"/>
                <w:szCs w:val="22"/>
                <w:lang w:val="it-IT"/>
              </w:rPr>
              <w:t>Ciele a v</w:t>
            </w:r>
            <w:r>
              <w:rPr>
                <w:b/>
                <w:bCs/>
                <w:sz w:val="22"/>
                <w:szCs w:val="22"/>
              </w:rPr>
              <w:t>ýsledný stav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jc w:val="both"/>
            </w:pPr>
            <w:r>
              <w:rPr>
                <w:sz w:val="20"/>
                <w:szCs w:val="20"/>
              </w:rPr>
              <w:t>Zabezpečenie priazniv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stavu biotopov 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pskeho významu, biotopu národn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významu, biotopov druhov ž</w:t>
            </w:r>
            <w:r>
              <w:rPr>
                <w:sz w:val="20"/>
                <w:szCs w:val="20"/>
                <w:lang w:val="it-IT"/>
              </w:rPr>
              <w:t>ivo</w:t>
            </w:r>
            <w:r>
              <w:rPr>
                <w:sz w:val="20"/>
                <w:szCs w:val="20"/>
              </w:rPr>
              <w:t>číchov 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ps</w:t>
            </w:r>
            <w:r>
              <w:rPr>
                <w:sz w:val="20"/>
                <w:szCs w:val="20"/>
              </w:rPr>
              <w:t>keho významu a biotopy druhov rastlín a ž</w:t>
            </w:r>
            <w:r>
              <w:rPr>
                <w:sz w:val="20"/>
                <w:szCs w:val="20"/>
                <w:lang w:val="it-IT"/>
              </w:rPr>
              <w:t>ivo</w:t>
            </w:r>
            <w:r>
              <w:rPr>
                <w:sz w:val="20"/>
                <w:szCs w:val="20"/>
              </w:rPr>
              <w:t>číchov národn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významu, ktor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sú predmetom ochrany navrhovan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en-US"/>
              </w:rPr>
              <w:t xml:space="preserve">ho CHA </w:t>
            </w:r>
            <w:r>
              <w:rPr>
                <w:sz w:val="20"/>
                <w:szCs w:val="20"/>
              </w:rPr>
              <w:t>Široká, a zároveň zabezpečenie plnenia medzinárodný</w:t>
            </w:r>
            <w:r>
              <w:rPr>
                <w:sz w:val="20"/>
                <w:szCs w:val="20"/>
                <w:lang w:val="de-DE"/>
              </w:rPr>
              <w:t>ch z</w:t>
            </w:r>
            <w:r>
              <w:rPr>
                <w:sz w:val="20"/>
                <w:szCs w:val="20"/>
              </w:rPr>
              <w:t>áväzkov ochrany 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pskej sústavy chrá</w:t>
            </w:r>
            <w:r>
              <w:rPr>
                <w:sz w:val="20"/>
                <w:szCs w:val="20"/>
                <w:lang w:val="de-DE"/>
              </w:rPr>
              <w:t>nen</w:t>
            </w:r>
            <w:r>
              <w:rPr>
                <w:sz w:val="20"/>
                <w:szCs w:val="20"/>
              </w:rPr>
              <w:t>ý</w:t>
            </w:r>
            <w:r>
              <w:rPr>
                <w:sz w:val="20"/>
                <w:szCs w:val="20"/>
                <w:lang w:val="de-DE"/>
              </w:rPr>
              <w:t xml:space="preserve">ch </w:t>
            </w:r>
            <w:r>
              <w:rPr>
                <w:sz w:val="20"/>
                <w:szCs w:val="20"/>
              </w:rPr>
              <w:t xml:space="preserve">území </w:t>
            </w:r>
            <w:r>
              <w:rPr>
                <w:sz w:val="20"/>
                <w:szCs w:val="20"/>
                <w:lang w:val="pt-PT"/>
              </w:rPr>
              <w:t xml:space="preserve">Natura 2000. 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  4.  Dotknut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b/>
                <w:bCs/>
                <w:sz w:val="22"/>
                <w:szCs w:val="22"/>
              </w:rPr>
              <w:t>subjekty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jc w:val="both"/>
            </w:pPr>
            <w:r>
              <w:rPr>
                <w:sz w:val="20"/>
                <w:szCs w:val="20"/>
              </w:rPr>
              <w:t>Ministerstvo obrany SR (Správa Vojensk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obvodu Záhorie), záujmov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združenia, dotknut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orgány štátnej správy, vrátane dotknutých organizácií v ich zria</w:t>
            </w:r>
            <w:r>
              <w:rPr>
                <w:rFonts w:ascii="Cambria" w:hAnsi="Cambria"/>
                <w:sz w:val="20"/>
                <w:szCs w:val="20"/>
              </w:rPr>
              <w:t>ď</w:t>
            </w:r>
            <w:r>
              <w:rPr>
                <w:sz w:val="20"/>
                <w:szCs w:val="20"/>
              </w:rPr>
              <w:t>ovacej pôsobnosti, verejnos</w:t>
            </w:r>
            <w:r>
              <w:rPr>
                <w:rFonts w:ascii="Cambria" w:hAnsi="Cambria"/>
                <w:sz w:val="20"/>
                <w:szCs w:val="20"/>
              </w:rPr>
              <w:t>ť</w:t>
            </w:r>
            <w:r>
              <w:rPr>
                <w:sz w:val="20"/>
                <w:szCs w:val="20"/>
              </w:rPr>
              <w:t>.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 xml:space="preserve">  5.  </w:t>
            </w:r>
            <w:r>
              <w:rPr>
                <w:b/>
                <w:bCs/>
                <w:sz w:val="22"/>
                <w:szCs w:val="22"/>
                <w:lang w:val="de-DE"/>
              </w:rPr>
              <w:t>Alternat</w:t>
            </w:r>
            <w:r>
              <w:rPr>
                <w:b/>
                <w:bCs/>
                <w:sz w:val="22"/>
                <w:szCs w:val="22"/>
              </w:rPr>
              <w:t>ívne riešenia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jc w:val="both"/>
            </w:pPr>
            <w:r>
              <w:rPr>
                <w:sz w:val="20"/>
                <w:szCs w:val="20"/>
                <w:lang w:val="de-DE"/>
              </w:rPr>
              <w:lastRenderedPageBreak/>
              <w:t>Alternat</w:t>
            </w:r>
            <w:r>
              <w:rPr>
                <w:sz w:val="20"/>
                <w:szCs w:val="20"/>
              </w:rPr>
              <w:t xml:space="preserve">ívne riešenie sa týka </w:t>
            </w:r>
            <w:r>
              <w:rPr>
                <w:sz w:val="20"/>
                <w:szCs w:val="20"/>
              </w:rPr>
              <w:t>celkovo vyhlásenia/nevyhlásenia CHA Široká. Dôvodom vyhlásenia CHA Široká je splnenie požiadavky vyplývajúcej z čl. 4 ods. 4 smernice 92/43/EHS v platnom znení, podľa ktor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členské štá</w:t>
            </w:r>
            <w:r>
              <w:rPr>
                <w:sz w:val="20"/>
                <w:szCs w:val="20"/>
                <w:lang w:val="en-US"/>
              </w:rPr>
              <w:t>ty ur</w:t>
            </w:r>
            <w:r>
              <w:rPr>
                <w:sz w:val="20"/>
                <w:szCs w:val="20"/>
              </w:rPr>
              <w:t>čia lokality uveden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v národnom zozname lokalí</w:t>
            </w:r>
            <w:r>
              <w:rPr>
                <w:sz w:val="20"/>
                <w:szCs w:val="20"/>
                <w:lang w:val="fr-FR"/>
              </w:rPr>
              <w:t>t 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pskeho význam</w:t>
            </w:r>
            <w:r>
              <w:rPr>
                <w:sz w:val="20"/>
                <w:szCs w:val="20"/>
              </w:rPr>
              <w:t>u ako osobitn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  <w:lang w:val="de-DE"/>
              </w:rPr>
              <w:t>chr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  <w:lang w:val="de-DE"/>
              </w:rPr>
              <w:t>nen</w:t>
            </w:r>
            <w:r>
              <w:rPr>
                <w:sz w:val="20"/>
                <w:szCs w:val="20"/>
              </w:rPr>
              <w:t>é územia a stanovia priority v oblasti ochrany a potrebn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opatrenia, najneskô</w:t>
            </w:r>
            <w:r>
              <w:rPr>
                <w:sz w:val="20"/>
                <w:szCs w:val="20"/>
                <w:lang w:val="pt-PT"/>
              </w:rPr>
              <w:t xml:space="preserve">r do </w:t>
            </w:r>
            <w:r>
              <w:rPr>
                <w:sz w:val="20"/>
                <w:szCs w:val="20"/>
              </w:rPr>
              <w:t>šiestich rokov. V prípade nevyhlásenia CHA Široká nebude splnená požiadavka na vyhlásenie a na stanovenie cieľov ochrany a opatrení na ich dosiahnutie.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Á</w:t>
            </w:r>
            <w:r>
              <w:rPr>
                <w:sz w:val="20"/>
                <w:szCs w:val="20"/>
                <w:lang w:val="it-IT"/>
              </w:rPr>
              <w:t xml:space="preserve">no </w:t>
            </w:r>
            <w:r>
              <w:rPr>
                <w:sz w:val="20"/>
                <w:szCs w:val="20"/>
              </w:rPr>
              <w:t>           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  <w:lang w:val="nl-NL"/>
              </w:rPr>
              <w:t>Nie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7.  Transpozí</w:t>
            </w:r>
            <w:r>
              <w:rPr>
                <w:b/>
                <w:bCs/>
                <w:sz w:val="22"/>
                <w:szCs w:val="22"/>
                <w:lang w:val="pt-PT"/>
              </w:rPr>
              <w:t>cia pr</w:t>
            </w:r>
            <w:r>
              <w:rPr>
                <w:b/>
                <w:bCs/>
                <w:sz w:val="22"/>
                <w:szCs w:val="22"/>
              </w:rPr>
              <w:t xml:space="preserve">áva EÚ 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</w:tbl>
    <w:p w:rsidR="00D74C2F" w:rsidRDefault="00D74C2F">
      <w:pPr>
        <w:pStyle w:val="Normlnywebov"/>
        <w:widowControl w:val="0"/>
        <w:jc w:val="center"/>
        <w:rPr>
          <w:sz w:val="22"/>
          <w:szCs w:val="22"/>
        </w:rPr>
      </w:pPr>
    </w:p>
    <w:p w:rsidR="00D74C2F" w:rsidRDefault="00D74C2F">
      <w:pPr>
        <w:pStyle w:val="Normlnywebov"/>
        <w:rPr>
          <w:sz w:val="22"/>
          <w:szCs w:val="22"/>
        </w:rPr>
      </w:pPr>
    </w:p>
    <w:p w:rsidR="00D74C2F" w:rsidRDefault="00D838D0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</w:t>
      </w:r>
      <w:r>
        <w:rPr>
          <w:sz w:val="20"/>
          <w:szCs w:val="20"/>
          <w:lang w:val="pt-PT"/>
        </w:rPr>
        <w:t>do Pl</w:t>
      </w:r>
      <w:r>
        <w:rPr>
          <w:sz w:val="20"/>
          <w:szCs w:val="20"/>
        </w:rPr>
        <w:t xml:space="preserve">ánu práce vlády Slovenskej republiky alebo Plánu        legislatívnych úloh vlády Slovenskej republiky. </w:t>
      </w:r>
    </w:p>
    <w:p w:rsidR="00D74C2F" w:rsidRDefault="00D838D0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** nepovinn</w:t>
      </w:r>
      <w:r>
        <w:rPr>
          <w:sz w:val="20"/>
          <w:szCs w:val="20"/>
          <w:lang w:val="fr-FR"/>
        </w:rPr>
        <w:t>é</w:t>
      </w:r>
    </w:p>
    <w:p w:rsidR="00D74C2F" w:rsidRDefault="00D74C2F">
      <w:pPr>
        <w:pStyle w:val="Normlnywebov"/>
        <w:rPr>
          <w:sz w:val="20"/>
          <w:szCs w:val="20"/>
        </w:rPr>
      </w:pPr>
    </w:p>
    <w:p w:rsidR="00D74C2F" w:rsidRDefault="00D74C2F">
      <w:pPr>
        <w:pStyle w:val="Normlnywebov"/>
        <w:rPr>
          <w:sz w:val="20"/>
          <w:szCs w:val="20"/>
        </w:rPr>
      </w:pPr>
    </w:p>
    <w:p w:rsidR="00D74C2F" w:rsidRDefault="00D74C2F">
      <w:pPr>
        <w:pStyle w:val="Normlnywebov"/>
        <w:rPr>
          <w:sz w:val="22"/>
          <w:szCs w:val="22"/>
        </w:rPr>
      </w:pP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3"/>
        <w:gridCol w:w="1811"/>
        <w:gridCol w:w="1811"/>
      </w:tblGrid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0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0"/>
                <w:szCs w:val="20"/>
              </w:rPr>
              <w:t>  9.   Vplyvy navrhovan</w:t>
            </w:r>
            <w:r>
              <w:rPr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b/>
                <w:bCs/>
                <w:sz w:val="20"/>
                <w:szCs w:val="20"/>
              </w:rPr>
              <w:t>ho materiálu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6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sz w:val="20"/>
                <w:szCs w:val="20"/>
              </w:rPr>
              <w:br/>
              <w:t>    z toho rozpočtovo zabezpečen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vplyvy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6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D74C2F" w:rsidRDefault="00D74C2F"/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    Áno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</w:t>
            </w:r>
            <w:r>
              <w:rPr>
                <w:sz w:val="20"/>
                <w:szCs w:val="20"/>
                <w:lang w:val="nl-NL"/>
              </w:rPr>
              <w:t>Nie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Čiastočne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6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b/>
                <w:bCs/>
                <w:sz w:val="20"/>
                <w:szCs w:val="20"/>
              </w:rPr>
              <w:t>  Vplyvy na podnikateľsk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b/>
                <w:bCs/>
                <w:sz w:val="20"/>
                <w:szCs w:val="20"/>
              </w:rPr>
              <w:t>prostredie</w:t>
            </w:r>
            <w:r>
              <w:rPr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6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D74C2F" w:rsidRDefault="00D74C2F"/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b/>
                <w:bCs/>
                <w:sz w:val="20"/>
                <w:szCs w:val="20"/>
              </w:rPr>
              <w:t>  Vplyvy na životn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b/>
                <w:bCs/>
                <w:sz w:val="20"/>
                <w:szCs w:val="20"/>
              </w:rPr>
              <w:t>prostredie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36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sz w:val="20"/>
                <w:szCs w:val="20"/>
              </w:rPr>
              <w:br/>
              <w:t xml:space="preserve">    vplyvy </w:t>
            </w:r>
            <w:r>
              <w:rPr>
                <w:sz w:val="20"/>
                <w:szCs w:val="20"/>
              </w:rPr>
              <w:t>služieb verejnej správy na občana</w:t>
            </w:r>
            <w:r>
              <w:rPr>
                <w:sz w:val="20"/>
                <w:szCs w:val="20"/>
              </w:rPr>
              <w:br/>
              <w:t>    vplyvy na procesy služieb vo verejnej</w:t>
            </w:r>
            <w:r>
              <w:rPr>
                <w:sz w:val="20"/>
                <w:szCs w:val="20"/>
              </w:rPr>
              <w:br/>
              <w:t xml:space="preserve">    </w:t>
            </w:r>
            <w:r>
              <w:rPr>
                <w:sz w:val="20"/>
                <w:szCs w:val="20"/>
                <w:lang w:val="de-DE"/>
              </w:rPr>
              <w:t>spr</w:t>
            </w:r>
            <w:r>
              <w:rPr>
                <w:sz w:val="20"/>
                <w:szCs w:val="20"/>
              </w:rPr>
              <w:t>áve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br/>
              <w:t xml:space="preserve">  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  <w:jc w:val="center"/>
        </w:trPr>
        <w:tc>
          <w:tcPr>
            <w:tcW w:w="36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D74C2F" w:rsidRDefault="00D74C2F"/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  <w:jc w:val="center"/>
        </w:trPr>
        <w:tc>
          <w:tcPr>
            <w:tcW w:w="3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 Unicode MS" w:hAnsi="Arial Unicode MS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2F" w:rsidRDefault="00D838D0"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 2" w:hAnsi="Wingdings 2"/>
                <w:sz w:val="28"/>
                <w:szCs w:val="28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</w:tbl>
    <w:p w:rsidR="00D74C2F" w:rsidRDefault="00D74C2F">
      <w:pPr>
        <w:pStyle w:val="Normlnywebov"/>
        <w:widowControl w:val="0"/>
        <w:jc w:val="center"/>
        <w:rPr>
          <w:sz w:val="22"/>
          <w:szCs w:val="22"/>
        </w:rPr>
      </w:pPr>
    </w:p>
    <w:p w:rsidR="00D74C2F" w:rsidRDefault="00D74C2F">
      <w:pPr>
        <w:pStyle w:val="Normlnywebov"/>
        <w:rPr>
          <w:sz w:val="20"/>
          <w:szCs w:val="20"/>
        </w:rPr>
      </w:pPr>
    </w:p>
    <w:p w:rsidR="00D74C2F" w:rsidRDefault="00D74C2F">
      <w:pPr>
        <w:pStyle w:val="Normlnywebov"/>
        <w:rPr>
          <w:sz w:val="22"/>
          <w:szCs w:val="22"/>
        </w:rPr>
      </w:pP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7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pStyle w:val="Normlnywebov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Predkladaným návrhom nariadenia vlády Slovenskej republiky, ktorým sa vyhlasuje chrá</w:t>
            </w:r>
            <w:r>
              <w:rPr>
                <w:sz w:val="20"/>
                <w:szCs w:val="20"/>
              </w:rPr>
              <w:t>nen</w:t>
            </w:r>
            <w:r>
              <w:rPr>
                <w:sz w:val="20"/>
                <w:szCs w:val="20"/>
              </w:rPr>
              <w:t>ý areál Široká, sa za chrá</w:t>
            </w:r>
            <w:r>
              <w:rPr>
                <w:sz w:val="20"/>
                <w:szCs w:val="20"/>
              </w:rPr>
              <w:t>nen</w:t>
            </w:r>
            <w:r>
              <w:rPr>
                <w:sz w:val="20"/>
                <w:szCs w:val="20"/>
              </w:rPr>
              <w:t>é územie vyhlási lokalita 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pskeho významu, ktorá je súčasť</w:t>
            </w:r>
            <w:r>
              <w:rPr>
                <w:sz w:val="20"/>
                <w:szCs w:val="20"/>
                <w:lang w:val="fr-FR"/>
              </w:rPr>
              <w:t>ou 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pskej sústavy chrá</w:t>
            </w:r>
            <w:r>
              <w:rPr>
                <w:sz w:val="20"/>
                <w:szCs w:val="20"/>
              </w:rPr>
              <w:t>nen</w:t>
            </w:r>
            <w:r>
              <w:rPr>
                <w:sz w:val="20"/>
                <w:szCs w:val="20"/>
              </w:rPr>
              <w:t>ý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 xml:space="preserve">území </w:t>
            </w:r>
            <w:r>
              <w:rPr>
                <w:sz w:val="20"/>
                <w:szCs w:val="20"/>
                <w:lang w:val="pt-PT"/>
              </w:rPr>
              <w:t>Natura 2000. V</w:t>
            </w:r>
            <w:r>
              <w:rPr>
                <w:sz w:val="20"/>
                <w:szCs w:val="20"/>
              </w:rPr>
              <w:t>ýnosom Ministerstva životn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 xml:space="preserve">ho prostredia Slovenskej republiky č. 3/2004-5.1 zo 14. júla 2004, ktorým sa vydáva národný zoznam území </w:t>
            </w:r>
            <w:r>
              <w:rPr>
                <w:sz w:val="20"/>
                <w:szCs w:val="20"/>
                <w:lang w:val="fr-FR"/>
              </w:rPr>
              <w:t>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pskeho významu, bol navrhovaný </w:t>
            </w:r>
            <w:r>
              <w:rPr>
                <w:sz w:val="20"/>
                <w:szCs w:val="20"/>
              </w:rPr>
              <w:t xml:space="preserve">CHA </w:t>
            </w:r>
            <w:r>
              <w:rPr>
                <w:sz w:val="20"/>
                <w:szCs w:val="20"/>
              </w:rPr>
              <w:t xml:space="preserve">Široká zaradený </w:t>
            </w:r>
            <w:r>
              <w:rPr>
                <w:sz w:val="20"/>
                <w:szCs w:val="20"/>
                <w:lang w:val="pt-PT"/>
              </w:rPr>
              <w:t>do n</w:t>
            </w:r>
            <w:r>
              <w:rPr>
                <w:sz w:val="20"/>
                <w:szCs w:val="20"/>
              </w:rPr>
              <w:t>árodn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 xml:space="preserve">ho zoznamu území </w:t>
            </w:r>
            <w:r>
              <w:rPr>
                <w:sz w:val="20"/>
                <w:szCs w:val="20"/>
                <w:lang w:val="fr-FR"/>
              </w:rPr>
              <w:t>eur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pskeho významu </w:t>
            </w:r>
            <w:r>
              <w:rPr>
                <w:sz w:val="20"/>
                <w:szCs w:val="20"/>
              </w:rPr>
              <w:t>pod označením SKUEV0119 Široká.</w:t>
            </w:r>
          </w:p>
          <w:p w:rsidR="00D74C2F" w:rsidRDefault="00D838D0">
            <w:pPr>
              <w:pStyle w:val="Normlnywebov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Zámer vyhlásiť </w:t>
            </w:r>
            <w:r>
              <w:rPr>
                <w:sz w:val="20"/>
                <w:szCs w:val="20"/>
              </w:rPr>
              <w:t xml:space="preserve">CHA </w:t>
            </w:r>
            <w:r>
              <w:rPr>
                <w:sz w:val="20"/>
                <w:szCs w:val="20"/>
              </w:rPr>
              <w:t>Široká bol v zmysle § 50 zákona č. 543/2002 Z. z. o ochrane prírody a krajiny v znení neskorších predpisov (ďalej len „zákon</w:t>
            </w:r>
            <w:r>
              <w:rPr>
                <w:sz w:val="20"/>
                <w:szCs w:val="20"/>
                <w:rtl/>
                <w:lang w:val="ar-SA"/>
              </w:rPr>
              <w:t>“</w:t>
            </w:r>
            <w:r>
              <w:rPr>
                <w:sz w:val="20"/>
                <w:szCs w:val="20"/>
              </w:rPr>
              <w:t>) oznámený Okresným úradom Bratislava. Zámer bol spracovaný podľa projektu ochra</w:t>
            </w:r>
            <w:r>
              <w:rPr>
                <w:sz w:val="20"/>
                <w:szCs w:val="20"/>
              </w:rPr>
              <w:t>ny, ktorý je odborným podkladom na vyhlásenie chrá</w:t>
            </w:r>
            <w:r>
              <w:rPr>
                <w:sz w:val="20"/>
                <w:szCs w:val="20"/>
              </w:rPr>
              <w:t>nen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územia (§ 54 ods. 13 zákona) a obsahuje základn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inform</w:t>
            </w:r>
            <w:r>
              <w:rPr>
                <w:sz w:val="20"/>
                <w:szCs w:val="20"/>
              </w:rPr>
              <w:t>ácie o území, ciele ochrany vymedzen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  <w:lang w:val="it-IT"/>
              </w:rPr>
              <w:t>pre chr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nen</w:t>
            </w:r>
            <w:r>
              <w:rPr>
                <w:sz w:val="20"/>
                <w:szCs w:val="20"/>
              </w:rPr>
              <w:t>é územie, návrh vhodn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manažmentu na dosiahnutie cieľov ako aj obmedzenia vyplývajúce zo stan</w:t>
            </w:r>
            <w:r>
              <w:rPr>
                <w:sz w:val="20"/>
                <w:szCs w:val="20"/>
              </w:rPr>
              <w:t>oven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 xml:space="preserve">ho stupňa ochrany podľa zákona. Pripomienky k zámeru vyhlásiť </w:t>
            </w:r>
            <w:r>
              <w:rPr>
                <w:sz w:val="20"/>
                <w:szCs w:val="20"/>
              </w:rPr>
              <w:t xml:space="preserve">CHA </w:t>
            </w:r>
            <w:r>
              <w:rPr>
                <w:sz w:val="20"/>
                <w:szCs w:val="20"/>
              </w:rPr>
              <w:t>Široká vznesen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zo strany dotknutých subjektov boli prerokovan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a zapracovan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  <w:lang w:val="pt-PT"/>
              </w:rPr>
              <w:t>do materi</w:t>
            </w:r>
            <w:r>
              <w:rPr>
                <w:sz w:val="20"/>
                <w:szCs w:val="20"/>
              </w:rPr>
              <w:t>álu.</w:t>
            </w:r>
          </w:p>
          <w:p w:rsidR="00D74C2F" w:rsidRDefault="00D838D0">
            <w:pPr>
              <w:pStyle w:val="Normlnywebov"/>
              <w:spacing w:after="120"/>
              <w:jc w:val="both"/>
            </w:pPr>
            <w:r>
              <w:rPr>
                <w:sz w:val="20"/>
                <w:szCs w:val="20"/>
              </w:rPr>
              <w:t xml:space="preserve">CHA </w:t>
            </w:r>
            <w:r>
              <w:rPr>
                <w:sz w:val="20"/>
                <w:szCs w:val="20"/>
              </w:rPr>
              <w:t>Široká leží vo vojenskom obvode Záhorie. V navrhovanom CHA Široká nie sú realizované činn</w:t>
            </w:r>
            <w:r>
              <w:rPr>
                <w:sz w:val="20"/>
                <w:szCs w:val="20"/>
              </w:rPr>
              <w:t>osti nad rámec bežn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obhospodarovania pozemkov a ani vyhlásením CHA Široká nedô</w:t>
            </w:r>
            <w:r>
              <w:rPr>
                <w:sz w:val="20"/>
                <w:szCs w:val="20"/>
                <w:lang w:val="nl-NL"/>
              </w:rPr>
              <w:t>jde k</w:t>
            </w:r>
            <w:r>
              <w:rPr>
                <w:sz w:val="20"/>
                <w:szCs w:val="20"/>
              </w:rPr>
              <w:t> obmedzeniu bežn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obhospodarovania. Pri využí</w:t>
            </w:r>
            <w:r>
              <w:rPr>
                <w:sz w:val="20"/>
                <w:szCs w:val="20"/>
                <w:lang w:val="nl-NL"/>
              </w:rPr>
              <w:t>van</w:t>
            </w:r>
            <w:r>
              <w:rPr>
                <w:sz w:val="20"/>
                <w:szCs w:val="20"/>
              </w:rPr>
              <w:t>í územia pre potreby obrany a bezpečnosti štátu nedochádza k stretom záujmov s cieľmi ochrany CHA Široká, prá</w:t>
            </w:r>
            <w:r>
              <w:rPr>
                <w:sz w:val="20"/>
                <w:szCs w:val="20"/>
              </w:rPr>
              <w:t>ve naopak, zachovanie uvedenej činnosti je pre územie kľúčov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. Priaznivý stav predmetov ochrany CHA Široká závisí aj od obhospodarovania človekom, keďže prírodn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  <w:lang w:val="es-ES_tradnl"/>
              </w:rPr>
              <w:t>disturbancie u</w:t>
            </w:r>
            <w:r>
              <w:rPr>
                <w:sz w:val="20"/>
                <w:szCs w:val="20"/>
              </w:rPr>
              <w:t>ž na týchto plochách neprebiehajú. Štátna ochrana prírody Slovenskej republiky (</w:t>
            </w:r>
            <w:r>
              <w:rPr>
                <w:sz w:val="20"/>
                <w:szCs w:val="20"/>
              </w:rPr>
              <w:t>ŠOP SR) a jej organizačná zložka Sprá</w:t>
            </w:r>
            <w:r>
              <w:rPr>
                <w:sz w:val="20"/>
                <w:szCs w:val="20"/>
                <w:lang w:val="en-US"/>
              </w:rPr>
              <w:t>va Chr</w:t>
            </w:r>
            <w:r>
              <w:rPr>
                <w:sz w:val="20"/>
                <w:szCs w:val="20"/>
              </w:rPr>
              <w:t>ánenej krajinnej oblasti Záhorie bude zodpovedná za vykonanie potrebných opatrení, ktor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budú pozostávať z výrubu náletových drevín (borovíc), odvozu vyrúbanej biomasy na vopred určen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miesta, kde sa zoštiepkujú a</w:t>
            </w:r>
            <w:r>
              <w:rPr>
                <w:sz w:val="20"/>
                <w:szCs w:val="20"/>
              </w:rPr>
              <w:t xml:space="preserve"> odvezú mimo dotknutú plochu. Plochy sa následne budú ruč</w:t>
            </w:r>
            <w:r>
              <w:rPr>
                <w:sz w:val="20"/>
                <w:szCs w:val="20"/>
                <w:lang w:val="fr-FR"/>
              </w:rPr>
              <w:t>ne do</w:t>
            </w:r>
            <w:r>
              <w:rPr>
                <w:sz w:val="20"/>
                <w:szCs w:val="20"/>
              </w:rPr>
              <w:t>čisťovať (ukladanie na hromady) od zvyškov po ťažbe, ktor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zostali po výruboch a nebolo ich možn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zozbierať mechanizáciou. Zvyšky po ťažbe sa následne odvezú mimo plochu. V CHA Široká sa budú ob</w:t>
            </w:r>
            <w:r>
              <w:rPr>
                <w:sz w:val="20"/>
                <w:szCs w:val="20"/>
              </w:rPr>
              <w:t>novovať protipožiarne pásy, ktor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sa nachádzajú po vonkajšom obvode územia. Manažment na protipožiarnych pásoch bude spočívať v odstrá</w:t>
            </w:r>
            <w:r>
              <w:rPr>
                <w:sz w:val="20"/>
                <w:szCs w:val="20"/>
              </w:rPr>
              <w:t>nen</w:t>
            </w:r>
            <w:r>
              <w:rPr>
                <w:sz w:val="20"/>
                <w:szCs w:val="20"/>
              </w:rPr>
              <w:t>í náletových drevín a plytkej orbe, tak aby otvorený piesok plnil tlmiacu funkciu pri prípadnom vzniku požiaru. Manažme</w:t>
            </w:r>
            <w:r>
              <w:rPr>
                <w:sz w:val="20"/>
                <w:szCs w:val="20"/>
              </w:rPr>
              <w:t xml:space="preserve">nt na protipožiarnych pásoch bude totožný ako na iných dopadových plochách vo Vojenskom obvode Záhorie. </w:t>
            </w:r>
            <w:r>
              <w:rPr>
                <w:sz w:val="16"/>
                <w:szCs w:val="16"/>
              </w:rPr>
              <w:t xml:space="preserve"> </w:t>
            </w:r>
          </w:p>
          <w:p w:rsidR="00D74C2F" w:rsidRDefault="00D838D0">
            <w:pPr>
              <w:pStyle w:val="Normlnywebov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koľvek opatrenia ochrany prírody (potrebn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na dosiahnutie cieľov ochrany CHA Široká) budú vopred konzultovan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s rezortom obrany budú vykonan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len p</w:t>
            </w:r>
            <w:r>
              <w:rPr>
                <w:sz w:val="20"/>
                <w:szCs w:val="20"/>
              </w:rPr>
              <w:t>o vzájomnej dohode ŠOP SR a </w:t>
            </w:r>
            <w:r>
              <w:rPr>
                <w:sz w:val="20"/>
                <w:szCs w:val="20"/>
              </w:rPr>
              <w:t>spr</w:t>
            </w:r>
            <w:r>
              <w:rPr>
                <w:sz w:val="20"/>
                <w:szCs w:val="20"/>
              </w:rPr>
              <w:t xml:space="preserve">ávcu územia. </w:t>
            </w:r>
          </w:p>
          <w:p w:rsidR="00D74C2F" w:rsidRDefault="00D838D0">
            <w:pPr>
              <w:pStyle w:val="Normlnywebov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 predovšetkým o vyššie uveden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opatrenie na revitalizáciu vzácnych biotopov v dopadovej ploche vojensk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obvodu využívanej od r. 1929 ako letecká strelnica. Pred vykonaní</w:t>
            </w:r>
            <w:r>
              <w:rPr>
                <w:sz w:val="20"/>
                <w:szCs w:val="20"/>
                <w:lang w:val="sv-SE"/>
              </w:rPr>
              <w:t>m mana</w:t>
            </w:r>
            <w:r>
              <w:rPr>
                <w:sz w:val="20"/>
                <w:szCs w:val="20"/>
              </w:rPr>
              <w:t>žmentu musí byť v spoluprá</w:t>
            </w:r>
            <w:r>
              <w:rPr>
                <w:sz w:val="20"/>
                <w:szCs w:val="20"/>
                <w:lang w:val="it-IT"/>
              </w:rPr>
              <w:t>ci s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MO SR zabezpečen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vyhľadávanie nevybuchnutej munície a ničenie munície. Finančn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prostriedky na vykonanie uvedený</w:t>
            </w:r>
            <w:r>
              <w:rPr>
                <w:sz w:val="20"/>
                <w:szCs w:val="20"/>
                <w:lang w:val="en-US"/>
              </w:rPr>
              <w:t>ch mana</w:t>
            </w:r>
            <w:r>
              <w:rPr>
                <w:sz w:val="20"/>
                <w:szCs w:val="20"/>
              </w:rPr>
              <w:t>žmentových opatrení zabezpečí Ministerstvo životn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prostredia Slovenskej republiky (MŽP SR) resp. ŠOP SR, pričom finančn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 xml:space="preserve">prostriedky </w:t>
            </w:r>
            <w:r>
              <w:rPr>
                <w:sz w:val="20"/>
                <w:szCs w:val="20"/>
              </w:rPr>
              <w:t>budú pravdepodobne zabezpečen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v rámci revitalizačn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projektu, ktor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financovanie sa predpokladá z finančn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nástroja LIFE. Za zabezpečenie finančných prostriedkov nebude zodpovedn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Ministerstvo obrany Slovenskej republiky.</w:t>
            </w:r>
          </w:p>
          <w:p w:rsidR="00D74C2F" w:rsidRDefault="00D838D0">
            <w:pPr>
              <w:pStyle w:val="Normlnywebov"/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Opatrenia v oblasti </w:t>
            </w:r>
            <w:r>
              <w:rPr>
                <w:sz w:val="20"/>
                <w:szCs w:val="20"/>
              </w:rPr>
              <w:t>monitoringu biotopov a druhov budú vykonávať zamestnanci ŠOP SR v rámci pracovnej náplne a rovnako ako dosiaľ, po vzájomnej dohode s rezortom obrany.</w:t>
            </w:r>
          </w:p>
          <w:p w:rsidR="00D74C2F" w:rsidRDefault="00D838D0">
            <w:pPr>
              <w:pStyle w:val="Normlnywebov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 </w:t>
            </w:r>
            <w:r>
              <w:rPr>
                <w:sz w:val="20"/>
                <w:szCs w:val="20"/>
              </w:rPr>
              <w:t>Široká bude po jeho vyhlásení zapísaný v katastri nehnuteľností (§ 51 ods. 5 zákona), v Štátnom zoznam</w:t>
            </w:r>
            <w:r>
              <w:rPr>
                <w:sz w:val="20"/>
                <w:szCs w:val="20"/>
              </w:rPr>
              <w:t>e osobitne chrá</w:t>
            </w:r>
            <w:r>
              <w:rPr>
                <w:sz w:val="20"/>
                <w:szCs w:val="20"/>
              </w:rPr>
              <w:t>nen</w:t>
            </w:r>
            <w:r>
              <w:rPr>
                <w:sz w:val="20"/>
                <w:szCs w:val="20"/>
              </w:rPr>
              <w:t>ý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častí prírody a krajiny (§ 51 ods. 4 zákona) a pre potreby praxe budú na Okresnom úrade Malacky uložen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grafick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podklady, v ktorých je zakreslená hranica CHA Široká. Aj po vyhlásení CHA Široká bude dané územie určen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na účely zabezpe</w:t>
            </w:r>
            <w:r>
              <w:rPr>
                <w:sz w:val="20"/>
                <w:szCs w:val="20"/>
              </w:rPr>
              <w:t>čovania úloh obrany a bezpečnosti štátu.</w:t>
            </w:r>
          </w:p>
          <w:p w:rsidR="00D74C2F" w:rsidRDefault="00D838D0">
            <w:pPr>
              <w:pStyle w:val="Normlnywebov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hodnotenia vplyvov na zamestnanosť vyplýva, že vyhlásenie CHA Široká nebude mať výrazný vplyv na zamestnanosť. V prípade realizácie navrhnutý</w:t>
            </w:r>
            <w:r>
              <w:rPr>
                <w:sz w:val="20"/>
                <w:szCs w:val="20"/>
                <w:lang w:val="en-US"/>
              </w:rPr>
              <w:t>ch mana</w:t>
            </w:r>
            <w:r>
              <w:rPr>
                <w:sz w:val="20"/>
                <w:szCs w:val="20"/>
              </w:rPr>
              <w:t>žmentových opatrení a zabezpečenia ich finančn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krytia napr. z </w:t>
            </w:r>
            <w:r>
              <w:rPr>
                <w:sz w:val="20"/>
                <w:szCs w:val="20"/>
                <w:lang w:val="en-US"/>
              </w:rPr>
              <w:t>Environment</w:t>
            </w:r>
            <w:r>
              <w:rPr>
                <w:sz w:val="20"/>
                <w:szCs w:val="20"/>
              </w:rPr>
              <w:t>álneho fondu resp. z projektov, by mohlo dôjsť k pozitívnemu vplyvu na zamestnanosť.</w:t>
            </w:r>
          </w:p>
          <w:p w:rsidR="00D74C2F" w:rsidRDefault="00D838D0">
            <w:pPr>
              <w:pStyle w:val="Normlnywebov"/>
              <w:spacing w:after="120"/>
              <w:jc w:val="both"/>
            </w:pPr>
            <w:r>
              <w:rPr>
                <w:sz w:val="20"/>
                <w:szCs w:val="20"/>
              </w:rPr>
              <w:t>Na základe  uvedených skutočností MŽP SR vyhodnotilo, že vyhlásenie CHA Široká nebude mať vplyv na podnikateľsk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prostredie.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sz w:val="20"/>
                <w:szCs w:val="20"/>
              </w:rPr>
              <w:t>Ing. Janka Guzmová, sekcia ochrany prírody, biodiverzity a krajiny MŽP SR (janka.guzmova@enviro.gov.sk). 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pStyle w:val="Normlnywebov"/>
            </w:pPr>
            <w:r>
              <w:rPr>
                <w:sz w:val="20"/>
                <w:szCs w:val="20"/>
              </w:rPr>
              <w:lastRenderedPageBreak/>
              <w:t>Dolo</w:t>
            </w:r>
            <w:r>
              <w:rPr>
                <w:sz w:val="20"/>
                <w:szCs w:val="20"/>
              </w:rPr>
              <w:t>žka vplyvov bola vypracovaná v spoluprá</w:t>
            </w:r>
            <w:r>
              <w:rPr>
                <w:sz w:val="20"/>
                <w:szCs w:val="20"/>
                <w:lang w:val="it-IT"/>
              </w:rPr>
              <w:t xml:space="preserve">ci so </w:t>
            </w:r>
            <w:r>
              <w:rPr>
                <w:sz w:val="20"/>
                <w:szCs w:val="20"/>
              </w:rPr>
              <w:t>ŠOP SR (marta.mutnanova@sopsr.sk).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r>
              <w:rPr>
                <w:b/>
                <w:bCs/>
                <w:sz w:val="22"/>
                <w:szCs w:val="22"/>
              </w:rPr>
              <w:t>  13.  Stanovisko Komisie pre posudzovanie vybran</w:t>
            </w:r>
            <w:r>
              <w:rPr>
                <w:b/>
                <w:bCs/>
                <w:sz w:val="22"/>
                <w:szCs w:val="22"/>
              </w:rPr>
              <w:t>ých vplyvov z PPK</w:t>
            </w:r>
          </w:p>
        </w:tc>
      </w:tr>
      <w:tr w:rsidR="00D74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/>
          <w:jc w:val="center"/>
        </w:trPr>
        <w:tc>
          <w:tcPr>
            <w:tcW w:w="9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2F" w:rsidRDefault="00D838D0">
            <w:pPr>
              <w:pStyle w:val="Normlnyweb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Stála pracovná komisia pre posudzovanie vybraných vplyvov neuplatnila v stanovisku č</w:t>
            </w:r>
            <w:r>
              <w:rPr>
                <w:sz w:val="20"/>
                <w:szCs w:val="20"/>
                <w:lang w:val="nl-NL"/>
              </w:rPr>
              <w:t>. 140/2020 zo d</w:t>
            </w:r>
            <w:r>
              <w:rPr>
                <w:sz w:val="20"/>
                <w:szCs w:val="20"/>
              </w:rPr>
              <w:t>ňa 19.10.2020 k </w:t>
            </w:r>
            <w:r>
              <w:rPr>
                <w:sz w:val="20"/>
                <w:szCs w:val="20"/>
                <w:lang w:val="en-US"/>
              </w:rPr>
              <w:t>materi</w:t>
            </w:r>
            <w:r>
              <w:rPr>
                <w:sz w:val="20"/>
                <w:szCs w:val="20"/>
              </w:rPr>
              <w:t>álu žiadne pripomienky a odporúčania.</w:t>
            </w:r>
          </w:p>
          <w:p w:rsidR="00D74C2F" w:rsidRDefault="00D838D0">
            <w:pPr>
              <w:pStyle w:val="Normlnyweb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74C2F" w:rsidRDefault="00D838D0">
            <w:pPr>
              <w:pStyle w:val="Normlnyweb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Stála pracovná komisia na posudzovanie vybraných vplyvov vyjadruje </w:t>
            </w:r>
            <w:r>
              <w:rPr>
                <w:b/>
                <w:bCs/>
                <w:sz w:val="20"/>
                <w:szCs w:val="20"/>
              </w:rPr>
              <w:t>súhlasn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b/>
                <w:bCs/>
                <w:sz w:val="20"/>
                <w:szCs w:val="20"/>
              </w:rPr>
              <w:t>stanovisko</w:t>
            </w:r>
            <w:r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  <w:lang w:val="en-US"/>
              </w:rPr>
              <w:t>materi</w:t>
            </w:r>
            <w:r>
              <w:rPr>
                <w:sz w:val="20"/>
                <w:szCs w:val="20"/>
              </w:rPr>
              <w:t>álom predloženým na predbežn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pripomienkov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konanie.</w:t>
            </w:r>
          </w:p>
          <w:p w:rsidR="00D74C2F" w:rsidRDefault="00D838D0">
            <w:pPr>
              <w:pStyle w:val="Normlnyweb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74C2F" w:rsidRDefault="00D838D0">
            <w:r>
              <w:rPr>
                <w:b/>
                <w:bCs/>
                <w:sz w:val="20"/>
                <w:szCs w:val="20"/>
              </w:rPr>
              <w:t>Poznámka</w:t>
            </w:r>
            <w:r>
              <w:rPr>
                <w:sz w:val="20"/>
                <w:szCs w:val="20"/>
              </w:rPr>
              <w:t>: Predkladateľ zapracuje pripomienky a odporúčania na úpravu a uvedie stanovisko Komisie do doložky vybraných vplyvov spolu s vyhodnotením pripomienok. </w:t>
            </w:r>
          </w:p>
        </w:tc>
      </w:tr>
    </w:tbl>
    <w:p w:rsidR="00D74C2F" w:rsidRDefault="00D74C2F">
      <w:pPr>
        <w:pStyle w:val="Normlnywebov"/>
        <w:widowControl w:val="0"/>
        <w:jc w:val="center"/>
      </w:pPr>
    </w:p>
    <w:sectPr w:rsidR="00D74C2F"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D0" w:rsidRDefault="00D838D0">
      <w:r>
        <w:separator/>
      </w:r>
    </w:p>
  </w:endnote>
  <w:endnote w:type="continuationSeparator" w:id="0">
    <w:p w:rsidR="00D838D0" w:rsidRDefault="00D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D0" w:rsidRDefault="00D838D0">
      <w:r>
        <w:separator/>
      </w:r>
    </w:p>
  </w:footnote>
  <w:footnote w:type="continuationSeparator" w:id="0">
    <w:p w:rsidR="00D838D0" w:rsidRDefault="00D8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F"/>
    <w:rsid w:val="00AC39F9"/>
    <w:rsid w:val="00D74C2F"/>
    <w:rsid w:val="00D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B244-4402-47C7-8DA6-F59F328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ywebov">
    <w:name w:val="Normal (Web)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Kaiserová Dominika</dc:creator>
  <cp:lastModifiedBy>Kaiserová Dominika</cp:lastModifiedBy>
  <cp:revision>2</cp:revision>
  <dcterms:created xsi:type="dcterms:W3CDTF">2021-01-13T09:06:00Z</dcterms:created>
  <dcterms:modified xsi:type="dcterms:W3CDTF">2021-01-13T09:06:00Z</dcterms:modified>
</cp:coreProperties>
</file>