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75" w:rsidRPr="00DC4539" w:rsidRDefault="00F33775" w:rsidP="00F33775">
      <w:pPr>
        <w:pStyle w:val="Normlnywebov"/>
        <w:spacing w:before="120" w:after="0" w:line="276" w:lineRule="auto"/>
        <w:rPr>
          <w:b/>
          <w:bCs/>
          <w:szCs w:val="22"/>
        </w:rPr>
      </w:pPr>
      <w:r w:rsidRPr="00DC4539">
        <w:rPr>
          <w:b/>
          <w:bCs/>
          <w:caps/>
          <w:spacing w:val="30"/>
          <w:szCs w:val="22"/>
        </w:rPr>
        <w:t>DOLOŽKA ZLUČITEĽNOSTI</w:t>
      </w:r>
    </w:p>
    <w:p w:rsidR="00F33775" w:rsidRPr="00DC4539" w:rsidRDefault="00F33775" w:rsidP="00F33775">
      <w:pPr>
        <w:pStyle w:val="Normlnywebov"/>
        <w:spacing w:before="120" w:after="0" w:line="276" w:lineRule="auto"/>
        <w:rPr>
          <w:szCs w:val="22"/>
        </w:rPr>
      </w:pPr>
      <w:r w:rsidRPr="00DC4539">
        <w:rPr>
          <w:b/>
          <w:bCs/>
          <w:szCs w:val="22"/>
        </w:rPr>
        <w:t>návrhu zákona</w:t>
      </w:r>
      <w:r>
        <w:rPr>
          <w:b/>
          <w:bCs/>
          <w:szCs w:val="22"/>
        </w:rPr>
        <w:t xml:space="preserve"> </w:t>
      </w:r>
      <w:r w:rsidRPr="00DC4539">
        <w:rPr>
          <w:b/>
          <w:bCs/>
          <w:szCs w:val="22"/>
        </w:rPr>
        <w:t>s právom Európskej únie</w:t>
      </w:r>
    </w:p>
    <w:p w:rsidR="00F33775" w:rsidRPr="00DC4539" w:rsidRDefault="00F33775" w:rsidP="00F33775">
      <w:pPr>
        <w:pStyle w:val="Normlnywebov"/>
        <w:spacing w:before="120" w:after="0" w:line="276" w:lineRule="auto"/>
        <w:jc w:val="both"/>
        <w:rPr>
          <w:b/>
          <w:bCs/>
          <w:szCs w:val="22"/>
        </w:rPr>
      </w:pPr>
      <w:r w:rsidRPr="00DC4539">
        <w:rPr>
          <w:szCs w:val="22"/>
        </w:rPr>
        <w:t> </w:t>
      </w:r>
    </w:p>
    <w:p w:rsidR="00F33775" w:rsidRPr="00DC4539" w:rsidRDefault="00F33775" w:rsidP="00F33775">
      <w:pPr>
        <w:pStyle w:val="Normlnywebov"/>
        <w:spacing w:before="120" w:after="0" w:line="276" w:lineRule="auto"/>
        <w:jc w:val="both"/>
        <w:rPr>
          <w:color w:val="C9211E"/>
          <w:szCs w:val="22"/>
        </w:rPr>
      </w:pPr>
      <w:r w:rsidRPr="00DC4539">
        <w:rPr>
          <w:b/>
          <w:bCs/>
          <w:szCs w:val="22"/>
        </w:rPr>
        <w:t>1. Navrhovateľ zákona:</w:t>
      </w:r>
      <w:r w:rsidR="000126FC">
        <w:rPr>
          <w:b/>
          <w:bCs/>
          <w:szCs w:val="22"/>
        </w:rPr>
        <w:t xml:space="preserve"> </w:t>
      </w:r>
      <w:r>
        <w:rPr>
          <w:szCs w:val="22"/>
        </w:rPr>
        <w:t xml:space="preserve">skupina </w:t>
      </w:r>
      <w:r w:rsidRPr="00DC4539">
        <w:rPr>
          <w:color w:val="000000"/>
          <w:szCs w:val="22"/>
        </w:rPr>
        <w:t>poslanc</w:t>
      </w:r>
      <w:r>
        <w:rPr>
          <w:color w:val="000000"/>
          <w:szCs w:val="22"/>
        </w:rPr>
        <w:t>ov</w:t>
      </w:r>
      <w:r w:rsidR="000126FC">
        <w:rPr>
          <w:color w:val="000000"/>
          <w:szCs w:val="22"/>
        </w:rPr>
        <w:t xml:space="preserve"> </w:t>
      </w:r>
      <w:r w:rsidRPr="00DC4539">
        <w:rPr>
          <w:color w:val="000000"/>
          <w:szCs w:val="22"/>
        </w:rPr>
        <w:t>Národnej rady Slovenskej republiky</w:t>
      </w:r>
    </w:p>
    <w:p w:rsidR="00F33775" w:rsidRPr="00DC4539" w:rsidRDefault="00F33775" w:rsidP="00F33775">
      <w:pPr>
        <w:spacing w:before="120" w:line="276" w:lineRule="auto"/>
        <w:jc w:val="both"/>
        <w:rPr>
          <w:szCs w:val="22"/>
        </w:rPr>
      </w:pPr>
      <w:r w:rsidRPr="00DC4539">
        <w:rPr>
          <w:b/>
          <w:bCs/>
          <w:szCs w:val="22"/>
        </w:rPr>
        <w:t>2. Názov návrhu zákona:</w:t>
      </w:r>
      <w:bookmarkStart w:id="0" w:name="__DdeLink__67868_1258658721"/>
      <w:r w:rsidR="000126FC">
        <w:rPr>
          <w:b/>
          <w:bCs/>
          <w:szCs w:val="22"/>
        </w:rPr>
        <w:t xml:space="preserve"> </w:t>
      </w:r>
      <w:bookmarkStart w:id="1" w:name="_GoBack"/>
      <w:bookmarkEnd w:id="1"/>
      <w:r w:rsidRPr="00DC4539">
        <w:rPr>
          <w:color w:val="000000"/>
          <w:szCs w:val="22"/>
        </w:rPr>
        <w:t xml:space="preserve">návrh </w:t>
      </w:r>
      <w:bookmarkEnd w:id="0"/>
      <w:r w:rsidRPr="00DC4539">
        <w:rPr>
          <w:bCs/>
          <w:color w:val="000000"/>
          <w:szCs w:val="22"/>
        </w:rPr>
        <w:t xml:space="preserve">zákona, </w:t>
      </w:r>
      <w:r w:rsidRPr="004A0FFE">
        <w:rPr>
          <w:bCs/>
        </w:rPr>
        <w:t>ktorým sa mení a dopĺňa zákon č. 302/2001 Z. z. o samospráve vyšších územných celkov (zákon o samosprávnych krajoch) v znení neskorších predpisov</w:t>
      </w:r>
    </w:p>
    <w:p w:rsidR="00F33775" w:rsidRPr="00DC4539" w:rsidRDefault="00F33775" w:rsidP="00F33775">
      <w:pPr>
        <w:spacing w:before="120" w:line="276" w:lineRule="auto"/>
        <w:jc w:val="both"/>
        <w:rPr>
          <w:bCs/>
          <w:color w:val="000000"/>
          <w:szCs w:val="22"/>
        </w:rPr>
      </w:pPr>
    </w:p>
    <w:p w:rsidR="00F33775" w:rsidRPr="00DC4539" w:rsidRDefault="00F33775" w:rsidP="00F33775">
      <w:pPr>
        <w:pStyle w:val="Normlnywebov"/>
        <w:spacing w:before="120" w:after="0" w:line="276" w:lineRule="auto"/>
        <w:jc w:val="both"/>
        <w:rPr>
          <w:szCs w:val="22"/>
        </w:rPr>
      </w:pPr>
      <w:r w:rsidRPr="00DC4539">
        <w:rPr>
          <w:b/>
          <w:bCs/>
          <w:szCs w:val="22"/>
        </w:rPr>
        <w:t>3. Predmet návrhu zákona:</w:t>
      </w:r>
    </w:p>
    <w:p w:rsidR="00F33775" w:rsidRPr="00436D71" w:rsidRDefault="00F33775" w:rsidP="00F33775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szCs w:val="22"/>
        </w:rPr>
      </w:pPr>
      <w:r w:rsidRPr="00436D71">
        <w:rPr>
          <w:bCs/>
          <w:szCs w:val="22"/>
        </w:rPr>
        <w:t>nie je upravený v primárnom práve Európskej únie,</w:t>
      </w:r>
    </w:p>
    <w:p w:rsidR="00F33775" w:rsidRPr="00436D71" w:rsidRDefault="00F33775" w:rsidP="00F33775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bCs/>
          <w:szCs w:val="22"/>
        </w:rPr>
      </w:pPr>
      <w:r w:rsidRPr="00436D71">
        <w:rPr>
          <w:szCs w:val="22"/>
        </w:rPr>
        <w:t>nie je upravený v sekundárnom práve Európskej únie,</w:t>
      </w:r>
    </w:p>
    <w:p w:rsidR="00F33775" w:rsidRPr="00436D71" w:rsidRDefault="00F33775" w:rsidP="00F33775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b/>
          <w:bCs/>
          <w:szCs w:val="22"/>
        </w:rPr>
      </w:pPr>
      <w:r w:rsidRPr="00436D71">
        <w:rPr>
          <w:bCs/>
          <w:szCs w:val="22"/>
        </w:rPr>
        <w:t>nie je obsiahnutý v judikatúre Súdneho dvora Európskej únie.</w:t>
      </w:r>
      <w:r w:rsidRPr="00436D71">
        <w:rPr>
          <w:szCs w:val="22"/>
        </w:rPr>
        <w:t> </w:t>
      </w:r>
    </w:p>
    <w:p w:rsidR="00F33775" w:rsidRPr="00DC4539" w:rsidRDefault="00F33775" w:rsidP="00F33775">
      <w:pPr>
        <w:pStyle w:val="Normlnywebov"/>
        <w:spacing w:before="120" w:after="0" w:line="276" w:lineRule="auto"/>
        <w:jc w:val="both"/>
        <w:rPr>
          <w:b/>
          <w:bCs/>
          <w:szCs w:val="22"/>
        </w:rPr>
      </w:pPr>
    </w:p>
    <w:p w:rsidR="009C4F6C" w:rsidRDefault="00F33775" w:rsidP="00F33775">
      <w:pPr>
        <w:pStyle w:val="Normlnywebov"/>
        <w:spacing w:before="120" w:after="0" w:line="276" w:lineRule="auto"/>
        <w:jc w:val="both"/>
      </w:pPr>
      <w:r w:rsidRPr="00DC4539">
        <w:rPr>
          <w:b/>
          <w:bCs/>
          <w:szCs w:val="22"/>
        </w:rPr>
        <w:t>Vzhľadom na to, že predmet návrhu zákona nie je upravený v práve Európskej únie, je bezpredmet</w:t>
      </w:r>
      <w:r>
        <w:rPr>
          <w:b/>
          <w:bCs/>
          <w:szCs w:val="22"/>
        </w:rPr>
        <w:t>né vyjadrovať sa k bodom 4. a 5.</w:t>
      </w:r>
      <w:r>
        <w:t xml:space="preserve"> </w:t>
      </w:r>
    </w:p>
    <w:sectPr w:rsidR="009C4F6C" w:rsidSect="00AF1E5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DD" w:rsidRDefault="00462BDD">
      <w:r>
        <w:separator/>
      </w:r>
    </w:p>
  </w:endnote>
  <w:endnote w:type="continuationSeparator" w:id="0">
    <w:p w:rsidR="00462BDD" w:rsidRDefault="0046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5" w:rsidRDefault="00F33775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835" cy="350520"/>
              <wp:effectExtent l="0" t="0" r="18415" b="11430"/>
              <wp:wrapSquare wrapText="largest"/>
              <wp:docPr id="5" name="Obdĺž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6635" w:rsidRDefault="00F33775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PAGE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126FC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:rsidR="00366635" w:rsidRDefault="00462BDD">
                          <w:pPr>
                            <w:pStyle w:val="Pt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5" o:spid="_x0000_s1026" style="position:absolute;left:0;text-align:left;margin-left:518.4pt;margin-top:.05pt;width:6.05pt;height:2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" filled="f" stroked="f">
              <v:path arrowok="t"/>
              <v:textbox inset="0,0,0,0">
                <w:txbxContent>
                  <w:p w:rsidR="00366635" w:rsidRDefault="00F33775">
                    <w:pPr>
                      <w:pStyle w:val="Pta"/>
                    </w:pPr>
                    <w:r>
                      <w:rPr>
                        <w:rStyle w:val="slostrany"/>
                        <w:color w:val="000000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PAGE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126FC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:rsidR="00366635" w:rsidRDefault="00462BDD">
                    <w:pPr>
                      <w:pStyle w:val="Pt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DD" w:rsidRDefault="00462BDD">
      <w:r>
        <w:separator/>
      </w:r>
    </w:p>
  </w:footnote>
  <w:footnote w:type="continuationSeparator" w:id="0">
    <w:p w:rsidR="00462BDD" w:rsidRDefault="0046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5"/>
    <w:rsid w:val="000126FC"/>
    <w:rsid w:val="002B371D"/>
    <w:rsid w:val="00462BDD"/>
    <w:rsid w:val="007B36C9"/>
    <w:rsid w:val="009C4F6C"/>
    <w:rsid w:val="00F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B61A"/>
  <w15:chartTrackingRefBased/>
  <w15:docId w15:val="{4857453D-4D7D-4F7F-ABE5-6588F92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7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qFormat/>
    <w:rsid w:val="00F33775"/>
  </w:style>
  <w:style w:type="paragraph" w:styleId="Pta">
    <w:name w:val="footer"/>
    <w:basedOn w:val="Normlny"/>
    <w:link w:val="PtaChar"/>
    <w:rsid w:val="00F337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337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ywebov">
    <w:name w:val="Normal (Web)"/>
    <w:basedOn w:val="Normlny"/>
    <w:qFormat/>
    <w:rsid w:val="00F33775"/>
    <w:pPr>
      <w:spacing w:before="280" w:after="28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3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71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9.12.2020 9:17:52"/>
    <f:field ref="objchangedby" par="" text="Administrator, System"/>
    <f:field ref="objmodifiedat" par="" text="9.12.2020 9:17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Harmatová</dc:creator>
  <cp:keywords/>
  <dc:description/>
  <cp:lastModifiedBy>Marianna Ferancova</cp:lastModifiedBy>
  <cp:revision>3</cp:revision>
  <cp:lastPrinted>2020-12-21T09:08:00Z</cp:lastPrinted>
  <dcterms:created xsi:type="dcterms:W3CDTF">2020-12-21T09:16:00Z</dcterms:created>
  <dcterms:modified xsi:type="dcterms:W3CDTF">2020-12-21T13:40:00Z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Nerelevantné.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§ 70 ods. 2 zákona NR SR č. 350/1996 Z. z._x000d_
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SL-OLVS-2020/003374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LP/2020/613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v&amp;nbsp;znení neskorších predpisov Ministerstvo vnútra Slovenskej republiky predkladá náv</vt:lpwstr>
  </property>
  <property fmtid="{D5CDD505-2E9C-101B-9397-08002B2CF9AE}" pid="150" name="FSC#SKEDITIONSLOVLEX@103.510:vytvorenedna">
    <vt:lpwstr>9. 12. 2020</vt:lpwstr>
  </property>
  <property fmtid="{D5CDD505-2E9C-101B-9397-08002B2CF9AE}" pid="151" name="FSC#COOSYSTEM@1.1:Container">
    <vt:lpwstr>COO.2145.1000.3.4149119</vt:lpwstr>
  </property>
  <property fmtid="{D5CDD505-2E9C-101B-9397-08002B2CF9AE}" pid="152" name="FSC#FSCFOLIO@1.1001:docpropproject">
    <vt:lpwstr/>
  </property>
</Properties>
</file>