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2D" w:rsidRPr="00A16DD2" w:rsidRDefault="00C7722D" w:rsidP="00C7722D">
      <w:pPr>
        <w:jc w:val="center"/>
        <w:rPr>
          <w:b/>
          <w:bCs/>
        </w:rPr>
      </w:pPr>
      <w:r w:rsidRPr="00A16DD2">
        <w:rPr>
          <w:b/>
          <w:bCs/>
        </w:rPr>
        <w:t>Predkladacia správa</w:t>
      </w:r>
    </w:p>
    <w:p w:rsidR="00C7722D" w:rsidRPr="00AF2CBC" w:rsidRDefault="00C7722D" w:rsidP="00C7722D">
      <w:pPr>
        <w:jc w:val="both"/>
        <w:rPr>
          <w:rStyle w:val="Zstupntext"/>
        </w:rPr>
      </w:pPr>
    </w:p>
    <w:p w:rsidR="00C7722D" w:rsidRPr="00FC49B9" w:rsidRDefault="00C7722D" w:rsidP="00C7722D">
      <w:pPr>
        <w:jc w:val="both"/>
        <w:rPr>
          <w:bCs/>
        </w:rPr>
      </w:pPr>
      <w:r w:rsidRPr="00A16DD2">
        <w:rPr>
          <w:bCs/>
        </w:rPr>
        <w:t xml:space="preserve">          </w:t>
      </w:r>
      <w:r w:rsidRPr="00FC49B9">
        <w:t>Návrh nariadenia vlády Slovenskej republiky, ktorým sa</w:t>
      </w:r>
      <w:r>
        <w:t xml:space="preserve"> dopĺňa </w:t>
      </w:r>
      <w:r w:rsidRPr="00FC49B9">
        <w:t xml:space="preserve">nariadenie vlády Slovenskej republiky č. 50/2002 Z. z. </w:t>
      </w:r>
      <w:r>
        <w:t xml:space="preserve">o úhrade </w:t>
      </w:r>
      <w:r w:rsidRPr="00FC49B9">
        <w:rPr>
          <w:bCs/>
        </w:rPr>
        <w:t>za dobývací priestor, úhrad</w:t>
      </w:r>
      <w:r>
        <w:rPr>
          <w:bCs/>
        </w:rPr>
        <w:t>e</w:t>
      </w:r>
      <w:r w:rsidRPr="00FC49B9">
        <w:rPr>
          <w:bCs/>
        </w:rPr>
        <w:t xml:space="preserve"> za vydobyté nerasty a o úhrad</w:t>
      </w:r>
      <w:r>
        <w:rPr>
          <w:bCs/>
        </w:rPr>
        <w:t>e</w:t>
      </w:r>
      <w:r w:rsidRPr="00FC49B9">
        <w:rPr>
          <w:bCs/>
        </w:rPr>
        <w:t xml:space="preserve"> za uskladňovanie plynov alebo </w:t>
      </w:r>
      <w:r w:rsidRPr="00FB08B0">
        <w:rPr>
          <w:bCs/>
        </w:rPr>
        <w:t xml:space="preserve">kvapalín </w:t>
      </w:r>
      <w:r w:rsidRPr="00FB08B0">
        <w:t xml:space="preserve">v znení nariadenia vlády Slovenskej republiky č. 618/2007 </w:t>
      </w:r>
      <w:r w:rsidRPr="002260E4">
        <w:t xml:space="preserve">Z. z. vydané </w:t>
      </w:r>
      <w:r w:rsidRPr="002260E4">
        <w:rPr>
          <w:bCs/>
        </w:rPr>
        <w:t>podľa § 32a ods. 14 zákona č. 44/1988 Zb. o ochrane a využití nerastného bohatstva (banský zákon) v znení neskorších predpisov</w:t>
      </w:r>
      <w:r w:rsidRPr="002260E4">
        <w:t xml:space="preserve"> (ďalej len „návrh nariadenia vlády“) sa predkladá ako iniciatívny materiál.</w:t>
      </w:r>
    </w:p>
    <w:p w:rsidR="00C7722D" w:rsidRPr="00A16DD2" w:rsidRDefault="00C7722D" w:rsidP="00C7722D">
      <w:pPr>
        <w:jc w:val="both"/>
        <w:rPr>
          <w:bCs/>
        </w:rPr>
      </w:pPr>
    </w:p>
    <w:p w:rsidR="00C7722D" w:rsidRPr="00A16DD2" w:rsidRDefault="00C7722D" w:rsidP="00C7722D">
      <w:pPr>
        <w:ind w:firstLine="708"/>
        <w:jc w:val="both"/>
        <w:rPr>
          <w:bCs/>
        </w:rPr>
      </w:pPr>
      <w:r w:rsidRPr="00A16DD2">
        <w:rPr>
          <w:bCs/>
        </w:rPr>
        <w:t>Nariadenie vlády obsahuje v § 8 prechodné ustanovenie, ktorým sa dočasne znížila sadzba úhrad za vydobyté nerasty, z ktorých možno priemyselne vyrábať kovy, s výnimkou rúd zlata a striebra a za lignit a uhlie, a to zo sadzby 2 % uvedenej v prílohe č. 2 nariadenia vlády na sadzbu 0,1</w:t>
      </w:r>
      <w:r>
        <w:rPr>
          <w:bCs/>
        </w:rPr>
        <w:t xml:space="preserve"> </w:t>
      </w:r>
      <w:r w:rsidRPr="00A16DD2">
        <w:rPr>
          <w:bCs/>
        </w:rPr>
        <w:t xml:space="preserve">%. Dočasné zníženie trvá od roku 2004, t. j. takmer 17 rokov. Dôvodnosť trvania prechodného ustanovenia nebola </w:t>
      </w:r>
      <w:r w:rsidRPr="00FC49B9">
        <w:rPr>
          <w:bCs/>
        </w:rPr>
        <w:t xml:space="preserve">počas tohto </w:t>
      </w:r>
      <w:r>
        <w:rPr>
          <w:bCs/>
        </w:rPr>
        <w:t xml:space="preserve">neprimerane dlhého </w:t>
      </w:r>
      <w:r w:rsidRPr="00FC49B9">
        <w:rPr>
          <w:bCs/>
        </w:rPr>
        <w:t>obdobia prehodnocovaná</w:t>
      </w:r>
      <w:r w:rsidRPr="00A16DD2">
        <w:rPr>
          <w:bCs/>
        </w:rPr>
        <w:t xml:space="preserve">. </w:t>
      </w:r>
    </w:p>
    <w:p w:rsidR="00C7722D" w:rsidRPr="00A16DD2" w:rsidRDefault="00C7722D" w:rsidP="00C7722D">
      <w:pPr>
        <w:ind w:firstLine="708"/>
        <w:jc w:val="both"/>
        <w:rPr>
          <w:bCs/>
        </w:rPr>
      </w:pPr>
    </w:p>
    <w:p w:rsidR="00C7722D" w:rsidRPr="00A16DD2" w:rsidRDefault="00C7722D" w:rsidP="00C7722D">
      <w:pPr>
        <w:ind w:firstLine="709"/>
        <w:jc w:val="both"/>
        <w:rPr>
          <w:bCs/>
        </w:rPr>
      </w:pPr>
      <w:r w:rsidRPr="00A16DD2">
        <w:rPr>
          <w:bCs/>
        </w:rPr>
        <w:t xml:space="preserve">Pre ďalšie časovo neobmedzené trvanie zníženej sadzby úhrady za vybrané vydobyté nerasty, t. j. úhrady za ťažbu primárnej nerastnej suroviny, ktorá v zmysle článku 4 Ústavy SR je vlastníctvom Slovenskej republiky, nie sú dané objektívne dôvody. Cieľom novely nariadenia vlády je preto časové ohraničenie trvania zníženia sadzby úhrady s prihliadnutím na špecifickosť problematiky ťažby </w:t>
      </w:r>
      <w:r>
        <w:rPr>
          <w:bCs/>
        </w:rPr>
        <w:t xml:space="preserve">domáceho hnedého </w:t>
      </w:r>
      <w:r w:rsidRPr="00A16DD2">
        <w:rPr>
          <w:bCs/>
        </w:rPr>
        <w:t xml:space="preserve">uhlia v Slovenskej </w:t>
      </w:r>
      <w:r>
        <w:rPr>
          <w:bCs/>
        </w:rPr>
        <w:t xml:space="preserve">republike vo vzťahu k ukončeniu podpory výroby elektriny z domáceho uhlia v elektrárni Nováky podľa uznesenia </w:t>
      </w:r>
      <w:r w:rsidRPr="00FC49B9">
        <w:rPr>
          <w:bCs/>
        </w:rPr>
        <w:t>vlády č. 580 z 12. decembra 2018 do roku 2023.</w:t>
      </w:r>
    </w:p>
    <w:p w:rsidR="00C7722D" w:rsidRPr="00A16DD2" w:rsidRDefault="00C7722D" w:rsidP="00C7722D">
      <w:pPr>
        <w:jc w:val="both"/>
        <w:rPr>
          <w:bCs/>
        </w:rPr>
      </w:pPr>
    </w:p>
    <w:p w:rsidR="00C7722D" w:rsidRDefault="00C7722D" w:rsidP="00C7722D">
      <w:pPr>
        <w:ind w:firstLine="720"/>
        <w:jc w:val="both"/>
        <w:rPr>
          <w:bCs/>
        </w:rPr>
      </w:pPr>
      <w:r w:rsidRPr="00A16DD2">
        <w:rPr>
          <w:bCs/>
        </w:rPr>
        <w:t>Návrh nariadenia</w:t>
      </w:r>
      <w:r>
        <w:rPr>
          <w:bCs/>
        </w:rPr>
        <w:t xml:space="preserve"> vlády</w:t>
      </w:r>
      <w:r w:rsidRPr="00A16DD2">
        <w:rPr>
          <w:bCs/>
        </w:rPr>
        <w:t xml:space="preserve">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únie.</w:t>
      </w:r>
    </w:p>
    <w:p w:rsidR="00C7722D" w:rsidRPr="00A16DD2" w:rsidRDefault="00C7722D" w:rsidP="00C7722D">
      <w:pPr>
        <w:ind w:firstLine="720"/>
        <w:jc w:val="both"/>
        <w:rPr>
          <w:bCs/>
        </w:rPr>
      </w:pPr>
    </w:p>
    <w:p w:rsidR="00C7722D" w:rsidRPr="00FC49B9" w:rsidRDefault="00C7722D" w:rsidP="00C7722D">
      <w:pPr>
        <w:ind w:firstLine="708"/>
        <w:jc w:val="both"/>
      </w:pPr>
      <w:r w:rsidRPr="00FC49B9">
        <w:t>Predložený návrh nariadenia vlády nemá vplyv na životné prostredie, vplyv na informatizáciu spoločnosti, vplyv na man</w:t>
      </w:r>
      <w:r w:rsidRPr="00FC49B9">
        <w:rPr>
          <w:rFonts w:eastAsia="Malgun Gothic Semilight" w:hint="eastAsia"/>
        </w:rPr>
        <w:t>ž</w:t>
      </w:r>
      <w:r w:rsidRPr="00FC49B9">
        <w:t>elstvo, rodičovstvo a rodinu,</w:t>
      </w:r>
      <w:r w:rsidRPr="00FC49B9">
        <w:rPr>
          <w:rFonts w:eastAsia="Malgun Gothic Semilight" w:hint="eastAsia"/>
        </w:rPr>
        <w:t> </w:t>
      </w:r>
      <w:r w:rsidRPr="00FC49B9">
        <w:t xml:space="preserve"> vplyv na slu</w:t>
      </w:r>
      <w:r w:rsidRPr="00FC49B9">
        <w:rPr>
          <w:rFonts w:eastAsia="Malgun Gothic Semilight" w:hint="eastAsia"/>
        </w:rPr>
        <w:t>ž</w:t>
      </w:r>
      <w:r w:rsidRPr="00FC49B9">
        <w:t>by verejnej spr</w:t>
      </w:r>
      <w:r w:rsidRPr="00FC49B9">
        <w:rPr>
          <w:rFonts w:eastAsia="Malgun Gothic Semilight" w:hint="eastAsia"/>
        </w:rPr>
        <w:t>á</w:t>
      </w:r>
      <w:r w:rsidRPr="00FC49B9">
        <w:t>vy pre občana, ani soci</w:t>
      </w:r>
      <w:r w:rsidRPr="00FC49B9">
        <w:rPr>
          <w:rFonts w:eastAsia="Malgun Gothic Semilight" w:hint="eastAsia"/>
        </w:rPr>
        <w:t>á</w:t>
      </w:r>
      <w:r w:rsidRPr="00FC49B9">
        <w:t>lne vplyvy. Predpoklad</w:t>
      </w:r>
      <w:r w:rsidRPr="00FC49B9">
        <w:rPr>
          <w:rFonts w:eastAsia="Malgun Gothic Semilight" w:hint="eastAsia"/>
        </w:rPr>
        <w:t>á</w:t>
      </w:r>
      <w:r w:rsidRPr="00FC49B9">
        <w:t xml:space="preserve"> sa pozit</w:t>
      </w:r>
      <w:r w:rsidRPr="00FC49B9">
        <w:rPr>
          <w:rFonts w:eastAsia="Malgun Gothic Semilight" w:hint="eastAsia"/>
        </w:rPr>
        <w:t>í</w:t>
      </w:r>
      <w:r w:rsidRPr="00FC49B9">
        <w:t>vny aj negatívny vplyv na podnikateľsk</w:t>
      </w:r>
      <w:r w:rsidRPr="00FC49B9">
        <w:rPr>
          <w:rFonts w:eastAsia="Malgun Gothic Semilight" w:hint="eastAsia"/>
        </w:rPr>
        <w:t>é</w:t>
      </w:r>
      <w:r w:rsidRPr="00FC49B9">
        <w:t xml:space="preserve"> prostredie a</w:t>
      </w:r>
      <w:r w:rsidRPr="00FC49B9">
        <w:rPr>
          <w:rFonts w:eastAsia="Malgun Gothic Semilight" w:hint="eastAsia"/>
        </w:rPr>
        <w:t> </w:t>
      </w:r>
      <w:r w:rsidRPr="00FC49B9">
        <w:t>pozit</w:t>
      </w:r>
      <w:r w:rsidRPr="00FC49B9">
        <w:rPr>
          <w:rFonts w:eastAsia="Malgun Gothic Semilight" w:hint="eastAsia"/>
        </w:rPr>
        <w:t>í</w:t>
      </w:r>
      <w:r w:rsidRPr="00FC49B9">
        <w:t>vny vplyv na rozpočet verejnej správy.</w:t>
      </w:r>
    </w:p>
    <w:p w:rsidR="00C7722D" w:rsidRPr="00A16DD2" w:rsidRDefault="00C7722D" w:rsidP="00C7722D">
      <w:pPr>
        <w:ind w:firstLine="720"/>
        <w:jc w:val="both"/>
        <w:rPr>
          <w:bCs/>
        </w:rPr>
      </w:pPr>
    </w:p>
    <w:p w:rsidR="00C7722D" w:rsidRDefault="00C7722D" w:rsidP="00C7722D">
      <w:pPr>
        <w:spacing w:after="120"/>
        <w:ind w:firstLine="709"/>
        <w:jc w:val="both"/>
      </w:pPr>
      <w:r w:rsidRPr="00A16DD2">
        <w:t xml:space="preserve">Návrh nariadenia </w:t>
      </w:r>
      <w:r>
        <w:t xml:space="preserve">vlády </w:t>
      </w:r>
      <w:r w:rsidRPr="00A16DD2">
        <w:t xml:space="preserve">nie je predmetom </w:t>
      </w:r>
      <w:proofErr w:type="spellStart"/>
      <w:r w:rsidRPr="00A16DD2">
        <w:t>vnútrokomunitárneho</w:t>
      </w:r>
      <w:proofErr w:type="spellEnd"/>
      <w:r w:rsidRPr="00A16DD2">
        <w:t xml:space="preserve"> pripomienkového konania.</w:t>
      </w:r>
    </w:p>
    <w:p w:rsidR="00C7722D" w:rsidRDefault="00C7722D" w:rsidP="00C7722D">
      <w:pPr>
        <w:spacing w:after="120"/>
        <w:ind w:firstLine="709"/>
        <w:jc w:val="both"/>
      </w:pPr>
      <w:r w:rsidRPr="00A16DD2">
        <w:t xml:space="preserve">Dátum nadobudnutia účinnosti nariadenia vlády sa ustanovuje na </w:t>
      </w:r>
      <w:r>
        <w:t>30</w:t>
      </w:r>
      <w:r w:rsidRPr="00A16DD2">
        <w:t xml:space="preserve">. </w:t>
      </w:r>
      <w:r>
        <w:t xml:space="preserve">decembra </w:t>
      </w:r>
      <w:r w:rsidRPr="00A16DD2">
        <w:t>20</w:t>
      </w:r>
      <w:r>
        <w:t>20</w:t>
      </w:r>
      <w:r w:rsidRPr="00A16DD2">
        <w:t>.</w:t>
      </w:r>
    </w:p>
    <w:p w:rsidR="00725E1D" w:rsidRPr="000741B0" w:rsidRDefault="00725E1D" w:rsidP="00725E1D">
      <w:pPr>
        <w:spacing w:before="120"/>
        <w:ind w:firstLine="567"/>
        <w:jc w:val="both"/>
        <w:rPr>
          <w:bCs/>
        </w:rPr>
      </w:pPr>
      <w:r w:rsidRPr="007E52C9">
        <w:rPr>
          <w:bCs/>
        </w:rPr>
        <w:t>Materiál bol predmetom medzirezortného pripomienkového konania, ktorého výsledky                 sú uvedené vo vyho</w:t>
      </w:r>
      <w:r>
        <w:rPr>
          <w:bCs/>
        </w:rPr>
        <w:t>dnotení pripomienkového konania a na rokovanie Legislatívnej rady vlády Slovenskej republiky sa predkladá bez rozporov.</w:t>
      </w:r>
    </w:p>
    <w:p w:rsidR="00725E1D" w:rsidRPr="00A16DD2" w:rsidRDefault="00725E1D" w:rsidP="00C7722D">
      <w:pPr>
        <w:spacing w:after="120"/>
        <w:ind w:firstLine="709"/>
        <w:jc w:val="both"/>
      </w:pPr>
      <w:bookmarkStart w:id="0" w:name="_GoBack"/>
      <w:bookmarkEnd w:id="0"/>
    </w:p>
    <w:p w:rsidR="00C7722D" w:rsidRPr="00A16DD2" w:rsidRDefault="00C7722D" w:rsidP="00C7722D">
      <w:pPr>
        <w:spacing w:after="120"/>
        <w:ind w:firstLine="709"/>
        <w:jc w:val="both"/>
      </w:pPr>
    </w:p>
    <w:p w:rsidR="00C7722D" w:rsidRPr="00AF2CBC" w:rsidRDefault="00C7722D" w:rsidP="00C7722D">
      <w:pPr>
        <w:jc w:val="both"/>
        <w:rPr>
          <w:rStyle w:val="Zstupntext"/>
        </w:rPr>
      </w:pPr>
    </w:p>
    <w:p w:rsidR="00C7722D" w:rsidRPr="00AF2CBC" w:rsidRDefault="00C7722D" w:rsidP="00C7722D">
      <w:pPr>
        <w:jc w:val="center"/>
        <w:rPr>
          <w:rStyle w:val="Zstupntext"/>
        </w:rPr>
      </w:pPr>
    </w:p>
    <w:p w:rsidR="006E48A3" w:rsidRDefault="006E48A3"/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D"/>
    <w:rsid w:val="006E48A3"/>
    <w:rsid w:val="00725E1D"/>
    <w:rsid w:val="00C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C3C"/>
  <w15:chartTrackingRefBased/>
  <w15:docId w15:val="{7A038662-ECEA-43D8-B801-BA4E6BC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7722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2020-10-13T11:32:00Z</dcterms:created>
  <dcterms:modified xsi:type="dcterms:W3CDTF">2020-11-19T09:20:00Z</dcterms:modified>
</cp:coreProperties>
</file>