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D47FC5" w:rsidRPr="00043F0B" w:rsidRDefault="00D47FC5">
      <w:pPr>
        <w:jc w:val="center"/>
        <w:divId w:val="549539735"/>
        <w:rPr>
          <w:rFonts w:ascii="Times New Roman" w:hAnsi="Times New Roman" w:cs="Times New Roman"/>
          <w:sz w:val="24"/>
          <w:szCs w:val="24"/>
        </w:rPr>
      </w:pPr>
      <w:r w:rsidRPr="00043F0B">
        <w:rPr>
          <w:rFonts w:ascii="Times New Roman" w:hAnsi="Times New Roman" w:cs="Times New Roman"/>
          <w:sz w:val="24"/>
          <w:szCs w:val="24"/>
        </w:rPr>
        <w:t>Nariadenie vlády Slovenskej republiky</w:t>
      </w:r>
      <w:r w:rsidR="00043F0B" w:rsidRPr="00043F0B">
        <w:rPr>
          <w:rFonts w:ascii="Times New Roman" w:hAnsi="Times New Roman" w:cs="Times New Roman"/>
          <w:sz w:val="24"/>
          <w:szCs w:val="24"/>
        </w:rPr>
        <w:t>,</w:t>
      </w:r>
      <w:r w:rsidRPr="00043F0B">
        <w:rPr>
          <w:rFonts w:ascii="Times New Roman" w:hAnsi="Times New Roman" w:cs="Times New Roman"/>
          <w:sz w:val="24"/>
          <w:szCs w:val="24"/>
        </w:rPr>
        <w:t xml:space="preserve"> ktorým sa ustanovuje národná tabuľka frekvenčného spektra</w:t>
      </w:r>
    </w:p>
    <w:p w:rsidR="00927118" w:rsidRPr="00043F0B" w:rsidRDefault="00927118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43F0B" w:rsidRDefault="00A251BF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43F0B" w:rsidRDefault="00D47FC5" w:rsidP="00D4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39 /14</w:t>
            </w:r>
          </w:p>
        </w:tc>
      </w:tr>
      <w:tr w:rsidR="00927118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D47FC5" w:rsidP="00D4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7118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BE74BB" w:rsidP="00BE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47FC5"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0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7118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D47FC5" w:rsidP="00D4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BE74BB" w:rsidP="00BE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FC5"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61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0B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04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</w:t>
            </w:r>
            <w:r w:rsidR="00612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 MO SR dňa 4.11.2020. Všetky rozpory boli odstránené. 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043F0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6123CE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7118" w:rsidRPr="00043F0B" w:rsidTr="006123CE">
        <w:trPr>
          <w:trHeight w:val="34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927118" w:rsidP="000D2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43F0B" w:rsidRDefault="006123CE" w:rsidP="000D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7118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6123CE" w:rsidRPr="00043F0B" w:rsidTr="00AD67FB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123CE" w:rsidRPr="00043F0B" w:rsidRDefault="006123CE" w:rsidP="0061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0B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04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 MV SR dňa 4.11.2020. Rozpor bol odstránený. 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123CE" w:rsidRPr="00043F0B" w:rsidRDefault="006123CE" w:rsidP="00AD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CE" w:rsidRPr="00043F0B" w:rsidTr="00AD67FB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123CE" w:rsidRPr="00043F0B" w:rsidRDefault="006123CE" w:rsidP="00AD6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123CE" w:rsidRPr="00043F0B" w:rsidRDefault="006123CE" w:rsidP="0061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3CE" w:rsidRPr="00043F0B" w:rsidTr="00AD67FB">
        <w:trPr>
          <w:trHeight w:val="34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123CE" w:rsidRPr="00043F0B" w:rsidRDefault="006123CE" w:rsidP="00AD6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6123CE" w:rsidRPr="00043F0B" w:rsidRDefault="006123CE" w:rsidP="00AD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23CE" w:rsidRPr="00043F0B" w:rsidRDefault="006123CE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043F0B" w:rsidRDefault="00927118" w:rsidP="009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0B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D47FC5" w:rsidRPr="00043F0B" w:rsidRDefault="00D47FC5" w:rsidP="00841F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D47FC5" w:rsidRPr="00043F0B">
        <w:trPr>
          <w:divId w:val="127232091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16 (3o,13z)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20 (20o,0z)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pre reguláciu elektronických komunikácií a poštových služieb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Dopravný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Slovenská informačná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7FC5" w:rsidRPr="00043F0B">
        <w:trPr>
          <w:divId w:val="12723209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39 (25o,14z)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043F0B" w:rsidRDefault="00BF7CE0" w:rsidP="00841FA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F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043F0B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043F0B" w:rsidRDefault="00BF7CE0" w:rsidP="000D2A82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3F0B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043F0B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43F0B" w:rsidRDefault="00BF7CE0" w:rsidP="000D2A82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3F0B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43F0B" w:rsidRDefault="00BF7CE0" w:rsidP="000D2A82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3F0B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043F0B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43F0B" w:rsidRDefault="00BF7CE0" w:rsidP="000D2A82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3F0B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43F0B" w:rsidRDefault="00BF7CE0" w:rsidP="000D2A82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3F0B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043F0B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43F0B" w:rsidRDefault="00BF7CE0" w:rsidP="000D2A82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043F0B" w:rsidRDefault="00BF7CE0" w:rsidP="000D2A82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3F0B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D66FA" w:rsidRDefault="00ED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6558"/>
        <w:gridCol w:w="585"/>
        <w:gridCol w:w="584"/>
        <w:gridCol w:w="3902"/>
      </w:tblGrid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odporúčame pri frekvenčnom pásme 161,7875-161,9375 MHz pre Slovenskú republiku, pri službe „POHYBLIVÁ okrem leteckej pohyblivej“ odstrániť riadok „mil. / Obranné systémy / 158,3875-160,6375 MHz“. Odôvodnenie: Rádiokomunikačná služba „POHYBLIVÁ okrem leteckej pohyblivej, mil.“ je v úseku 158,3875-160,6375 MHz, teda nezasahuje do predmetného frekvenčného úseku.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6ED" w:rsidRDefault="00ED46ED" w:rsidP="00ED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ED" w:rsidRPr="00ED46ED" w:rsidRDefault="00ED46ED" w:rsidP="00ED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>Pripomienk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>zapracovan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odporúčame pri frekvenčnom pásme 8550-8650 MHz pre Slovenskú republiku službu „RÁDOLOKÁCIA“ nahradiť službou „RÁDIOLOKÁCIA“ a odstrániť text „5.450B“. Odôvodnenie: Poznámka z rádiokomunikačného poriadku ITU č. 5.450B nepatrí do tohto frekvenčného úseku.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6ED" w:rsidRDefault="00ED46ED" w:rsidP="00ED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ED" w:rsidRPr="00ED46ED" w:rsidRDefault="00ED46ED" w:rsidP="00ED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 xml:space="preserve">Pripomienky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boli </w:t>
            </w: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>zapracované.</w:t>
            </w:r>
          </w:p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odporúčame pri frekvenčnom pásme 8650-8700 MHz pre Slovenskú republiku službu „RÁDOLOKÁCIA“ nahradiť službou „RÁDIOLOKÁCIA“ a odstrániť text „5.450B“. Odôvodnenie: Poznámka z rádiokomunikačného poriadku ITU č. 5.450B nepatrí do tohto frekvenčného úseku.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6ED" w:rsidRDefault="00ED46ED" w:rsidP="00ED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ED" w:rsidRPr="00ED46ED" w:rsidRDefault="00ED46ED" w:rsidP="00ED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 xml:space="preserve">Pripomienky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boli </w:t>
            </w: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>zapracované.</w:t>
            </w:r>
          </w:p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národnej tabuľke frekvenčného spektra 2021 žiadame pri frekvenčnom pásme 10,7-10,95 GHz pre Slovenskú republiku, pri službe „PEVNÁ civ.“ znenie poznámky k využitiu nahradiť týmto znením: „10,7-11,2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vysokej kapacity;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+490 MHz; v úseku 10,905-11,073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do r. 2029; žiadne nové prídely. 10,711-11,449 GHz dočasné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spoje; v úsekoch 10,905-11,073 GHz a 11,395 – 11,449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do r. 2029; žiadne nové prídely.“. Túto pripomienku považuje Ministerstvo obrany Slovenskej republiky za zásadnú. Odôvodnenie: Podľa § 30 ods. 2 zákona č. 351/2011 Z. z. o elektronických komunikáciách sa na príprave národnej tabuľky frekvenčného spektra podieľa medzirezortná komisia pre harmonizáciu frekvenčného spektra, ktorej členom je aj Ministerstvo obrany Slovenskej republiky. Frekvenčný úsek má hranice 10,905-11,073 GHz tak, ako je uvedené aj v nasledujúcom texte v časti „Poznámka k využitiu“. Doplnenie textu „žiadne nové prídely“ zásadne mení význam časti „Poznámka k využitiu“. Navrhovanú zmenu žiadame vykonať v súlade so záverom z rokovania medzirezortnej komisie pre harmonizáciu frekvenčného spektra, z ktorého vyplýva, že v uvedenom úseku sa nebudú povoľovať žiadne nové civilné spoje. Navrhované doplnenie textu má zásadný vplyv na zriaďovanie osobitných sietí v tomto frekvenčnom úseku.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43F" w:rsidRDefault="00E3743F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56" w:rsidRDefault="00745556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FC5" w:rsidRPr="003E03CB" w:rsidRDefault="00745556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ohoda bola dosiahnutá tým, že záväzok ÚREKPS </w:t>
            </w:r>
            <w:r w:rsidR="00DD7F5F" w:rsidRPr="003E03CB">
              <w:rPr>
                <w:rFonts w:ascii="Times New Roman" w:hAnsi="Times New Roman" w:cs="Times New Roman"/>
                <w:sz w:val="24"/>
                <w:szCs w:val="24"/>
              </w:rPr>
              <w:t>nevydávať žiadne nové individuálne povolenia a ani  predlžovať súčasne platné individuálne povolenia</w:t>
            </w:r>
            <w:r w:rsidR="00DD7F5F"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je uvedený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3E03CB" w:rsidRPr="00745556" w:rsidRDefault="003E03CB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žiadame pri frekvenčnom pásme 10,7-10,95 GHz pre Slovenskú republiku, pri službe „POHYBLIVÁ okrem leteckej pohyblivej“ doplniť v stĺpci Pridelenie v SR slovo „mil.“, v stĺpci Využitie v SR slová „Obranné systémy“ a v stĺpci Poznámka k využitiu slová „10905-11073 MHz“. Túto pripomienku považuje Ministerstvo obrany Slovenskej republiky za zásadnú. Odôvodnenie: Navrhovanú zmenu žiadame vykonať v súlade so záverom z rokovania medzirezortnej komisie pre harmonizáciu frekvenčného spektra, z ktorého vyplýva doplnenie uvedenej služby, ako plnohodnotné náhradné spektrum za frekvenčné pásmo 26 GHz, v ktorom je na vojenské účely vyhradená pevná aj pohyblivá služba.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7B1" w:rsidRDefault="00AA27B1" w:rsidP="001A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 w:rsidR="001A5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FC5" w:rsidRPr="00AA27B1" w:rsidRDefault="001A57B1" w:rsidP="004A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A27B1" w:rsidRPr="00AA27B1">
              <w:rPr>
                <w:rFonts w:ascii="Times New Roman" w:hAnsi="Times New Roman" w:cs="Times New Roman"/>
                <w:sz w:val="24"/>
                <w:szCs w:val="24"/>
              </w:rPr>
              <w:t>ohoda bola dosiahnutá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tým</w:t>
            </w:r>
            <w:r w:rsidR="00AA27B1" w:rsidRPr="00AA27B1">
              <w:rPr>
                <w:rFonts w:ascii="Times New Roman" w:hAnsi="Times New Roman" w:cs="Times New Roman"/>
                <w:sz w:val="24"/>
                <w:szCs w:val="24"/>
              </w:rPr>
              <w:t xml:space="preserve">, že 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 xml:space="preserve">uvedená téma </w:t>
            </w:r>
            <w:r w:rsidR="00AA27B1" w:rsidRPr="00AA27B1">
              <w:rPr>
                <w:rFonts w:ascii="Times New Roman" w:hAnsi="Times New Roman" w:cs="Times New Roman"/>
                <w:sz w:val="24"/>
                <w:szCs w:val="24"/>
              </w:rPr>
              <w:t>sa bude riešiť v priebehu prípravy NTFS na rok 2022 na medzirezortnej komisii</w:t>
            </w:r>
            <w:r w:rsidR="004A60F5">
              <w:rPr>
                <w:rFonts w:ascii="Times New Roman" w:hAnsi="Times New Roman" w:cs="Times New Roman"/>
                <w:sz w:val="24"/>
                <w:szCs w:val="24"/>
              </w:rPr>
              <w:t xml:space="preserve"> pre harmonizáciu frekvenčného spektra</w:t>
            </w:r>
            <w:r w:rsidR="001E19F9">
              <w:rPr>
                <w:rFonts w:ascii="Times New Roman" w:hAnsi="Times New Roman" w:cs="Times New Roman"/>
                <w:sz w:val="24"/>
                <w:szCs w:val="24"/>
              </w:rPr>
              <w:t xml:space="preserve">, čo je </w:t>
            </w:r>
            <w:r w:rsidR="001E19F9" w:rsidRPr="00745556">
              <w:rPr>
                <w:rFonts w:ascii="Times New Roman" w:hAnsi="Times New Roman" w:cs="Times New Roman"/>
                <w:sz w:val="24"/>
                <w:szCs w:val="24"/>
              </w:rPr>
              <w:t>uveden</w:t>
            </w:r>
            <w:r w:rsidR="001E19F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1E19F9"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v zápise z </w:t>
            </w:r>
            <w:proofErr w:type="spellStart"/>
            <w:r w:rsidR="001E19F9"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="001E19F9"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="001E19F9"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národnej tabuľke frekvenčného spektra 2021 žiadame pri frekvenčnom pásme 10,95-11,2 GHz pre Slovenskú republiku, pri službe „PEVNÁ civ.“ znenie poznámky k využitiu nahradiť týmto znením: „10,7-11,2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vysokej kapacity;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+490 MHz; v úseku 10,905-11,073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do r. 2029; žiadne nové prídely. 10,711-11,449 GHz dočasné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spoje; v úsekoch 10,905-11,073 GHz a 11,395 – 11,449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do r. 2029; žiadne nové prídely.“. Túto pripomienku považuje Ministerstvo obrany Slovenskej republiky za zásadnú. Odôvodnenie: Frekvenčný úsek má hranice 10,905-11,073 GHz tak, ako je uvedené aj v nasledujúcom texte v časti „Poznámka k využitiu“. Doplnenie textu „žiadne nové prídely“ zásadne mení význam časti „Poznámka k využitiu“. Navrhovanú zmenu žiadame vykonať v súlade so záverom z rokovania medzirezortnej komisie pre harmonizáciu frekvenčného spektra, z ktorého vyplýva, že v uvedenom úseku sa nebudú povoľovať žiadne nové civilné spoje. Navrhované doplnenie textu má zásadný vplyv na zriaďovanie osobitných sietí v tomto frekvenčnom úseku.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556" w:rsidRDefault="00745556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F5F" w:rsidRPr="003E03CB" w:rsidRDefault="00DD7F5F" w:rsidP="00DD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ohoda bola dosiahnutá tým, že záväzok ÚREKPS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nevydávať žiadne nové individuálne povolenia a ani  predlžovať súčasne platné individuálne povolenia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je uvedený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D47FC5" w:rsidRPr="00043F0B" w:rsidRDefault="00D47FC5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žiadame pri frekvenčnom pásme 10,95-11,2 GHz pre Slovenskú republiku, pri službe „POHYBLIVÁ okrem leteckej pohyblivej“ doplniť v stĺpci Pridelenie v SR slovo „mil.“, v stĺpci Využitie v SR slová „Obranné systémy“ a v stĺpci Poznámka k využitiu slová „10905-11073 MHz“. Túto pripomienku považuje Ministerstvo obrany Slovenskej republiky za zásadnú. Odôvodnenie: Navrhovanú zmenu žiadame vykonať v súlade so záverom z rokovania medzirezortnej komisie pre harmonizáciu frekvenčného spektra, z ktorého vyplýva doplnenie uvedenej služby, ako plnohodnotné náhradné spektrum za frekvenčné pásmo 26 GHz, v ktorom je na vojenské účely vyhradená pevná aj pohyblivá služba.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0F5" w:rsidRDefault="004A60F5" w:rsidP="004A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FC5" w:rsidRPr="00043F0B" w:rsidRDefault="001E19F9" w:rsidP="004A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ohoda bola dosiahnutá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tým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, že uvedená téma sa bude riešiť v priebehu prípravy NTFS na rok 2022 na medzirezortnej komisii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harmonizáciu frekvenčného spektra, čo je 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uveden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žiadame pri frekvenčnom pásme 11,2-11,45 GHz pre Slovenskú republiku, pri službe „PEVNÁ civ.“ znenie poznámky k využitiu nahradiť týmto znením: „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vysokej kapacity; 11,2-11,7 GHz;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-490 MHz, v úseku 11,395 – 11,563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do r. 2029, žiadne nové prídely. 10,711-11,449 GHz dočasné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spoje; v úsekoch 10,905-11,073 GHz a 11,395 – 11,449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do r. 2029, žiadne nové prídely.“. Túto pripomienku považuje Ministerstvo obrany Slovenskej republiky za zásadnú. Odôvodnenie: Doplnenie textu „žiadne nové prídely“ zásadne mení význam časti „Poznámka k využitiu“. Navrhovanú zmenu žiadame vykonať v súlade so záverom z rokovania medzirezortnej komisie pre harmonizáciu frekvenčného spektra, z ktorého vyplýva, že v uvedenom úseku sa nebudú povoľovať žiadne nové civilné spoje. Navrhované doplnenie textu má zásadný vplyv na zriaďovanie osobitných sietí v tomto frekvenčnom úseku.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556" w:rsidRDefault="00745556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F5F" w:rsidRPr="003E03CB" w:rsidRDefault="00DD7F5F" w:rsidP="00DD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ohoda bola dosiahnutá tým, že záväzok ÚREKPS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nevydávať žiadne nové individuálne povolenia a ani  predlžovať súčasne platné individuálne povolenia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je uvedený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D47FC5" w:rsidRPr="00043F0B" w:rsidRDefault="00D47FC5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žiadame pri frekvenčnom pásme 11,2-11,45 GHz pre Slovenskú republiku, pri službe „POHYBLIVÁ okrem leteckej pohyblivej“ doplniť v stĺpci Pridelenie v SR slovo „mil.“, v stĺpci Využitie v SR slová „Obranné systémy“ a v stĺpci Poznámka k využitiu slová „11395-11563 MHz“. Túto pripomienku považuje Ministerstvo obrany Slovenskej republiky za zásadnú. Odôvodnenie: Navrhovanú zmenu žiadame vykonať v súlade so záverom z rokovania medzirezortnej komisie pre harmonizáciu frekvenčného spektra, z ktorého vyplýva doplnenie uvedenej služby, ako plnohodnotné náhradné spektrum za frekvenčné pásmo 26 GHz, v ktorom je na vojenské účely vyhradená pevná aj pohyblivá služba.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0F5" w:rsidRDefault="004A60F5" w:rsidP="004A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FC5" w:rsidRPr="00043F0B" w:rsidRDefault="001E19F9" w:rsidP="004A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ohoda bola dosiahnutá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tým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, že uvedená téma sa bude riešiť v priebehu prípravy NTFS na rok 2022 na medzirezortnej komisii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harmonizáciu frekvenčného spektra, čo je 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uveden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žiadame pri frekvenčnom pásme 11,45-11,7 GHz pre Slovenskú republiku, pri službe „PEVNÁ civ.“ znenie poznámky k využitiu nahradiť týmto znením: „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vysokej kapacity 11,2-11,7 GHz;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-490 MHz, v úseku 11,395 – 11,563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do r. 2029; žiadne nové prídely.“. Túto pripomienku považuje Ministerstvo obrany Slovenskej republiky za zásadnú. Odôvodnenie: Doplnenie textu „žiadne nové prídely“ zásadne mení význam časti „Poznámka k využitiu“. Navrhovanú zmenu žiadame vykonať v súlade so záverom z rokovania medzirezortnej komisie pre harmonizáciu frekvenčného spektra, z ktorého vyplýva, že v uvedenom úseku sa nebudú povoľovať žiadne nové civilné spoje. Navrhované doplnenie textu má zásadný vplyv na zriaďovanie osobitných sietí v tomto frekvenčnom úseku.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556" w:rsidRDefault="00745556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F5F" w:rsidRPr="003E03CB" w:rsidRDefault="00DD7F5F" w:rsidP="00DD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ohoda bola dosiahnutá tým, že záväzok ÚREKPS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nevydávať žiadne nové individuálne povolenia a ani  predlžovať súčasne platné individuálne povolenia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je uvedený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D47FC5" w:rsidRPr="00043F0B" w:rsidRDefault="00D47FC5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žiadame pri frekvenčnom pásme 11,45-11,7 GHz pre Slovenskú republiku, pri službe „POHYBLIVÁ“ doplniť v stĺpci Pridelenie v SR slovo „mil.“, v stĺpci Využitie v SR slová „Obranné systémy“ a v stĺpci Poznámka k využitiu slová „11395-11563 MHz“. Túto pripomienku považuje Ministerstvo obrany Slovenskej republiky za zásadnú. Odôvodnenie: Navrhovanú zmenu žiadame vykonať v súlade so záverom z rokovania medzirezortnej komisie pre harmonizáciu frekvenčného spektra, z ktorého vyplýva doplnenie uvedenej služby, ako plnohodnotné náhradné spektrum za frekvenčné pásmo 26 GHz, v ktorom je na vojenské účely vyhradená pevná aj pohyblivá služba.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0F5" w:rsidRDefault="004A60F5" w:rsidP="004A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FC5" w:rsidRPr="00043F0B" w:rsidRDefault="001E19F9" w:rsidP="004A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ohoda bola dosiahnutá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tým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, že uvedená téma sa bude riešiť v priebehu prípravy NTFS na rok 2022 na medzirezortnej komisii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harmonizáciu frekvenčného spektra, čo je 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uveden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žiadame pri frekvenčnom pásme 17,7-18,1 GHz pre Slovenskú republiku doplniť v stĺpci Pridelenie v SR službu „POHYBLIVÁ“ a slovo „mil.“, v stĺpci Využitie v SR slová „Obranné systémy“ a v stĺpci Poznámka k využitiu slová „17961,25 - 18043,75 MHz“. Túto pripomienku považuje Ministerstvo obrany Slovenskej republiky za zásadnú. Odôvodnenie: Navrhovanú zmenu žiadame vykonať v súlade so záverom z rokovania medzirezortnej komisie pre harmonizáciu frekvenčného spektra, z ktorého vyplýva doplnenie uvedenej služby, ako plnohodnotné náhradné spektrum za frekvenčné pásmo 26 GHz, v ktorom je na vojenské účely vyhradená pevná aj pohyblivá služba.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051D" w:rsidRDefault="00A1051D" w:rsidP="00A1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FC5" w:rsidRPr="00043F0B" w:rsidRDefault="001E19F9" w:rsidP="00A1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ohoda bola dosiahnutá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tým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, že uvedená téma sa bude riešiť v priebehu prípravy NTFS na rok 2022 na medzirezortnej komisii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harmonizáciu frekvenčného spektra, čo je 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uveden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národnej tabuľke frekvenčného spektra 2021 žiadame pri frekvenčnom pásme 17,7-18,1 GHz pre Slovenskú republiku, pri službe „PEVNÁ civ.“ znenie poznámky k využitiu nahradiť týmto znením: „17,7-18,7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nízkej, strednej a vysokej kapacity;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+1010 MHz; v úseku 17961,25 - 18043,75 MHz do r. 2029; žiadne nové prídely.“. Túto pripomienku považuje Ministerstvo obrany Slovenskej republiky za zásadnú. Odôvodnenie: Doplnenie textu „žiadne nové prídely“ zásadne mení význam časti „Poznámka k využitiu“. Navrhovanú zmenu žiadame vykonať v súlade so záverom z rokovania medzirezortnej komisie pre harmonizáciu frekvenčného spektra, z ktorého vyplýva, že v uvedenom úseku sa nebudú povoľovať žiadne nové civilné spoje. Navrhované doplnenie textu má zásadný vplyv na zriaďovanie osobitných sietí v tomto frekvenčnom úseku.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556" w:rsidRDefault="00745556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F5F" w:rsidRPr="003E03CB" w:rsidRDefault="00DD7F5F" w:rsidP="00DD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ohoda bola dosiahnutá tým, že záväzok ÚREKPS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nevydávať žiadne nové individuálne povolenia a ani  predlžovať súčasne platné individuálne povolenia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je uvedený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D47FC5" w:rsidRPr="00043F0B" w:rsidRDefault="00D47FC5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národnej tabuľke frekvenčného spektra 2021 žiadame pri frekvenčnom pásme 18,8-19,3 GHz pre Slovenskú republiku doplniť v stĺpci Pridelenie v SR službu „POHYBLIVÁ“ a slovo „mil.“, v stĺpci Využitie v SR slová „Obranné systémy“ a v stĺpci Poznámka k využitiu slová „18971,25-19053,75 MHz“. Túto pripomienku považuje Ministerstvo obrany Slovenskej republiky za zásadnú. Navrhovanú zmenu žiadame vykonať v súlade so záverom z rokovania medzirezortnej komisie pre harmonizáciu frekvenčného spektra, z ktorého vyplýva doplnenie uvedenej služby, ako plnohodnotné náhradné spektrum za frekvenčné pásmo 26 GHz, v ktorom je na vojenské účely vyhradená pevná aj pohyblivá služba.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051D" w:rsidRDefault="00A1051D" w:rsidP="00A1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FC5" w:rsidRPr="00043F0B" w:rsidRDefault="001E19F9" w:rsidP="00A1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ohoda bola dosiahnutá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tým</w:t>
            </w:r>
            <w:r w:rsidRPr="00AA27B1">
              <w:rPr>
                <w:rFonts w:ascii="Times New Roman" w:hAnsi="Times New Roman" w:cs="Times New Roman"/>
                <w:sz w:val="24"/>
                <w:szCs w:val="24"/>
              </w:rPr>
              <w:t>, že uvedená téma sa bude riešiť v priebehu prípravy NTFS na rok 2022 na medzirezortnej komisii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harmonizáciu frekvenčného spektra, čo je 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uveden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národnej tabuľke frekvenčného spektra 2021 žiadame pri frekvenčnom pásme 18,8-19,3 GHz pre Slovenskú republiku, pri službe „PEVNÁ civ.“ znenie poznámky k využitiu nahradiť týmto znením: „18,7-19,7 GHz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spoje nízkej, strednej a vysokej kapacity;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-1010 MHz; v úseku 18971,25 - 19053,75 MHz do r. 2029, žiadne nové prídely.“. Túto pripomienku považuje Ministerstvo obrany Slovenskej republiky za zásadnú. Odôvodnenie: Doplnenie textu „žiadne nové prídely“ zásadne mení význam časti „Poznámka k využitiu“. Navrhovanú zmenu žiadame vykonať v súlade so záverom z rokovania medzirezortnej komisie pre harmonizáciu frekvenčného spektra, z ktorého vyplýva, že v uvedenom úseku sa nebudú povoľovať žiadne nové civilné spoje. Navrhované doplnenie textu má zásadný vplyv na zriaďovanie osobitných sietí v tomto frekvenčnom úseku.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556" w:rsidRDefault="00745556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ripomienka bola vysvetlená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F5F" w:rsidRPr="003E03CB" w:rsidRDefault="00DD7F5F" w:rsidP="00DD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ohoda bola dosiahnutá tým, že záväzok ÚREKPS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nevydávať žiadne nové individuálne povolenia a ani  predlžovať súčasne platné individuálne povolenia</w:t>
            </w:r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je uvedený v zápise z </w:t>
            </w:r>
            <w:proofErr w:type="spellStart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Pr="003E03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D47FC5" w:rsidRPr="00043F0B" w:rsidRDefault="00D47FC5" w:rsidP="0074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prílohe 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národnej tabuľke frekvenčného spektra 2021 žiadame pri frekvenčnom pásme 27-27,5 GHz pre Slovenskú republiku pre službu „PEVNÁ civ.“ doplniť v stĺpci Poznámka k prideleniu slová „27-27,1 GHz“. Túto pripomienku považuje Ministerstvo obrany Slovenskej republiky za zásadnú. Odôvodnenie: Doplnenie služby „PEVNÁ civ.“ v tomto frekvenčnom pásme nebolo predmetom rokovania medzirezortnej komisie pre harmonizáciu frekvenčného spektra. Ministerstvo obrany Slovenskej republiky nesúhlasí so zmenou úseku 27,1-27,5 GHz na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koprimárne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zdieľanie, pretože Úrad pre reguláciu elektronických komunikácií a poštových služieb neposkytol žiadne dodatočné záruky poskytnutia adekvátnej náhrady za frekvenčné pásmo 26 GHz v dlhodobom časovom horizonte a zastávame názor, že následkom toho môže dôjsť k zníženiu spôsobilosti plnenia úloh Ministerstva obrany Slovenskej republiky vyplývajúcich z príslušných právnych predpisov.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4AFF" w:rsidRDefault="00704AFF" w:rsidP="0070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FF" w:rsidRPr="00ED46ED" w:rsidRDefault="00704AFF" w:rsidP="0070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>Pripomienk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>zapracovan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D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predkladacej správe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predkladacej správe odporúčame doplniť, v súlade s čl. 18 ods. 1 písm. d) Legislatívnych pravidiel vlády Slovenskej republiky v znení neskorších zmien a doplnení, odôvodnenie dátumu účinnosti a dĺžky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legisvakancie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návrhu nariadenia vlády. Legislatívno-technická pripomienka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E3743F" w:rsidP="00E3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prílohe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prílohe k nariadeniu označenej nadpisom „Národná tabuľka frekvenčného spektra 2021“ – žiadame na strane 63 slová „733-758 MHz duplexná medzera“ nahradiť slovami „733-758 MHz duplexná medzera Policajný zbor“ alebo alternatívne nahradiť slovami „733-758 MHz Policajný zbor“. Odôvodnenie: Na základe požiadavky Ministerstva vnútra Slovenskej republiky príslušné štátne orgány rozhodli o vyčlenení frekvenčného kanálu o šírke 20 MHz vo frekvenčnom pásme 738 – 758 MHz pre použitie Policajným zborom. Na strane 63 Národnej tabuľky frekvenčného spektra 2021 je síce uvedené frekvenčné pásmo 733-758 MHz ako duplexná medzera bez uvedenia bližších podrobností, ale bez ďalšej konkretizácie vyčlenenia uvedeného frekvenčného pásma môže v budúcnosti dôjsť k sporom medzi štátnymi orgánmi o možnosti využívania uvedeného frekvenčného pásma. Túto pripomienku považujeme za zásadnú.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4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3F0B" w:rsidRDefault="00043F0B" w:rsidP="00043F0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MV SR od zásadnej pripomienky ustúpilo. </w:t>
            </w:r>
          </w:p>
          <w:p w:rsidR="00043F0B" w:rsidRPr="00043F0B" w:rsidRDefault="00043F0B" w:rsidP="00043F0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Využívanie uvedeného frekvenčného pásma pre Policajný zbor bude riešené formou  písomnej žiadosti MV SR adresovanej ÚREKPS</w:t>
            </w:r>
            <w:r w:rsidR="001E19F9">
              <w:rPr>
                <w:rFonts w:ascii="Times New Roman" w:hAnsi="Times New Roman" w:cs="Times New Roman"/>
                <w:sz w:val="24"/>
                <w:szCs w:val="24"/>
              </w:rPr>
              <w:t xml:space="preserve">, čo je </w:t>
            </w:r>
            <w:r w:rsidR="001E19F9" w:rsidRPr="00745556">
              <w:rPr>
                <w:rFonts w:ascii="Times New Roman" w:hAnsi="Times New Roman" w:cs="Times New Roman"/>
                <w:sz w:val="24"/>
                <w:szCs w:val="24"/>
              </w:rPr>
              <w:t>uveden</w:t>
            </w:r>
            <w:r w:rsidR="001E19F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1E19F9"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v zápise z </w:t>
            </w:r>
            <w:proofErr w:type="spellStart"/>
            <w:r w:rsidR="001E19F9" w:rsidRPr="00745556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="001E19F9" w:rsidRPr="00745556">
              <w:rPr>
                <w:rFonts w:ascii="Times New Roman" w:hAnsi="Times New Roman" w:cs="Times New Roman"/>
                <w:sz w:val="24"/>
                <w:szCs w:val="24"/>
              </w:rPr>
              <w:t xml:space="preserve"> konania zo dňa 4. 11. </w:t>
            </w:r>
            <w:r w:rsidR="001E19F9" w:rsidRPr="003E03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1. Všeobecne: Žiadame predkladateľa, aby v doložke zlučiteľnosti v bode 3 vypustil slová „nie je“ nakoľko predmet návrhu nariadenia vlády je upravený v práve Európskej únie.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E3743F" w:rsidP="00E3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návrhu nariadenia: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1. Žiadame aby v národnej tabuľke frekvenčného spektra 2021 bolo pri frekvenčnom pásme 25,5-26,5 GHz pre využitie IMT uvedené v časti poznámka k využitiu slovo „26 GHz“ nakoľko je táto zmena uvedená v dôvodovej správe všeobecnej časti v bode 5, avšak v predkladanej prílohe návrhu nariadenia (národnej tabuľke frekvenčného spektra 2021) nie je uvedená.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41255D" w:rsidP="0041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vysvetlená.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sprievodným dokumentom: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Žiadame predkladateľa návrhu, aby upravil predkladaciu správu v súlade s čl. 18 ods. 2 písm. d) Legislatívnych pravidiel vlády SR v platnom znení nakoľko predkladacia správa k návrhu nariadenia vlády má obsahovať odôvodnenie dátumu účinnosti a dĺžky </w:t>
            </w:r>
            <w:proofErr w:type="spellStart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legisvakancie</w:t>
            </w:r>
            <w:proofErr w:type="spellEnd"/>
            <w:r w:rsidRPr="00043F0B">
              <w:rPr>
                <w:rFonts w:ascii="Times New Roman" w:hAnsi="Times New Roman" w:cs="Times New Roman"/>
                <w:sz w:val="24"/>
                <w:szCs w:val="24"/>
              </w:rPr>
              <w:t xml:space="preserve"> návrhu nariadenia.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E3743F" w:rsidP="00E3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10. K bodu 3 písm. c): Žiadame o uvedenie rozsudku vo veci C-100/19 spolu s uvedením stručného výroku alebo relevantnej právnej vety v súlade s Prílohou č. 2 k Legislatívnym pravidlám vlády Slovenskej republiky, nakoľko je tento rozsudok relevantný pre predmet návrhu nariadenia vlády.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E3743F" w:rsidP="00E3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E3743F" w:rsidRDefault="0041255D" w:rsidP="00D9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Pripomienka </w:t>
            </w:r>
            <w:r w:rsidR="00D942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vysvetlená. </w:t>
            </w:r>
            <w:r w:rsidR="00E3743F" w:rsidRPr="00E374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Dotknutý rozsudok sa týka procesu udeľovania individuálnych povolení a nie určenia frekvenčných pásiem pre služby, na čo je prioritne určená NTFS. 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2. K bodu 3 písm. b): Žiadame predkladateľa, aby doplnil do bodu 3 písm. b) vykonávacie rozhodnutie (EÚ) 2020/1426 a súčasne vypustil rozhodnutie 2008/671/ES z dôvodu, že rozhodnutie 2008/671/ES bolo zrušené rozhodnutím (EÚ) 2020/1426. Zároveň žiadame, aby táto zmena bola reflektovaná aj v prílohe návrhu nariadenia vlády Slovenskej republiky (národnej tabuľke frekvenčného spektra 2021).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návrhu nariadenia: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2. Žiadame aby do národnej tabuľky frekvenčného spektra 2021 bolo doplnené odporúčanie ECC/REC/(19)01 a zároveň vypustené rozhodnutie ECC/DEC/(06)03 nakoľko je táto zmena uvedená v dôvodovej správe všeobecnej časti v bode 6, avšak v predkladanej prílohe návrhu nariadenia (národnej tabuľke frekvenčného spektra 2021) nie je zapracovaná.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69113E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bol upravený v dôvodovej správe.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sprievodným dokumentom: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2. Žiadame predkladateľa aby v dôvodovej správe všeobecnej časti v bode 25. zmenil frekvenčné pásmo z uvádzaného „15 – 1535 MHz“ na „1530 – 1535 MHz“, nakoľko uvádzané frekvenčné pásmo 15 – 1535 MHz sa v prílohe návrhu nariadenia (národnej tabuľke frekvenčného spektra 2021) nenachádza.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69113E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3. K bodu 3 písm. b): Žiadame, aby v súlade s bodom 62.10. Prílohy č. 1 k Legislatívnym pravidlám vlády Slovenskej republiky v platnom znení bolo vykonávacie rozhodnutie 2012/688/EÚ uvádzané s dodatkom „v platnom znení“, keďže bolo novelizované vykonávacím rozhodnutím (EÚ) 2020/667.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4F0A67" w:rsidP="004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návrhu nariadenia: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3. Žiadame aby v národnej tabuľke frekvenčného spektra 2021 z frekvenčného pásma 52 – 68 MHz bola odstránená služba POHYBLIVÁ civ. nakoľko je táto zmena uvedená v dôvodovej správe všeobecnej časti v bode 14, avšak v predkladanej prílohe návrhu nariadenia (národnej tabuľke frekvenčného spektra 2021) nie je zapracovaná.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69113E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bol upravený v dôvodovej správe.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4. K bodu 3 písm. b): Žiadame, aby v súlade s bodom 62.10. Prílohy č. 1 k Legislatívnym pravidlám vlády Slovenskej republiky v platnom znení bolo rozhodnutie 2008/477/EÚ uvádzané s dodatkom „v platnom znení“, keďže bolo novelizované vykonávacím rozhodnutí (EÚ) 2020/636.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4F0A67" w:rsidP="004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návrhu nariadenia: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4. Žiadame aby v národnej tabuľke frekvenčného spektra 2021 bola pri frekvenčných pásmach 10,7 – 10,95 GHz a 10,95 – 11,2 GHz doplnená služba POHYBLIVÁ okrem leteckej pohyblivej mil. pre „Obranné systémy“, a to vo frekvenčnom rozsahu 10905 – 11073 MHz, nakoľko máme za to, že je táto zmena nesprávne uvedená pod službou PEVNÁ mil. pre „Obranné systémy“. Dovoľujeme si upozorniť, že táto požiadavka vyplýva z dôvodovej správy všeobecnej časti z bodu 36.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69113E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bol upravený v dôvodovej správe.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5. K bodu 3 písm. b): Žiadame, aby v súlade s bodom 62.10. Prílohy č. 1 k Legislatívnym pravidlám vlády Slovenskej republiky v platnom znení bolo vykonávacie rozhodnutie (EÚ) 2019/784 uvádzané s dodatkom „v platnom znení“, keďže bolo novelizované vykonávacím rozhodnutím (EÚ) 2020/590.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4F0A67" w:rsidP="004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návrhu nariadenia: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5. Žiadame aby v národnej tabuľke frekvenčného spektra 2021 bola pri frekvenčnom pásme 11,2 – 11,45 GHz doplnená služba POHYBLIVÁ okrem leteckej pohyblivej mil. pre „Obranné systémy“, a to vo frekvenčnom rozsahu 11395 – 11563 MHz, nakoľko máme za to, že je táto zmena nesprávne uvedená pod službou PEVNÁ mil. pre „Obranné systémy“. Dovoľujeme si upozorniť, že táto požiadavka vyplýva z dôvodovej správy všeobecnej časti z bodu 38.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69113E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bol upravený v dôvodovej správe.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6. K bodu 3 písm. b): Žiadame uvádzať číslo rozhodnutia Komisie z 11. júna 2019, ktorým sa zriaďuje skupina pre politiku rádiového spektra a zrušuje rozhodnutie 2002/622/ES (Ú. v. EÚ C 196, 12. 6. 2019) za jeho názvom v zátvorke v súlade s bodom 62. 8. Prílohy č. 1 k Legislatívnym pravidlám vlády Slovenskej republiky v platnom znení.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4F0A67" w:rsidP="004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návrhu nariadenia: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6. Žiadame aby v národnej tabuľke frekvenčného spektra 2021 bola pri frekvenčnom pásme 11,45 – 11,7 GHz doplnená služba POHYBLIVÁ mil. pre „Obranné systémy“, a to vo frekvenčnom rozsahu 11395 – 11563 MHz, nakoľko máme za to, že je táto zmena nesprávne uvedená pod službou PEVNÁ mil. pre „Obranné systémy“. Dovoľujeme si upozorniť, že táto požiadavka vyplýva z dôvodovej správy všeobecnej časti z bodu 39.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69113E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bol upravený v dôvodovej správe.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7. K bodu 3 písm. b): Žiadame, aby bol chybne uvedený názov vykonávacieho rozhodnutia (EÚ) 2015/750 v platnom znení upravený tak, že slová „1427 – 1517 MHz“ budú nahradené za slová „1452 – 1492 MHz“.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návrhu nariadenia: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7. Žiadame aby v národnej tabuľke frekvenčného spektra 2021 bola pri frekvenčnom pásme 17,7 – 18,1 GHz doplnená služba POHYBLIVÁ mil. pre „Obranné systémy“, a to vo frekvenčnom rozsahu 17961,25 – 18043,75 MHz, nakoľko máme za to, že je táto zmena nesprávne uvedená pod službou PEVNÁ mil. pre „Obranné systémy“. Dovoľujeme si upozorniť, že táto požiadavka vyplýva z dôvodovej správy všeobecnej časti z bodu 44.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69113E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bol upravený v dôvodovej správe.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8. K bodu 3 písm. b): Žiadame aby v súlade s bodom 62.10. Prílohy č. 1 k Legislatívnym pravidlám vlády Slovenskej republiky v platnom znení bolo rozhodnutie č. 626/2008/ES uvádzané s dodatkom „v platnom znení“, keďže bolo novelizované nariadením (EÚ) 2019/1243.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4F0A67" w:rsidP="004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návrhu nariadenia: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8. Žiadame aby v národnej tabuľke frekvenčného spektra 2021 bola pri frekvenčnom pásme 18,8 – 19,3 GHz doplnená služba POHYBLIVÁ mil. pre „Obranné systémy“, a to vo frekvenčnom rozsahu 18971,25 – 19053,75 MHz, nakoľko máme za to, že je táto zmena nesprávne uvedená pod službou PEVNÁ mil. pre „Obranné systémy“. Dovoľujeme si upozorniť, že táto požiadavka vyplýva z dôvodovej správy všeobecnej časti z bodu 46.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6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bol upravený v dôvodovej správe.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9. K bodu 3 písm. b): Žiadame o vypustenie rozhodnutia č. 676/2002/ES z doložky zlučiteľnosti nakoľko nie je relevantné pre predmet návrhu nariadenia vlády Slovenskej republiky, ktorým sa ustanovuje národná tabuľka frekvenčného spektra.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41255D" w:rsidP="0041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41255D" w:rsidP="00D9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Pripomienka </w:t>
            </w:r>
            <w:r w:rsidR="00D942DC"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vysvetlená. O</w:t>
            </w:r>
            <w:r w:rsidR="00D942D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pripomienky ustúpil.</w:t>
            </w:r>
          </w:p>
        </w:tc>
      </w:tr>
      <w:tr w:rsidR="00D47FC5" w:rsidRPr="00043F0B" w:rsidTr="00ED66FA">
        <w:trPr>
          <w:divId w:val="73309044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ÚNMSSR 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č. 2</w:t>
            </w:r>
            <w:r w:rsidRPr="00043F0B">
              <w:rPr>
                <w:rFonts w:ascii="Times New Roman" w:hAnsi="Times New Roman" w:cs="Times New Roman"/>
                <w:sz w:val="24"/>
                <w:szCs w:val="24"/>
              </w:rPr>
              <w:br/>
              <w:t>V stĺpci „Frekvenčné pásmo“ a „Poznámka k využitiu“ navrhujeme nahradiť zápis rozsahu frekvenčného pásma takto: napr. (0 – 8,3) kHz alebo 0 kHz – 8,3 kHz. Obdobne navrhujeme nahradiť aj ostatné zápisy rozsahu frekvenčného pásma v prílohe č. 2. Odôvodnenie: Číselné hodnoty sa vzťahujú k symbolu veličiny frekvencie, preto by mali byť umiestnené vždy za každou číselnou hodnotou a oddelené medzerou. Uvedená úprava vyplýva z STN 01 6910: 2011 Pravidlá písania a úpravy písomností.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D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0D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FC5" w:rsidRPr="00043F0B" w:rsidRDefault="0069113E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rozsahov frekvenčných pásiem sa uvádza v súlade s Rádiokomunikačným poriadkom ITU, ktorý je záväznou medzinárodnou zmluvou.</w:t>
            </w:r>
          </w:p>
        </w:tc>
      </w:tr>
    </w:tbl>
    <w:p w:rsidR="00154A91" w:rsidRPr="00043F0B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p w:rsidR="00154A91" w:rsidRPr="00043F0B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sectPr w:rsidR="00154A91" w:rsidRPr="00043F0B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86" w:rsidRDefault="00013186" w:rsidP="000A67D5">
      <w:pPr>
        <w:spacing w:after="0" w:line="240" w:lineRule="auto"/>
      </w:pPr>
      <w:r>
        <w:separator/>
      </w:r>
    </w:p>
  </w:endnote>
  <w:endnote w:type="continuationSeparator" w:id="0">
    <w:p w:rsidR="00013186" w:rsidRDefault="0001318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038416"/>
      <w:docPartObj>
        <w:docPartGallery w:val="Page Numbers (Bottom of Page)"/>
        <w:docPartUnique/>
      </w:docPartObj>
    </w:sdtPr>
    <w:sdtContent>
      <w:p w:rsidR="00A6199E" w:rsidRDefault="00A619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A6199E" w:rsidRDefault="00A619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86" w:rsidRDefault="00013186" w:rsidP="000A67D5">
      <w:pPr>
        <w:spacing w:after="0" w:line="240" w:lineRule="auto"/>
      </w:pPr>
      <w:r>
        <w:separator/>
      </w:r>
    </w:p>
  </w:footnote>
  <w:footnote w:type="continuationSeparator" w:id="0">
    <w:p w:rsidR="00013186" w:rsidRDefault="0001318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13186"/>
    <w:rsid w:val="00024402"/>
    <w:rsid w:val="000324A3"/>
    <w:rsid w:val="00043F0B"/>
    <w:rsid w:val="0006543E"/>
    <w:rsid w:val="000A67D5"/>
    <w:rsid w:val="000D2A82"/>
    <w:rsid w:val="000E25CA"/>
    <w:rsid w:val="000F7A42"/>
    <w:rsid w:val="00146547"/>
    <w:rsid w:val="00146B48"/>
    <w:rsid w:val="00150388"/>
    <w:rsid w:val="00154A91"/>
    <w:rsid w:val="001A57B1"/>
    <w:rsid w:val="001E19F9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03D1"/>
    <w:rsid w:val="003B435B"/>
    <w:rsid w:val="003D101C"/>
    <w:rsid w:val="003D3933"/>
    <w:rsid w:val="003D5E45"/>
    <w:rsid w:val="003E03CB"/>
    <w:rsid w:val="003E4226"/>
    <w:rsid w:val="004075B2"/>
    <w:rsid w:val="0041255D"/>
    <w:rsid w:val="00436C44"/>
    <w:rsid w:val="00472318"/>
    <w:rsid w:val="00474A9D"/>
    <w:rsid w:val="004A60F5"/>
    <w:rsid w:val="004F0A67"/>
    <w:rsid w:val="00532574"/>
    <w:rsid w:val="0059081C"/>
    <w:rsid w:val="005E7C53"/>
    <w:rsid w:val="006123CE"/>
    <w:rsid w:val="00642FB8"/>
    <w:rsid w:val="0069113E"/>
    <w:rsid w:val="006A3681"/>
    <w:rsid w:val="006A4A2D"/>
    <w:rsid w:val="00704AFF"/>
    <w:rsid w:val="007156F5"/>
    <w:rsid w:val="00745556"/>
    <w:rsid w:val="007A1010"/>
    <w:rsid w:val="007B78C8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1051D"/>
    <w:rsid w:val="00A251BF"/>
    <w:rsid w:val="00A54A16"/>
    <w:rsid w:val="00A6199E"/>
    <w:rsid w:val="00AA27B1"/>
    <w:rsid w:val="00B721A5"/>
    <w:rsid w:val="00B76589"/>
    <w:rsid w:val="00B8767E"/>
    <w:rsid w:val="00BD1FAB"/>
    <w:rsid w:val="00BE7302"/>
    <w:rsid w:val="00BE74BB"/>
    <w:rsid w:val="00BF7CE0"/>
    <w:rsid w:val="00CA44D2"/>
    <w:rsid w:val="00CE47A6"/>
    <w:rsid w:val="00CF3D59"/>
    <w:rsid w:val="00D261C9"/>
    <w:rsid w:val="00D47FC5"/>
    <w:rsid w:val="00D85172"/>
    <w:rsid w:val="00D942DC"/>
    <w:rsid w:val="00D969AC"/>
    <w:rsid w:val="00DD7F5F"/>
    <w:rsid w:val="00DF7085"/>
    <w:rsid w:val="00E3743F"/>
    <w:rsid w:val="00E85710"/>
    <w:rsid w:val="00EB6818"/>
    <w:rsid w:val="00EB772A"/>
    <w:rsid w:val="00ED46ED"/>
    <w:rsid w:val="00ED66F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11.2020 13:37:58"/>
    <f:field ref="objchangedby" par="" text="Administrator, System"/>
    <f:field ref="objmodifiedat" par="" text="4.11.2020 13:38:0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2020-11-09T10:02:00Z</dcterms:created>
  <dcterms:modified xsi:type="dcterms:W3CDTF">2020-11-09T10:03:00Z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&lt;/strong&gt;&lt;/p&gt;&lt;p align="center"&gt;&lt;strong&gt;na tvorbe právnych predpisov&lt;/strong&gt;&lt;/p&gt;&lt;p style="text-align: justify;"&gt;Návrh nariadenia vlády bol zaslaný formou cielenej konzultácie na pripomienkovanie SO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Telekomunikácie a telekomunikačné služby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Gabriel Stančik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ustanovuje národná tabuľka frekvenčného spektra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>Ministerstvo dopravy a výstavby Slovenskej republiky, Ministerstvo dopravy a výstavby Slovenskej republiky, Ministerstvo dopravy a výstavby Slovenskej republiky, Ministerstvo dopravy a výstavby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 na mesiace september až december 2020</vt:lpwstr>
  </property>
  <property fmtid="{D5CDD505-2E9C-101B-9397-08002B2CF9AE}" pid="22" name="FSC#SKEDITIONSLOVLEX@103.510:plnynazovpredpis">
    <vt:lpwstr> Nariadenie vlády  Slovenskej republiky ktorým sa ustanovuje národná tabuľka frekvenčného spektra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25854/2020/SEKPS/76547-M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LP/2020/445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COO.2145.1000.3.4081502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4. 11. 2020</vt:lpwstr>
  </property>
</Properties>
</file>