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A8" w:rsidRPr="00A618FD" w:rsidRDefault="00D20DA8" w:rsidP="00D20DA8">
      <w:pPr>
        <w:jc w:val="center"/>
        <w:rPr>
          <w:rFonts w:ascii="Times New Roman" w:hAnsi="Times New Roman" w:cs="Times New Roman"/>
          <w:b/>
          <w:sz w:val="24"/>
          <w:szCs w:val="24"/>
        </w:rPr>
      </w:pPr>
      <w:bookmarkStart w:id="0" w:name="_GoBack"/>
      <w:bookmarkEnd w:id="0"/>
      <w:r w:rsidRPr="00A618FD">
        <w:rPr>
          <w:rFonts w:ascii="Times New Roman" w:hAnsi="Times New Roman" w:cs="Times New Roman"/>
          <w:b/>
          <w:sz w:val="24"/>
          <w:szCs w:val="24"/>
        </w:rPr>
        <w:t>Vyhlásenie o rozporoch</w:t>
      </w:r>
    </w:p>
    <w:p w:rsidR="00D20DA8" w:rsidRPr="004954F8" w:rsidRDefault="00D20DA8" w:rsidP="00D20DA8">
      <w:pPr>
        <w:jc w:val="center"/>
        <w:rPr>
          <w:rFonts w:ascii="Times New Roman" w:hAnsi="Times New Roman" w:cs="Times New Roman"/>
          <w:sz w:val="24"/>
          <w:szCs w:val="24"/>
        </w:rPr>
      </w:pPr>
      <w:r w:rsidRPr="00A618FD">
        <w:rPr>
          <w:rFonts w:ascii="Times New Roman" w:hAnsi="Times New Roman" w:cs="Times New Roman"/>
          <w:sz w:val="24"/>
          <w:szCs w:val="24"/>
        </w:rPr>
        <w:t xml:space="preserve">Návrh </w:t>
      </w:r>
      <w:r w:rsidR="004954F8">
        <w:rPr>
          <w:rFonts w:ascii="Times New Roman" w:hAnsi="Times New Roman" w:cs="Times New Roman"/>
          <w:sz w:val="24"/>
          <w:szCs w:val="24"/>
        </w:rPr>
        <w:t xml:space="preserve">ústavného </w:t>
      </w:r>
      <w:r w:rsidRPr="00A618FD">
        <w:rPr>
          <w:rFonts w:ascii="Times New Roman" w:hAnsi="Times New Roman" w:cs="Times New Roman"/>
          <w:sz w:val="24"/>
          <w:szCs w:val="24"/>
        </w:rPr>
        <w:t>zákona o</w:t>
      </w:r>
      <w:r w:rsidR="004954F8">
        <w:rPr>
          <w:rFonts w:ascii="Times New Roman" w:hAnsi="Times New Roman" w:cs="Times New Roman"/>
          <w:sz w:val="24"/>
          <w:szCs w:val="24"/>
        </w:rPr>
        <w:t> rozpočtovej zodpovednosti</w:t>
      </w:r>
      <w:r w:rsidRPr="00A618FD">
        <w:rPr>
          <w:rFonts w:ascii="Times New Roman" w:hAnsi="Times New Roman" w:cs="Times New Roman"/>
          <w:sz w:val="24"/>
          <w:szCs w:val="24"/>
        </w:rPr>
        <w:t xml:space="preserve"> sa predkladá s týmito rozpormi s Ministerstvom </w:t>
      </w:r>
      <w:r w:rsidR="004954F8">
        <w:rPr>
          <w:rFonts w:ascii="Times New Roman" w:hAnsi="Times New Roman" w:cs="Times New Roman"/>
          <w:sz w:val="24"/>
          <w:szCs w:val="24"/>
        </w:rPr>
        <w:t>hospodárstva</w:t>
      </w:r>
      <w:r w:rsidRPr="00A618FD">
        <w:rPr>
          <w:rFonts w:ascii="Times New Roman" w:hAnsi="Times New Roman" w:cs="Times New Roman"/>
          <w:sz w:val="24"/>
          <w:szCs w:val="24"/>
        </w:rPr>
        <w:t xml:space="preserve"> SR (M</w:t>
      </w:r>
      <w:r w:rsidR="004954F8">
        <w:rPr>
          <w:rFonts w:ascii="Times New Roman" w:hAnsi="Times New Roman" w:cs="Times New Roman"/>
          <w:sz w:val="24"/>
          <w:szCs w:val="24"/>
        </w:rPr>
        <w:t>H</w:t>
      </w:r>
      <w:r w:rsidRPr="00A618FD">
        <w:rPr>
          <w:rFonts w:ascii="Times New Roman" w:hAnsi="Times New Roman" w:cs="Times New Roman"/>
          <w:sz w:val="24"/>
          <w:szCs w:val="24"/>
        </w:rPr>
        <w:t>SR</w:t>
      </w:r>
      <w:r w:rsidR="004954F8">
        <w:rPr>
          <w:rFonts w:ascii="Times New Roman" w:hAnsi="Times New Roman" w:cs="Times New Roman"/>
          <w:sz w:val="24"/>
          <w:szCs w:val="24"/>
        </w:rPr>
        <w:t xml:space="preserve">) </w:t>
      </w:r>
      <w:r w:rsidRPr="00A618FD">
        <w:rPr>
          <w:rFonts w:ascii="Times New Roman" w:hAnsi="Times New Roman" w:cs="Times New Roman"/>
          <w:sz w:val="24"/>
          <w:szCs w:val="24"/>
        </w:rPr>
        <w:t xml:space="preserve">a Ministerstvom </w:t>
      </w:r>
      <w:r w:rsidR="004954F8">
        <w:rPr>
          <w:rFonts w:ascii="Times New Roman" w:hAnsi="Times New Roman" w:cs="Times New Roman"/>
          <w:sz w:val="24"/>
          <w:szCs w:val="24"/>
        </w:rPr>
        <w:t>práce sociálnych vecí a rodiny SR</w:t>
      </w:r>
      <w:r w:rsidRPr="00A618FD">
        <w:rPr>
          <w:rFonts w:ascii="Times New Roman" w:hAnsi="Times New Roman" w:cs="Times New Roman"/>
          <w:sz w:val="24"/>
          <w:szCs w:val="24"/>
        </w:rPr>
        <w:t xml:space="preserve"> </w:t>
      </w:r>
      <w:r w:rsidRPr="004954F8">
        <w:rPr>
          <w:rFonts w:ascii="Times New Roman" w:hAnsi="Times New Roman" w:cs="Times New Roman"/>
          <w:sz w:val="24"/>
          <w:szCs w:val="24"/>
        </w:rPr>
        <w:t>(</w:t>
      </w:r>
      <w:r w:rsidR="004954F8" w:rsidRPr="004954F8">
        <w:rPr>
          <w:rFonts w:ascii="Times" w:hAnsi="Times" w:cs="Times"/>
          <w:bCs/>
          <w:sz w:val="25"/>
          <w:szCs w:val="25"/>
        </w:rPr>
        <w:t>MPSVRSR</w:t>
      </w:r>
      <w:r w:rsidRPr="004954F8">
        <w:rPr>
          <w:rFonts w:ascii="Times New Roman" w:hAnsi="Times New Roman" w:cs="Times New Roman"/>
          <w:sz w:val="24"/>
          <w:szCs w:val="24"/>
        </w:rPr>
        <w:t>)</w:t>
      </w:r>
    </w:p>
    <w:p w:rsidR="00D20DA8" w:rsidRPr="00A618FD" w:rsidRDefault="00D20DA8" w:rsidP="00D20DA8">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38"/>
        <w:gridCol w:w="8363"/>
        <w:gridCol w:w="3793"/>
      </w:tblGrid>
      <w:tr w:rsidR="00D20DA8" w:rsidRPr="00A618FD" w:rsidTr="002768BD">
        <w:tc>
          <w:tcPr>
            <w:tcW w:w="1838" w:type="dxa"/>
            <w:vAlign w:val="center"/>
          </w:tcPr>
          <w:p w:rsidR="00D20DA8" w:rsidRPr="00A618FD" w:rsidRDefault="004954F8" w:rsidP="00D20DA8">
            <w:pPr>
              <w:rPr>
                <w:rFonts w:ascii="Times New Roman" w:hAnsi="Times New Roman" w:cs="Times New Roman"/>
                <w:b/>
                <w:color w:val="000000"/>
                <w:sz w:val="24"/>
                <w:szCs w:val="24"/>
              </w:rPr>
            </w:pPr>
            <w:r>
              <w:rPr>
                <w:rFonts w:ascii="Times New Roman" w:hAnsi="Times New Roman" w:cs="Times New Roman"/>
                <w:b/>
                <w:color w:val="000000"/>
                <w:sz w:val="24"/>
                <w:szCs w:val="24"/>
              </w:rPr>
              <w:t>MHSR</w:t>
            </w:r>
          </w:p>
        </w:tc>
        <w:tc>
          <w:tcPr>
            <w:tcW w:w="8363" w:type="dxa"/>
          </w:tcPr>
          <w:p w:rsidR="00643982" w:rsidRDefault="004954F8" w:rsidP="00643982">
            <w:pPr>
              <w:rPr>
                <w:rFonts w:ascii="Times New Roman" w:hAnsi="Times New Roman" w:cs="Times New Roman"/>
                <w:b/>
                <w:bCs/>
                <w:sz w:val="24"/>
                <w:szCs w:val="24"/>
              </w:rPr>
            </w:pPr>
            <w:r w:rsidRPr="004954F8">
              <w:rPr>
                <w:rFonts w:ascii="Times New Roman" w:hAnsi="Times New Roman" w:cs="Times New Roman"/>
                <w:b/>
                <w:bCs/>
                <w:sz w:val="24"/>
                <w:szCs w:val="24"/>
              </w:rPr>
              <w:t>Čl. I bod</w:t>
            </w:r>
            <w:r w:rsidR="00643982">
              <w:rPr>
                <w:rFonts w:ascii="Times New Roman" w:hAnsi="Times New Roman" w:cs="Times New Roman"/>
                <w:b/>
                <w:bCs/>
                <w:sz w:val="24"/>
                <w:szCs w:val="24"/>
              </w:rPr>
              <w:t>u</w:t>
            </w:r>
            <w:r w:rsidRPr="004954F8">
              <w:rPr>
                <w:rFonts w:ascii="Times New Roman" w:hAnsi="Times New Roman" w:cs="Times New Roman"/>
                <w:b/>
                <w:bCs/>
                <w:sz w:val="24"/>
                <w:szCs w:val="24"/>
              </w:rPr>
              <w:t xml:space="preserve"> 6 </w:t>
            </w:r>
          </w:p>
          <w:p w:rsidR="00D20DA8" w:rsidRPr="004954F8" w:rsidRDefault="004954F8" w:rsidP="00643982">
            <w:pPr>
              <w:rPr>
                <w:rFonts w:ascii="Times New Roman" w:hAnsi="Times New Roman" w:cs="Times New Roman"/>
                <w:b/>
                <w:sz w:val="24"/>
                <w:szCs w:val="24"/>
              </w:rPr>
            </w:pPr>
            <w:r w:rsidRPr="004954F8">
              <w:rPr>
                <w:rFonts w:ascii="Times New Roman" w:hAnsi="Times New Roman" w:cs="Times New Roman"/>
                <w:sz w:val="24"/>
                <w:szCs w:val="24"/>
              </w:rPr>
              <w:t>Žiadame vypustiť novelizačn</w:t>
            </w:r>
            <w:r w:rsidR="00643982">
              <w:rPr>
                <w:rFonts w:ascii="Times New Roman" w:hAnsi="Times New Roman" w:cs="Times New Roman"/>
                <w:sz w:val="24"/>
                <w:szCs w:val="24"/>
              </w:rPr>
              <w:t>ý</w:t>
            </w:r>
            <w:r w:rsidRPr="004954F8">
              <w:rPr>
                <w:rFonts w:ascii="Times New Roman" w:hAnsi="Times New Roman" w:cs="Times New Roman"/>
                <w:sz w:val="24"/>
                <w:szCs w:val="24"/>
              </w:rPr>
              <w:t xml:space="preserve"> body 6. Odôvodnenie: </w:t>
            </w:r>
            <w:r w:rsidR="00643982">
              <w:rPr>
                <w:rFonts w:ascii="Times New Roman" w:hAnsi="Times New Roman" w:cs="Times New Roman"/>
                <w:sz w:val="24"/>
                <w:szCs w:val="24"/>
              </w:rPr>
              <w:t>N</w:t>
            </w:r>
            <w:r w:rsidRPr="004954F8">
              <w:rPr>
                <w:rFonts w:ascii="Times New Roman" w:hAnsi="Times New Roman" w:cs="Times New Roman"/>
                <w:sz w:val="24"/>
                <w:szCs w:val="24"/>
              </w:rPr>
              <w:t>epovažujeme za vhodné meniť ústavný zákon z toho dôvodu, aby sa niektorí z predchádzajúcich členov RRZ ním mohol stať opäť.</w:t>
            </w:r>
          </w:p>
        </w:tc>
        <w:tc>
          <w:tcPr>
            <w:tcW w:w="3793" w:type="dxa"/>
            <w:vAlign w:val="center"/>
          </w:tcPr>
          <w:p w:rsidR="00D20DA8" w:rsidRPr="00A618FD" w:rsidRDefault="005A4073" w:rsidP="000D5E6A">
            <w:pPr>
              <w:shd w:val="clear" w:color="auto" w:fill="FFFFFF"/>
              <w:jc w:val="both"/>
              <w:rPr>
                <w:rFonts w:ascii="Times New Roman" w:hAnsi="Times New Roman" w:cs="Times New Roman"/>
                <w:sz w:val="24"/>
                <w:szCs w:val="24"/>
              </w:rPr>
            </w:pPr>
            <w:r>
              <w:rPr>
                <w:rFonts w:ascii="Times New Roman" w:hAnsi="Times New Roman" w:cs="Times New Roman"/>
                <w:sz w:val="24"/>
                <w:szCs w:val="24"/>
              </w:rPr>
              <w:t>Predkladateľ trvá na znení, ktoré predložil.</w:t>
            </w:r>
            <w:r w:rsidR="000D5E6A">
              <w:rPr>
                <w:rFonts w:ascii="Times New Roman" w:hAnsi="Times New Roman" w:cs="Times New Roman"/>
                <w:sz w:val="24"/>
                <w:szCs w:val="24"/>
              </w:rPr>
              <w:t xml:space="preserve"> Uvedené znenie</w:t>
            </w:r>
            <w:r w:rsidR="000D5E6A" w:rsidRPr="00C81383">
              <w:rPr>
                <w:rFonts w:ascii="Times New Roman" w:hAnsi="Times New Roman" w:cs="Times New Roman"/>
                <w:sz w:val="24"/>
                <w:szCs w:val="24"/>
              </w:rPr>
              <w:t xml:space="preserve"> umož</w:t>
            </w:r>
            <w:r w:rsidR="000D5E6A">
              <w:rPr>
                <w:rFonts w:ascii="Times New Roman" w:hAnsi="Times New Roman" w:cs="Times New Roman"/>
                <w:sz w:val="24"/>
                <w:szCs w:val="24"/>
              </w:rPr>
              <w:t xml:space="preserve">ňuje </w:t>
            </w:r>
            <w:r w:rsidR="000D5E6A" w:rsidRPr="00C81383">
              <w:rPr>
                <w:rFonts w:ascii="Times New Roman" w:hAnsi="Times New Roman" w:cs="Times New Roman"/>
                <w:sz w:val="24"/>
                <w:szCs w:val="24"/>
              </w:rPr>
              <w:t xml:space="preserve">členovi </w:t>
            </w:r>
            <w:r w:rsidR="000D5E6A">
              <w:rPr>
                <w:rFonts w:ascii="Times New Roman" w:hAnsi="Times New Roman" w:cs="Times New Roman"/>
                <w:sz w:val="24"/>
                <w:szCs w:val="24"/>
              </w:rPr>
              <w:t>rady</w:t>
            </w:r>
            <w:r w:rsidR="000D5E6A" w:rsidRPr="00C81383">
              <w:rPr>
                <w:rFonts w:ascii="Times New Roman" w:hAnsi="Times New Roman" w:cs="Times New Roman"/>
                <w:sz w:val="24"/>
                <w:szCs w:val="24"/>
              </w:rPr>
              <w:t xml:space="preserve">, ktorý bol zvolený za člena rady prvýkrát na kratšie funkčné obdobie troch rokov podľa prechodného ustanovenia čl. 10 ods. 3, aby mohol byť zvolený opätovne na jedno sedemročné funkčné obdobie. </w:t>
            </w:r>
          </w:p>
        </w:tc>
      </w:tr>
      <w:tr w:rsidR="004954F8" w:rsidRPr="00A618FD" w:rsidTr="002768BD">
        <w:tc>
          <w:tcPr>
            <w:tcW w:w="1838" w:type="dxa"/>
            <w:vAlign w:val="center"/>
          </w:tcPr>
          <w:p w:rsidR="004954F8" w:rsidRDefault="004954F8" w:rsidP="00D20DA8">
            <w:pPr>
              <w:rPr>
                <w:rFonts w:ascii="Times New Roman" w:hAnsi="Times New Roman" w:cs="Times New Roman"/>
                <w:b/>
                <w:color w:val="000000"/>
                <w:sz w:val="24"/>
                <w:szCs w:val="24"/>
              </w:rPr>
            </w:pPr>
            <w:r w:rsidRPr="004954F8">
              <w:rPr>
                <w:rFonts w:ascii="Times" w:hAnsi="Times" w:cs="Times"/>
                <w:b/>
                <w:bCs/>
                <w:sz w:val="25"/>
                <w:szCs w:val="25"/>
              </w:rPr>
              <w:t>MPSVRSR</w:t>
            </w:r>
          </w:p>
        </w:tc>
        <w:tc>
          <w:tcPr>
            <w:tcW w:w="8363" w:type="dxa"/>
          </w:tcPr>
          <w:p w:rsidR="004954F8" w:rsidRPr="00643982" w:rsidRDefault="00643982" w:rsidP="004954F8">
            <w:pPr>
              <w:rPr>
                <w:rFonts w:ascii="Times New Roman" w:hAnsi="Times New Roman" w:cs="Times New Roman"/>
                <w:b/>
                <w:bCs/>
                <w:sz w:val="24"/>
                <w:szCs w:val="24"/>
              </w:rPr>
            </w:pPr>
            <w:r w:rsidRPr="00643982">
              <w:rPr>
                <w:rFonts w:ascii="Times New Roman" w:hAnsi="Times New Roman" w:cs="Times New Roman"/>
                <w:b/>
                <w:bCs/>
                <w:sz w:val="24"/>
                <w:szCs w:val="24"/>
              </w:rPr>
              <w:t>K Čl. I bodu 7</w:t>
            </w:r>
            <w:r w:rsidRPr="00643982">
              <w:rPr>
                <w:rFonts w:ascii="Times New Roman" w:hAnsi="Times New Roman" w:cs="Times New Roman"/>
                <w:sz w:val="24"/>
                <w:szCs w:val="24"/>
              </w:rPr>
              <w:br/>
              <w:t xml:space="preserve">Zásadne žiadam v Čl. I bode 7 vypustiť pripájanú vetu, ktorá znie: „Za člena rady nemožno navrhnúť uchádzača, ktorý dva roky pred zvolením vykonával funkciu v politickej strane alebo politickom hnutí, funkciu prezidenta Slovenskej republiky, poslanca národnej rady, poslanca Európskeho parlamentu, člena vlády, štátneho tajomníka a člena Európskej komisie.“. Odôvodnenie: Zásadne nesúhlasím s navrhovanými obmedzeniami pre uchádzačov o členstvo v Rade pre rozpočtovú zodpovednosť. Nie je legitímny dôvod na obmedzovanie členstva z dôvodu predchádzajúceho výkonu funkcie v politickej strane alebo politickom hnutí, funkcie prezidenta Slovenskej republiky, poslanca Národnej rady Slovenskej republiky, poslanca Európskeho parlamentu, člena vlády Slovenskej republiky, štátneho tajomníka a člena Európskej komisie. Zároveň nie je zrejmé, z čoho vychádzal predkladateľ pri vymedzení časového úseku predchádzajúcich dvoch rokov, počas ktorých predkladateľ vylúčil výkon uvedených funkcií. Upozorňujem, že v právnom poriadku Slovenskej republiky generálne upravuje nezlučiteľnosť výkonu verejných funkcií ústavný zákon č. 357/2004 Z. z. o ochrane verejného záujmu pri výkone funkcií verejných funkcionárov v znení neskorších predpisov. Obmedzenia po skončení výkonu verejnej funkcie jednoznačne upravuje čl. 8 ústavného zákona č. 357/2004 Z. z. o ochrane verejného záujmu pri výkone funkcií verejných funkcionárov. Čl. 5 ústavného zákona č. 357/2004 Z. z. o ochrane verejného záujmu pri výkone funkcií verejných </w:t>
            </w:r>
            <w:r w:rsidRPr="00643982">
              <w:rPr>
                <w:rFonts w:ascii="Times New Roman" w:hAnsi="Times New Roman" w:cs="Times New Roman"/>
                <w:sz w:val="24"/>
                <w:szCs w:val="24"/>
              </w:rPr>
              <w:lastRenderedPageBreak/>
              <w:t>funkcionárov upravuje nezlučiteľnosť niektorých funkcií, zamestnaní a činností s tým, že verejný funkcionár nesmie vykonávať funkcie, zamestnania a činnosti, ktoré sú nezlučiteľné s funkciou verejného funkcionára podľa Ústavy Slovenskej republiky a zákonov. A tým dáva dispozíciu na úpravu nezlučiteľnosti výkonu verejných funkcií, ale len vo vzťahu k paralelnému výkonu verejných funkcií. S účinnosťou od 1. januára 2020 sa predseda a člen Rady pre rozpočtovú zodpovednosť považujú za verejného funkcionára podľa ústavného zákon č. 357/2004 Z. z. o ochrane verejného záujmu pri výkone funkcií verejných funkcionárov (čl. 2 ods. 1 písm. zk) ústavného zákona č. 357/2004 Z. z. o ochrane verejného záujmu pri výkone funkcií verejných funkcionárov v znení ústavného zákona č. 66/2019 Z. z. ). Zároveň poukazujem, že Ústava Slovenskej republiky upravuje len nezlučiteľnosť výkonu verejných funkcií vykonávaných súčasne a nie obmedzenia výkonu verejnej funkcie s časovým horizontom v rokoch po ukončení výkonu verejnej funkcie.</w:t>
            </w:r>
          </w:p>
        </w:tc>
        <w:tc>
          <w:tcPr>
            <w:tcW w:w="3793" w:type="dxa"/>
            <w:vAlign w:val="center"/>
          </w:tcPr>
          <w:p w:rsidR="004954F8" w:rsidRPr="00A618FD" w:rsidRDefault="005A4073" w:rsidP="000D5E6A">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Predkladateľ trvá na znení, ktoré predložil.</w:t>
            </w:r>
            <w:r w:rsidR="000D5E6A" w:rsidRPr="00C81383">
              <w:rPr>
                <w:rFonts w:ascii="Times New Roman" w:hAnsi="Times New Roman" w:cs="Times New Roman"/>
                <w:sz w:val="24"/>
                <w:szCs w:val="24"/>
              </w:rPr>
              <w:t xml:space="preserve"> S cieľom posilniť funkčnú nezávislosť rady sa v návrhu stanovujú obmedzenia pre uchádzačov o členstvo v rade, čím sa minimalizuje možné politické zasahovanie do jej fungovania. </w:t>
            </w:r>
          </w:p>
        </w:tc>
      </w:tr>
      <w:tr w:rsidR="00D20DA8" w:rsidRPr="00A618FD" w:rsidTr="002768BD">
        <w:tc>
          <w:tcPr>
            <w:tcW w:w="1838" w:type="dxa"/>
            <w:vAlign w:val="center"/>
          </w:tcPr>
          <w:p w:rsidR="00D20DA8" w:rsidRPr="004954F8" w:rsidRDefault="004954F8" w:rsidP="00D20DA8">
            <w:pPr>
              <w:rPr>
                <w:rFonts w:ascii="Times New Roman" w:hAnsi="Times New Roman" w:cs="Times New Roman"/>
                <w:b/>
                <w:color w:val="000000"/>
                <w:sz w:val="24"/>
                <w:szCs w:val="24"/>
              </w:rPr>
            </w:pPr>
            <w:r w:rsidRPr="004954F8">
              <w:rPr>
                <w:rFonts w:ascii="Times" w:hAnsi="Times" w:cs="Times"/>
                <w:b/>
                <w:bCs/>
                <w:sz w:val="25"/>
                <w:szCs w:val="25"/>
              </w:rPr>
              <w:t>MPSVRSR</w:t>
            </w:r>
          </w:p>
        </w:tc>
        <w:tc>
          <w:tcPr>
            <w:tcW w:w="8363" w:type="dxa"/>
          </w:tcPr>
          <w:p w:rsidR="00D20DA8" w:rsidRPr="004954F8" w:rsidRDefault="004954F8" w:rsidP="004954F8">
            <w:pPr>
              <w:rPr>
                <w:rFonts w:ascii="Times New Roman" w:hAnsi="Times New Roman" w:cs="Times New Roman"/>
                <w:sz w:val="24"/>
                <w:szCs w:val="24"/>
              </w:rPr>
            </w:pPr>
            <w:r w:rsidRPr="004954F8">
              <w:rPr>
                <w:rFonts w:ascii="Times New Roman" w:hAnsi="Times New Roman" w:cs="Times New Roman"/>
                <w:b/>
                <w:bCs/>
                <w:sz w:val="24"/>
                <w:szCs w:val="24"/>
              </w:rPr>
              <w:t>K Čl. I bodu 15</w:t>
            </w:r>
            <w:r w:rsidRPr="004954F8">
              <w:rPr>
                <w:rFonts w:ascii="Times New Roman" w:hAnsi="Times New Roman" w:cs="Times New Roman"/>
                <w:sz w:val="24"/>
                <w:szCs w:val="24"/>
              </w:rPr>
              <w:br/>
              <w:t>Zásadne žiadam v Čl. I bode 15 navrhovaný čl. 7a upraviť v tom zmysle, aby kompetencia vypočítať limit verejných výdavkov nebola zverená Rade pre rozpočtovú zodpovednosť, ale vláde Slovenskej republiky. Odôvodnenie: V záujme posilnenia transparentnosti a dôveryhodnosti výdavkových limitov ako operatívneho nástroja riadenia verejných financií by vypočítavanie limitu verejných výdavkov na základe plánovaného štrukturálneho salda malo spadať výhradne do pôsobnosti vlády Slovenskej republiky. V zmysle Programového vyhlásenia vlády Slovenskej republiky na obdobie rokov 2020 – 2024 „Opatrenia revízií výdavkov, vrátane možných presunov financií medzi jednotlivými kapitolami, schválené vládou budú zohľadnené v návrhu rozpočtu a vo výdavkových limitoch.“.</w:t>
            </w:r>
          </w:p>
        </w:tc>
        <w:tc>
          <w:tcPr>
            <w:tcW w:w="3793" w:type="dxa"/>
            <w:vAlign w:val="center"/>
          </w:tcPr>
          <w:p w:rsidR="004954F8" w:rsidRPr="004954F8" w:rsidRDefault="000D5E6A" w:rsidP="004954F8">
            <w:pPr>
              <w:rPr>
                <w:rFonts w:ascii="Times New Roman" w:hAnsi="Times New Roman"/>
                <w:sz w:val="24"/>
                <w:szCs w:val="24"/>
              </w:rPr>
            </w:pPr>
            <w:r>
              <w:rPr>
                <w:rFonts w:ascii="Times New Roman" w:hAnsi="Times New Roman" w:cs="Times New Roman"/>
                <w:sz w:val="24"/>
                <w:szCs w:val="24"/>
              </w:rPr>
              <w:t>Predkladateľ trvá na znení, ktoré predložil.</w:t>
            </w:r>
            <w:r w:rsidRPr="00C81383">
              <w:rPr>
                <w:rFonts w:ascii="Times New Roman" w:hAnsi="Times New Roman" w:cs="Times New Roman"/>
                <w:sz w:val="24"/>
                <w:szCs w:val="24"/>
              </w:rPr>
              <w:t xml:space="preserve"> </w:t>
            </w:r>
            <w:r w:rsidR="004954F8" w:rsidRPr="004954F8">
              <w:rPr>
                <w:rFonts w:ascii="Times New Roman" w:hAnsi="Times New Roman"/>
                <w:sz w:val="24"/>
                <w:szCs w:val="24"/>
              </w:rPr>
              <w:t>Výpočet limitu nezávislou fiškálnou autoritou (RRZ) podporí transparentný proces tvorby rozpočtu. Fiškálna autorita sa pri výpočte limitu bude striktne držať znenia ústavného Navyše pre RRZ zákon stanoví povinnosť pripraviť a publikovať metodiku na výpočet štrukturálneho salda, tak aby sa minimalizovali nejasnosti a rôzne možnosti výpočtu výdavkového limitu.</w:t>
            </w:r>
          </w:p>
          <w:p w:rsidR="00D20DA8" w:rsidRPr="00A618FD" w:rsidRDefault="004954F8" w:rsidP="004954F8">
            <w:pPr>
              <w:jc w:val="both"/>
              <w:rPr>
                <w:rFonts w:ascii="Times New Roman" w:hAnsi="Times New Roman" w:cs="Times New Roman"/>
                <w:sz w:val="24"/>
                <w:szCs w:val="24"/>
              </w:rPr>
            </w:pPr>
            <w:r w:rsidRPr="004954F8">
              <w:rPr>
                <w:rFonts w:ascii="Times New Roman" w:hAnsi="Times New Roman"/>
                <w:sz w:val="24"/>
                <w:szCs w:val="24"/>
              </w:rPr>
              <w:t>Výpočet limitu RRZ nie je v rozpore s citovanou vetou z Programového vyhlásenia vlády SR na roky 2020 až 2024. Opatrenia revízii výdavkov, ako aj možnosti presunov financií medzi kapitolami schválené vládou budú naďalej možné, keďže RRZ vypočíta iba agregátny limit výdavkov a určenie jednotlivých limitov rezortov resp. rozpočtových kapitol bude naďalej v kompetencii vlády.</w:t>
            </w:r>
          </w:p>
        </w:tc>
      </w:tr>
      <w:tr w:rsidR="004954F8" w:rsidRPr="00A618FD" w:rsidTr="002768BD">
        <w:tc>
          <w:tcPr>
            <w:tcW w:w="1838" w:type="dxa"/>
            <w:vAlign w:val="center"/>
          </w:tcPr>
          <w:p w:rsidR="004954F8" w:rsidRPr="004954F8" w:rsidRDefault="004954F8" w:rsidP="004954F8">
            <w:pPr>
              <w:rPr>
                <w:rFonts w:ascii="Times New Roman" w:hAnsi="Times New Roman" w:cs="Times New Roman"/>
                <w:b/>
                <w:color w:val="000000"/>
                <w:sz w:val="24"/>
                <w:szCs w:val="24"/>
              </w:rPr>
            </w:pPr>
            <w:r w:rsidRPr="004954F8">
              <w:rPr>
                <w:rFonts w:ascii="Times" w:hAnsi="Times" w:cs="Times"/>
                <w:b/>
                <w:bCs/>
                <w:sz w:val="25"/>
                <w:szCs w:val="25"/>
              </w:rPr>
              <w:t>MPSVRSR</w:t>
            </w:r>
          </w:p>
        </w:tc>
        <w:tc>
          <w:tcPr>
            <w:tcW w:w="8363" w:type="dxa"/>
          </w:tcPr>
          <w:p w:rsidR="004954F8" w:rsidRPr="004954F8" w:rsidRDefault="004954F8" w:rsidP="004954F8">
            <w:pPr>
              <w:rPr>
                <w:rFonts w:ascii="Times New Roman" w:hAnsi="Times New Roman" w:cs="Times New Roman"/>
                <w:b/>
                <w:bCs/>
                <w:sz w:val="24"/>
                <w:szCs w:val="24"/>
              </w:rPr>
            </w:pPr>
            <w:r w:rsidRPr="004954F8">
              <w:rPr>
                <w:rFonts w:ascii="Times New Roman" w:hAnsi="Times New Roman" w:cs="Times New Roman"/>
                <w:b/>
                <w:bCs/>
                <w:sz w:val="24"/>
                <w:szCs w:val="24"/>
              </w:rPr>
              <w:t>K Čl. I bodu 9</w:t>
            </w:r>
            <w:r w:rsidRPr="004954F8">
              <w:rPr>
                <w:rFonts w:ascii="Times New Roman" w:hAnsi="Times New Roman" w:cs="Times New Roman"/>
                <w:sz w:val="24"/>
                <w:szCs w:val="24"/>
              </w:rPr>
              <w:br/>
              <w:t xml:space="preserve">Zásadne žiadam v Čl. I bode 9 navrhovanom čl. 4 ods. 1 písm. d) vypustiť tretí bod. Odôvodnenie: Zásadne nesúhlasím s rozšírením pôsobnosti Rady pre rozpočtovú zodpovednosť o úlohu vypracovávať a predkladať na rokovanie vlády Slovenskej republiky a na rokovanie Národnej rady Slovenskej republiky správu o financovaní sociálneho systému Slovenskej republiky najmenej raz za dva roky. Nie je legitímne, aby analýza objemu verejných financií vynaložených do vybraných oblastí sociálneho systému, identifikácia </w:t>
            </w:r>
            <w:r w:rsidRPr="004954F8">
              <w:rPr>
                <w:rFonts w:ascii="Times New Roman" w:hAnsi="Times New Roman" w:cs="Times New Roman"/>
                <w:sz w:val="24"/>
                <w:szCs w:val="24"/>
              </w:rPr>
              <w:lastRenderedPageBreak/>
              <w:t>štruktúry príjemcov jednotlivých typov transferov a vytvorenie dlhodobej prognózy vývoja výdavkov spadala do pôsobnosti Rady pre rozpočtovú zodpovednosť.</w:t>
            </w:r>
          </w:p>
        </w:tc>
        <w:tc>
          <w:tcPr>
            <w:tcW w:w="3793" w:type="dxa"/>
            <w:vAlign w:val="center"/>
          </w:tcPr>
          <w:p w:rsidR="004954F8" w:rsidRPr="004954F8" w:rsidRDefault="000D5E6A" w:rsidP="004954F8">
            <w:pPr>
              <w:rPr>
                <w:rFonts w:ascii="Times New Roman" w:hAnsi="Times New Roman"/>
                <w:sz w:val="24"/>
                <w:szCs w:val="24"/>
              </w:rPr>
            </w:pPr>
            <w:r>
              <w:rPr>
                <w:rFonts w:ascii="Times New Roman" w:hAnsi="Times New Roman" w:cs="Times New Roman"/>
                <w:sz w:val="24"/>
                <w:szCs w:val="24"/>
              </w:rPr>
              <w:lastRenderedPageBreak/>
              <w:t>Predkladateľ trvá na znení, ktoré predložil.</w:t>
            </w:r>
            <w:r w:rsidRPr="00C81383">
              <w:rPr>
                <w:rFonts w:ascii="Times New Roman" w:hAnsi="Times New Roman" w:cs="Times New Roman"/>
                <w:sz w:val="24"/>
                <w:szCs w:val="24"/>
              </w:rPr>
              <w:t xml:space="preserve"> </w:t>
            </w:r>
            <w:r w:rsidR="004954F8" w:rsidRPr="004954F8">
              <w:rPr>
                <w:rFonts w:ascii="Times New Roman" w:hAnsi="Times New Roman"/>
                <w:sz w:val="24"/>
                <w:szCs w:val="24"/>
              </w:rPr>
              <w:t xml:space="preserve">RRZ sa v navrhovanej správe bude venovať primárne vplyvu financovania sociálneho systému na dlhodobú udržateľnosť verejných financií. Medzi hlavné pôsobnosti RRZ patrí  práve </w:t>
            </w:r>
            <w:r w:rsidR="004954F8" w:rsidRPr="004954F8">
              <w:rPr>
                <w:rFonts w:ascii="Times New Roman" w:hAnsi="Times New Roman"/>
                <w:sz w:val="24"/>
                <w:szCs w:val="24"/>
              </w:rPr>
              <w:lastRenderedPageBreak/>
              <w:t>monitorovanie dlhodobej udržateľnosti verejných financií.</w:t>
            </w:r>
          </w:p>
        </w:tc>
      </w:tr>
    </w:tbl>
    <w:p w:rsidR="00D20DA8" w:rsidRPr="00A618FD" w:rsidRDefault="00D20DA8" w:rsidP="00D20DA8">
      <w:pPr>
        <w:jc w:val="both"/>
        <w:rPr>
          <w:rFonts w:ascii="Times New Roman" w:hAnsi="Times New Roman" w:cs="Times New Roman"/>
          <w:sz w:val="24"/>
          <w:szCs w:val="24"/>
        </w:rPr>
      </w:pPr>
    </w:p>
    <w:sectPr w:rsidR="00D20DA8" w:rsidRPr="00A618FD" w:rsidSect="00A618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8"/>
    <w:rsid w:val="000656DA"/>
    <w:rsid w:val="000915A3"/>
    <w:rsid w:val="000D0C8C"/>
    <w:rsid w:val="000D5073"/>
    <w:rsid w:val="000D5E6A"/>
    <w:rsid w:val="000F6E3B"/>
    <w:rsid w:val="00235C92"/>
    <w:rsid w:val="00254D5C"/>
    <w:rsid w:val="002768BD"/>
    <w:rsid w:val="002D76AE"/>
    <w:rsid w:val="00304519"/>
    <w:rsid w:val="003D48E7"/>
    <w:rsid w:val="00422D0E"/>
    <w:rsid w:val="0044332D"/>
    <w:rsid w:val="00456933"/>
    <w:rsid w:val="00475ED6"/>
    <w:rsid w:val="004954F8"/>
    <w:rsid w:val="004E6F8B"/>
    <w:rsid w:val="005A4073"/>
    <w:rsid w:val="005A677A"/>
    <w:rsid w:val="005E5CE4"/>
    <w:rsid w:val="00643982"/>
    <w:rsid w:val="006B38E7"/>
    <w:rsid w:val="006D29DD"/>
    <w:rsid w:val="006F5762"/>
    <w:rsid w:val="00717C6C"/>
    <w:rsid w:val="0085101D"/>
    <w:rsid w:val="008A62C1"/>
    <w:rsid w:val="008F0190"/>
    <w:rsid w:val="009500BE"/>
    <w:rsid w:val="009D755B"/>
    <w:rsid w:val="00A233E9"/>
    <w:rsid w:val="00A618FD"/>
    <w:rsid w:val="00C93C3A"/>
    <w:rsid w:val="00CF7983"/>
    <w:rsid w:val="00D20DA8"/>
    <w:rsid w:val="00D22347"/>
    <w:rsid w:val="00DA01ED"/>
    <w:rsid w:val="00E7201D"/>
    <w:rsid w:val="00ED1D2A"/>
    <w:rsid w:val="00F70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57A1-DFE9-4853-8F06-8B9444F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2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20D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1609">
      <w:bodyDiv w:val="1"/>
      <w:marLeft w:val="0"/>
      <w:marRight w:val="0"/>
      <w:marTop w:val="0"/>
      <w:marBottom w:val="0"/>
      <w:divBdr>
        <w:top w:val="none" w:sz="0" w:space="0" w:color="auto"/>
        <w:left w:val="none" w:sz="0" w:space="0" w:color="auto"/>
        <w:bottom w:val="none" w:sz="0" w:space="0" w:color="auto"/>
        <w:right w:val="none" w:sz="0" w:space="0" w:color="auto"/>
      </w:divBdr>
    </w:div>
    <w:div w:id="19827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Hroncek Peter</dc:creator>
  <cp:keywords/>
  <dc:description/>
  <cp:lastModifiedBy>Lakotova Zdenka</cp:lastModifiedBy>
  <cp:revision>2</cp:revision>
  <dcterms:created xsi:type="dcterms:W3CDTF">2020-09-25T08:00:00Z</dcterms:created>
  <dcterms:modified xsi:type="dcterms:W3CDTF">2020-09-25T08:00:00Z</dcterms:modified>
</cp:coreProperties>
</file>