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66E24" w:rsidRDefault="00866E2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866E24">
        <w:trPr>
          <w:divId w:val="29008901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1.  Základné údaje</w:t>
            </w:r>
          </w:p>
        </w:tc>
      </w:tr>
      <w:tr w:rsidR="00866E24">
        <w:trPr>
          <w:divId w:val="2900890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Názov materiálu</w:t>
            </w:r>
          </w:p>
        </w:tc>
      </w:tr>
      <w:tr w:rsidR="00866E24">
        <w:trPr>
          <w:divId w:val="2900890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Zákon o zrušení osobitného odvodu vybraných finančných inštitúcií a o niektorých opatreniach súvisiacich s jeho zrušením</w:t>
            </w:r>
          </w:p>
        </w:tc>
      </w:tr>
      <w:tr w:rsidR="00866E24">
        <w:trPr>
          <w:divId w:val="2900890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Predkladateľ (a spolupredkladateľ)</w:t>
            </w:r>
          </w:p>
        </w:tc>
      </w:tr>
      <w:tr w:rsidR="00866E24">
        <w:trPr>
          <w:divId w:val="2900890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Ministerstvo financií Slovenskej republiky</w:t>
            </w:r>
          </w:p>
        </w:tc>
      </w:tr>
      <w:tr w:rsidR="00866E24">
        <w:trPr>
          <w:divId w:val="29008901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66E24">
        <w:trPr>
          <w:divId w:val="2900890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66E24">
        <w:trPr>
          <w:divId w:val="2900890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866E24">
        <w:trPr>
          <w:divId w:val="29008901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p>
        </w:tc>
      </w:tr>
      <w:tr w:rsidR="00866E24">
        <w:trPr>
          <w:divId w:val="2900890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Začiatok:    3.9.2020</w:t>
            </w:r>
            <w:r>
              <w:rPr>
                <w:rFonts w:ascii="Times" w:hAnsi="Times" w:cs="Times"/>
                <w:sz w:val="20"/>
                <w:szCs w:val="20"/>
              </w:rPr>
              <w:br/>
              <w:t>Ukončenie: 8.9.2020</w:t>
            </w:r>
          </w:p>
        </w:tc>
      </w:tr>
      <w:tr w:rsidR="00866E24">
        <w:trPr>
          <w:divId w:val="2900890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03.09.2020</w:t>
            </w:r>
          </w:p>
        </w:tc>
      </w:tr>
      <w:tr w:rsidR="00866E24">
        <w:trPr>
          <w:divId w:val="29008901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September 2020</w:t>
            </w:r>
          </w:p>
        </w:tc>
      </w:tr>
    </w:tbl>
    <w:p w:rsidR="00325440" w:rsidRDefault="00325440" w:rsidP="00C579E9">
      <w:pPr>
        <w:pStyle w:val="Normlnywebov"/>
        <w:spacing w:before="0" w:beforeAutospacing="0" w:after="0" w:afterAutospacing="0"/>
        <w:rPr>
          <w:bCs/>
          <w:sz w:val="22"/>
          <w:szCs w:val="22"/>
        </w:rPr>
      </w:pPr>
    </w:p>
    <w:p w:rsidR="00866E24" w:rsidRDefault="00866E2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2.  Definícia problému</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Zákon č. 384/2011 Z. z. o osobitnom odvode nadobudol účinnosť dňa 1. 1. 2012 a jeho cieľom bolo zaviesť odvody pre vybrané finančné inštitúcie a prispieť tak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w:t>
            </w:r>
            <w:r>
              <w:rPr>
                <w:rFonts w:ascii="Times" w:hAnsi="Times" w:cs="Times"/>
                <w:sz w:val="20"/>
                <w:szCs w:val="20"/>
              </w:rPr>
              <w:br/>
            </w:r>
            <w:r>
              <w:rPr>
                <w:rFonts w:ascii="Times" w:hAnsi="Times" w:cs="Times"/>
                <w:sz w:val="20"/>
                <w:szCs w:val="20"/>
              </w:rPr>
              <w:br/>
              <w:t>V súlade s Memorandom o porozumení uzavretom medzi Ministerstvom financií SR a Slovenskou bankovou asociáciou v júni 2020 (ďalej len „memorandum o porozumení“) sa dohodlo vypracovanie návrhu príslušnej legislatívy, ktorou dôjde k úplnému zrušeniu zákona o osobitnom odvode.</w:t>
            </w:r>
          </w:p>
        </w:tc>
      </w:tr>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3.  Ciele a výsledný stav</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Cieľom návrhu zákona je zrušenie zákona č. 384/2011 Z. z. o osobitnom odvode s účinnosťou od 1. januára 2021.</w:t>
            </w:r>
          </w:p>
        </w:tc>
      </w:tr>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4.  Dotknuté subjekty</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Banky a pobočky zahraničných bánk</w:t>
            </w:r>
          </w:p>
        </w:tc>
      </w:tr>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5.  Alternatívne riešenia</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Vyššie uvedené memorandum o porozumení nepredpokladá alternatívne riešenie. Prípadným alternatívnym riešením je zachovanie status quo, a teda ponechanie osobitného odvodu pre vybrané finančné inštitúcie na súčasnej úrovni. V takom prípade by nedošlo k negatívnemu dopadu na príjmy verejnej správy ako ich uvádza analýza vplyvov. Zároveň by však nedošlo k zníženiu nákladov bankového sektora, čo by ohrozilo jeho finančnú stabilitu a nedošlo by ani k uvoľneniu dodatočného kapitálu na podporu ekonomiky.</w:t>
            </w:r>
          </w:p>
        </w:tc>
      </w:tr>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6.  Vykonávacie predpisy</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xml:space="preserve">  7.  Transpozícia práva EÚ </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sz w:val="20"/>
                <w:szCs w:val="20"/>
              </w:rPr>
            </w:pPr>
            <w:r>
              <w:rPr>
                <w:rFonts w:ascii="Times" w:hAnsi="Times" w:cs="Times"/>
                <w:sz w:val="20"/>
                <w:szCs w:val="20"/>
              </w:rPr>
              <w:t>N/A</w:t>
            </w:r>
          </w:p>
        </w:tc>
      </w:tr>
      <w:tr w:rsidR="00866E24">
        <w:trPr>
          <w:divId w:val="616062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8.  Preskúmanie účelnosti**</w:t>
            </w:r>
          </w:p>
        </w:tc>
      </w:tr>
      <w:tr w:rsidR="00866E24">
        <w:trPr>
          <w:divId w:val="616062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66E24" w:rsidRDefault="00866E2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866E24">
        <w:trPr>
          <w:divId w:val="61899525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0"/>
                <w:szCs w:val="20"/>
              </w:rPr>
            </w:pPr>
            <w:r>
              <w:rPr>
                <w:rFonts w:ascii="Times" w:hAnsi="Times" w:cs="Times"/>
                <w:b/>
                <w:bCs/>
                <w:sz w:val="20"/>
                <w:szCs w:val="20"/>
              </w:rPr>
              <w:t>  9.   Vplyvy navrhovaného materiálu</w:t>
            </w:r>
          </w:p>
        </w:tc>
      </w:tr>
      <w:tr w:rsidR="00866E24">
        <w:trPr>
          <w:divId w:val="6189952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66E24">
        <w:trPr>
          <w:divId w:val="6189952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66E24">
        <w:trPr>
          <w:divId w:val="6189952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66E24">
        <w:trPr>
          <w:divId w:val="6189952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66E24" w:rsidRDefault="00866E24">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66E24" w:rsidRDefault="00866E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66E24" w:rsidRDefault="00866E2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66E24">
        <w:trPr>
          <w:divId w:val="212927115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10.  Poznámky</w:t>
            </w:r>
          </w:p>
        </w:tc>
      </w:tr>
      <w:tr w:rsidR="00866E24">
        <w:trPr>
          <w:divId w:val="212927115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b/>
                <w:bCs/>
                <w:sz w:val="22"/>
                <w:szCs w:val="22"/>
              </w:rPr>
            </w:pPr>
          </w:p>
        </w:tc>
      </w:tr>
      <w:tr w:rsidR="00866E24">
        <w:trPr>
          <w:divId w:val="212927115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11.  Kontakt na spracovateľa</w:t>
            </w:r>
          </w:p>
        </w:tc>
      </w:tr>
      <w:tr w:rsidR="00866E24">
        <w:trPr>
          <w:divId w:val="212927115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Pr="00915770" w:rsidRDefault="00866E24">
            <w:pPr>
              <w:pStyle w:val="Normlnywebov"/>
              <w:rPr>
                <w:rFonts w:ascii="Times" w:hAnsi="Times" w:cs="Times"/>
                <w:sz w:val="20"/>
                <w:szCs w:val="20"/>
              </w:rPr>
            </w:pPr>
            <w:r w:rsidRPr="00915770">
              <w:rPr>
                <w:rFonts w:ascii="Times" w:hAnsi="Times" w:cs="Times"/>
                <w:sz w:val="20"/>
                <w:szCs w:val="20"/>
              </w:rPr>
              <w:t>Ing. Darina Čaplánová</w:t>
            </w:r>
          </w:p>
          <w:p w:rsidR="00866E24" w:rsidRPr="00915770" w:rsidRDefault="00866E24">
            <w:pPr>
              <w:pStyle w:val="Normlnywebov"/>
              <w:rPr>
                <w:rFonts w:ascii="Times" w:hAnsi="Times" w:cs="Times"/>
                <w:sz w:val="20"/>
                <w:szCs w:val="20"/>
              </w:rPr>
            </w:pPr>
            <w:hyperlink r:id="rId7" w:history="1">
              <w:r w:rsidRPr="00915770">
                <w:rPr>
                  <w:rStyle w:val="Hypertextovprepojenie"/>
                  <w:rFonts w:ascii="Times" w:hAnsi="Times" w:cs="Times"/>
                  <w:sz w:val="20"/>
                  <w:szCs w:val="20"/>
                </w:rPr>
                <w:t>darina.caplanova@mfsr.sk</w:t>
              </w:r>
            </w:hyperlink>
          </w:p>
          <w:p w:rsidR="00866E24" w:rsidRPr="00915770" w:rsidRDefault="00866E24">
            <w:pPr>
              <w:pStyle w:val="Normlnywebov"/>
              <w:rPr>
                <w:rFonts w:ascii="Times" w:hAnsi="Times" w:cs="Times"/>
                <w:sz w:val="20"/>
                <w:szCs w:val="20"/>
              </w:rPr>
            </w:pPr>
            <w:r w:rsidRPr="00915770">
              <w:rPr>
                <w:rFonts w:ascii="Times" w:hAnsi="Times" w:cs="Times"/>
                <w:sz w:val="20"/>
                <w:szCs w:val="20"/>
              </w:rPr>
              <w:t>Ing. Tomáš Poloma</w:t>
            </w:r>
          </w:p>
          <w:p w:rsidR="00866E24" w:rsidRPr="00915770" w:rsidRDefault="00866E24">
            <w:pPr>
              <w:pStyle w:val="Normlnywebov"/>
              <w:rPr>
                <w:rFonts w:ascii="Times" w:hAnsi="Times" w:cs="Times"/>
                <w:sz w:val="20"/>
                <w:szCs w:val="20"/>
              </w:rPr>
            </w:pPr>
            <w:r w:rsidRPr="00915770">
              <w:rPr>
                <w:rFonts w:ascii="Times" w:hAnsi="Times" w:cs="Times"/>
                <w:sz w:val="20"/>
                <w:szCs w:val="20"/>
              </w:rPr>
              <w:t xml:space="preserve">02/59584528, </w:t>
            </w:r>
            <w:hyperlink r:id="rId8" w:history="1">
              <w:r w:rsidRPr="00915770">
                <w:rPr>
                  <w:rStyle w:val="Hypertextovprepojenie"/>
                  <w:rFonts w:ascii="Times" w:hAnsi="Times" w:cs="Times"/>
                  <w:sz w:val="20"/>
                  <w:szCs w:val="20"/>
                </w:rPr>
                <w:t>tomas.poloma@mfsr.sk</w:t>
              </w:r>
            </w:hyperlink>
          </w:p>
          <w:p w:rsidR="00866E24" w:rsidRDefault="00866E24">
            <w:pPr>
              <w:rPr>
                <w:rFonts w:ascii="Times" w:hAnsi="Times" w:cs="Times"/>
                <w:sz w:val="20"/>
                <w:szCs w:val="20"/>
              </w:rPr>
            </w:pPr>
            <w:r>
              <w:rPr>
                <w:rFonts w:ascii="Times" w:hAnsi="Times" w:cs="Times"/>
                <w:sz w:val="20"/>
                <w:szCs w:val="20"/>
              </w:rPr>
              <w:t>Ministerstvo financií Slovenskej republiky</w:t>
            </w:r>
          </w:p>
        </w:tc>
      </w:tr>
      <w:tr w:rsidR="00866E24">
        <w:trPr>
          <w:divId w:val="212927115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12.  Zdroje</w:t>
            </w:r>
          </w:p>
        </w:tc>
      </w:tr>
      <w:tr w:rsidR="00866E24">
        <w:trPr>
          <w:divId w:val="212927115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Default="00866E24">
            <w:pPr>
              <w:rPr>
                <w:rFonts w:ascii="Times" w:hAnsi="Times" w:cs="Times"/>
                <w:b/>
                <w:bCs/>
                <w:sz w:val="22"/>
                <w:szCs w:val="22"/>
              </w:rPr>
            </w:pPr>
          </w:p>
        </w:tc>
      </w:tr>
      <w:tr w:rsidR="00866E24">
        <w:trPr>
          <w:divId w:val="212927115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66E24" w:rsidRDefault="00866E24">
            <w:pPr>
              <w:rPr>
                <w:rFonts w:ascii="Times" w:hAnsi="Times" w:cs="Times"/>
                <w:b/>
                <w:bCs/>
                <w:sz w:val="22"/>
                <w:szCs w:val="22"/>
              </w:rPr>
            </w:pPr>
            <w:r>
              <w:rPr>
                <w:rFonts w:ascii="Times" w:hAnsi="Times" w:cs="Times"/>
                <w:b/>
                <w:bCs/>
                <w:sz w:val="22"/>
                <w:szCs w:val="22"/>
              </w:rPr>
              <w:t>  13.  Stanovisko Komisie pre posudzovanie vybraných vplyvov z PPK</w:t>
            </w:r>
          </w:p>
        </w:tc>
      </w:tr>
      <w:tr w:rsidR="00866E24">
        <w:trPr>
          <w:divId w:val="212927115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866E24" w:rsidRPr="00915770" w:rsidRDefault="00866E24">
            <w:pPr>
              <w:pStyle w:val="Normlnywebov"/>
              <w:rPr>
                <w:rFonts w:ascii="Times" w:hAnsi="Times" w:cs="Times"/>
                <w:sz w:val="20"/>
                <w:szCs w:val="20"/>
              </w:rPr>
            </w:pPr>
            <w:r w:rsidRPr="00915770">
              <w:rPr>
                <w:rStyle w:val="Siln"/>
                <w:rFonts w:ascii="Times" w:hAnsi="Times" w:cs="Times"/>
                <w:sz w:val="20"/>
                <w:szCs w:val="20"/>
              </w:rPr>
              <w:t xml:space="preserve">I. Úvod: </w:t>
            </w:r>
            <w:r w:rsidRPr="00915770">
              <w:rPr>
                <w:rFonts w:ascii="Times" w:hAnsi="Times" w:cs="Times"/>
                <w:sz w:val="20"/>
                <w:szCs w:val="20"/>
              </w:rPr>
              <w:t xml:space="preserve">Ministerstvo financií Slovenskej republiky dňa 3. septembra 2020 predložilo Stálej pracovnej komisií na posudzovanie vybraných vplyvov (ďalej len „Komisia“) materiál </w:t>
            </w:r>
            <w:r w:rsidRPr="00915770">
              <w:rPr>
                <w:rStyle w:val="Zvraznenie"/>
                <w:rFonts w:ascii="Times" w:hAnsi="Times" w:cs="Times"/>
                <w:sz w:val="20"/>
                <w:szCs w:val="20"/>
              </w:rPr>
              <w:t>„Návrh zákona o zrušení osobitného odvodu bánk a pobočiek zahraničných bánk“</w:t>
            </w:r>
            <w:r w:rsidRPr="00915770">
              <w:rPr>
                <w:rFonts w:ascii="Times" w:hAnsi="Times" w:cs="Times"/>
                <w:sz w:val="20"/>
                <w:szCs w:val="20"/>
              </w:rPr>
              <w:t>, spolu so žiadosťou o udelenie výnimky z procesu podľa bodu 2.6. Jednotnej metodiky na posudzovanie vybraných vplyvov.</w:t>
            </w:r>
          </w:p>
          <w:p w:rsidR="00866E24" w:rsidRPr="00915770" w:rsidRDefault="00866E24">
            <w:pPr>
              <w:pStyle w:val="Normlnywebov"/>
              <w:rPr>
                <w:rFonts w:ascii="Times" w:hAnsi="Times" w:cs="Times"/>
                <w:sz w:val="20"/>
                <w:szCs w:val="20"/>
              </w:rPr>
            </w:pPr>
            <w:r w:rsidRPr="00915770">
              <w:rPr>
                <w:rFonts w:ascii="Times" w:hAnsi="Times" w:cs="Times"/>
                <w:sz w:val="20"/>
                <w:szCs w:val="20"/>
              </w:rPr>
              <w:t> </w:t>
            </w:r>
          </w:p>
          <w:p w:rsidR="00866E24" w:rsidRPr="00915770" w:rsidRDefault="00866E24">
            <w:pPr>
              <w:pStyle w:val="Normlnywebov"/>
              <w:rPr>
                <w:rFonts w:ascii="Times" w:hAnsi="Times" w:cs="Times"/>
                <w:sz w:val="20"/>
                <w:szCs w:val="20"/>
              </w:rPr>
            </w:pPr>
            <w:r w:rsidRPr="00915770">
              <w:rPr>
                <w:rStyle w:val="Siln"/>
                <w:rFonts w:ascii="Times" w:hAnsi="Times" w:cs="Times"/>
                <w:sz w:val="20"/>
                <w:szCs w:val="20"/>
              </w:rPr>
              <w:t xml:space="preserve">II. Pripomienky a návrhy zmien: </w:t>
            </w:r>
            <w:r w:rsidRPr="00915770">
              <w:rPr>
                <w:rFonts w:ascii="Times" w:hAnsi="Times" w:cs="Times"/>
                <w:sz w:val="20"/>
                <w:szCs w:val="20"/>
              </w:rPr>
              <w:t>Komisia neuplatňuje k materiálu žiadne pripomienky a odporúčania.</w:t>
            </w:r>
          </w:p>
          <w:p w:rsidR="00866E24" w:rsidRPr="00915770" w:rsidRDefault="00866E24">
            <w:pPr>
              <w:pStyle w:val="Normlnywebov"/>
              <w:rPr>
                <w:rFonts w:ascii="Times" w:hAnsi="Times" w:cs="Times"/>
                <w:sz w:val="20"/>
                <w:szCs w:val="20"/>
              </w:rPr>
            </w:pPr>
            <w:r w:rsidRPr="00915770">
              <w:rPr>
                <w:rFonts w:ascii="Times" w:hAnsi="Times" w:cs="Times"/>
                <w:sz w:val="20"/>
                <w:szCs w:val="20"/>
              </w:rPr>
              <w:t> </w:t>
            </w:r>
          </w:p>
          <w:p w:rsidR="00866E24" w:rsidRPr="00915770" w:rsidRDefault="00866E24">
            <w:pPr>
              <w:pStyle w:val="Normlnywebov"/>
              <w:rPr>
                <w:rFonts w:ascii="Times" w:hAnsi="Times" w:cs="Times"/>
                <w:sz w:val="20"/>
                <w:szCs w:val="20"/>
              </w:rPr>
            </w:pPr>
            <w:r w:rsidRPr="00915770">
              <w:rPr>
                <w:rStyle w:val="Siln"/>
                <w:rFonts w:ascii="Times" w:hAnsi="Times" w:cs="Times"/>
                <w:sz w:val="20"/>
                <w:szCs w:val="20"/>
              </w:rPr>
              <w:t xml:space="preserve">III. Záver: </w:t>
            </w:r>
            <w:r w:rsidRPr="00915770">
              <w:rPr>
                <w:rFonts w:ascii="Times" w:hAnsi="Times" w:cs="Times"/>
                <w:sz w:val="20"/>
                <w:szCs w:val="20"/>
              </w:rPr>
              <w:t>Stála pracovná komisia na posudzovanie vybraných vplyvov vyjadruje</w:t>
            </w:r>
          </w:p>
          <w:p w:rsidR="00866E24" w:rsidRPr="00915770" w:rsidRDefault="00866E24">
            <w:pPr>
              <w:pStyle w:val="Normlnywebov"/>
              <w:rPr>
                <w:rFonts w:ascii="Times" w:hAnsi="Times" w:cs="Times"/>
                <w:sz w:val="20"/>
                <w:szCs w:val="20"/>
              </w:rPr>
            </w:pPr>
            <w:r w:rsidRPr="00915770">
              <w:rPr>
                <w:rFonts w:ascii="Times" w:hAnsi="Times" w:cs="Times"/>
                <w:sz w:val="20"/>
                <w:szCs w:val="20"/>
              </w:rPr>
              <w:t> </w:t>
            </w:r>
          </w:p>
          <w:p w:rsidR="00866E24" w:rsidRPr="00915770" w:rsidRDefault="00866E24">
            <w:pPr>
              <w:pStyle w:val="Normlnywebov"/>
              <w:jc w:val="center"/>
              <w:rPr>
                <w:rFonts w:ascii="Times" w:hAnsi="Times" w:cs="Times"/>
                <w:sz w:val="20"/>
                <w:szCs w:val="20"/>
              </w:rPr>
            </w:pPr>
            <w:r w:rsidRPr="00915770">
              <w:rPr>
                <w:rStyle w:val="Siln"/>
                <w:rFonts w:ascii="Times" w:hAnsi="Times" w:cs="Times"/>
                <w:sz w:val="20"/>
                <w:szCs w:val="20"/>
              </w:rPr>
              <w:t>súhlasné stanovisko</w:t>
            </w:r>
          </w:p>
          <w:p w:rsidR="00866E24" w:rsidRPr="00915770" w:rsidRDefault="00866E24">
            <w:pPr>
              <w:pStyle w:val="Normlnywebov"/>
              <w:rPr>
                <w:rFonts w:ascii="Times" w:hAnsi="Times" w:cs="Times"/>
                <w:sz w:val="20"/>
                <w:szCs w:val="20"/>
              </w:rPr>
            </w:pPr>
            <w:r w:rsidRPr="00915770">
              <w:rPr>
                <w:rFonts w:ascii="Times" w:hAnsi="Times" w:cs="Times"/>
                <w:sz w:val="20"/>
                <w:szCs w:val="20"/>
              </w:rPr>
              <w:t> </w:t>
            </w:r>
          </w:p>
          <w:p w:rsidR="00866E24" w:rsidRPr="00915770" w:rsidRDefault="00866E24">
            <w:pPr>
              <w:pStyle w:val="Normlnywebov"/>
              <w:rPr>
                <w:rFonts w:ascii="Times" w:hAnsi="Times" w:cs="Times"/>
                <w:sz w:val="20"/>
                <w:szCs w:val="20"/>
              </w:rPr>
            </w:pPr>
            <w:r w:rsidRPr="00915770">
              <w:rPr>
                <w:rFonts w:ascii="Times" w:hAnsi="Times" w:cs="Times"/>
                <w:sz w:val="20"/>
                <w:szCs w:val="20"/>
                <w:u w:val="single"/>
              </w:rPr>
              <w:t>k udeleniu výnimky pri uplatňovaní postupu podľa Jednotnej metodiky na posudzovanie vybraných vplyvov predmetnému materiálu</w:t>
            </w:r>
            <w:r w:rsidRPr="00915770">
              <w:rPr>
                <w:rFonts w:ascii="Times" w:hAnsi="Times" w:cs="Times"/>
                <w:sz w:val="20"/>
                <w:szCs w:val="20"/>
              </w:rPr>
              <w:t>.</w:t>
            </w:r>
          </w:p>
          <w:p w:rsidR="00866E24" w:rsidRPr="00915770" w:rsidRDefault="00866E24">
            <w:pPr>
              <w:pStyle w:val="Normlnywebov"/>
              <w:rPr>
                <w:rFonts w:ascii="Times" w:hAnsi="Times" w:cs="Times"/>
                <w:sz w:val="20"/>
                <w:szCs w:val="20"/>
              </w:rPr>
            </w:pPr>
            <w:r w:rsidRPr="00915770">
              <w:rPr>
                <w:rFonts w:ascii="Times" w:hAnsi="Times" w:cs="Times"/>
                <w:sz w:val="20"/>
                <w:szCs w:val="20"/>
              </w:rPr>
              <w:t> </w:t>
            </w:r>
          </w:p>
          <w:p w:rsidR="00866E24" w:rsidRDefault="00866E24">
            <w:pPr>
              <w:rPr>
                <w:rFonts w:ascii="Times" w:hAnsi="Times" w:cs="Times"/>
                <w:sz w:val="20"/>
                <w:szCs w:val="20"/>
              </w:rPr>
            </w:pPr>
            <w:r>
              <w:rPr>
                <w:rStyle w:val="Siln"/>
                <w:rFonts w:ascii="Times" w:hAnsi="Times" w:cs="Times"/>
                <w:sz w:val="20"/>
                <w:szCs w:val="20"/>
              </w:rPr>
              <w:t xml:space="preserve">IV. Poznámka: </w:t>
            </w:r>
            <w:r>
              <w:rPr>
                <w:rFonts w:ascii="Times" w:hAnsi="Times" w:cs="Times"/>
                <w:sz w:val="20"/>
                <w:szCs w:val="20"/>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66E24"/>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4005D55-7502-4D1C-86FE-2EB06D1F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866E24"/>
    <w:rPr>
      <w:color w:val="0000FF"/>
      <w:u w:val="single"/>
    </w:rPr>
  </w:style>
  <w:style w:type="character" w:styleId="Siln">
    <w:name w:val="Strong"/>
    <w:uiPriority w:val="22"/>
    <w:qFormat/>
    <w:rsid w:val="00866E24"/>
    <w:rPr>
      <w:b/>
      <w:bCs/>
    </w:rPr>
  </w:style>
  <w:style w:type="character" w:styleId="Zvraznenie">
    <w:name w:val="Emphasis"/>
    <w:uiPriority w:val="20"/>
    <w:qFormat/>
    <w:rsid w:val="00866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016">
      <w:bodyDiv w:val="1"/>
      <w:marLeft w:val="0"/>
      <w:marRight w:val="0"/>
      <w:marTop w:val="0"/>
      <w:marBottom w:val="0"/>
      <w:divBdr>
        <w:top w:val="none" w:sz="0" w:space="0" w:color="auto"/>
        <w:left w:val="none" w:sz="0" w:space="0" w:color="auto"/>
        <w:bottom w:val="none" w:sz="0" w:space="0" w:color="auto"/>
        <w:right w:val="none" w:sz="0" w:space="0" w:color="auto"/>
      </w:divBdr>
    </w:div>
    <w:div w:id="616062181">
      <w:bodyDiv w:val="1"/>
      <w:marLeft w:val="0"/>
      <w:marRight w:val="0"/>
      <w:marTop w:val="0"/>
      <w:marBottom w:val="0"/>
      <w:divBdr>
        <w:top w:val="none" w:sz="0" w:space="0" w:color="auto"/>
        <w:left w:val="none" w:sz="0" w:space="0" w:color="auto"/>
        <w:bottom w:val="none" w:sz="0" w:space="0" w:color="auto"/>
        <w:right w:val="none" w:sz="0" w:space="0" w:color="auto"/>
      </w:divBdr>
    </w:div>
    <w:div w:id="61899525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2129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darina.caplanova@mfsr.sk"/>
  <Relationship Id="rId8" Type="http://schemas.openxmlformats.org/officeDocument/2006/relationships/hyperlink" TargetMode="External" Target="mailto:tomas.poloma@mfsr.sk"/>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6.9.2020 12:04:36"/>
    <f:field ref="objchangedby" par="" text="Administrator, System"/>
    <f:field ref="objmodifiedat" par="" text="16.9.2020 12:04:4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4330</Characters>
  <Application>Microsoft Office Word</Application>
  <DocSecurity>4</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5079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2020-09-16T10:04:00Z</dcterms:created>
  <dc:creator>grosjarova</dc:creator>
  <lastModifiedBy>ms.slx.P.fscsrv</lastModifiedBy>
  <dcterms:modified xsi:type="dcterms:W3CDTF">2020-09-16T10:04:00Z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Bankové a finančné inštitúcie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Tomáš Poloma</vt:lpwstr>
  </property>
  <property name="FSC#SKEDITIONSLOVLEX@103.510:zodppredkladatel" pid="9" fmtid="{D5CDD505-2E9C-101B-9397-08002B2CF9AE}">
    <vt:lpwstr>Ing. Eduard Heger</vt:lpwstr>
  </property>
  <property name="FSC#SKEDITIONSLOVLEX@103.510:nazovpredpis" pid="10" fmtid="{D5CDD505-2E9C-101B-9397-08002B2CF9AE}">
    <vt:lpwstr> o zrušení osobitného odvodu vybraných finančných inštitúcií a o niektorých opatreniach súvisiacich s jeho zrušením</vt:lpwstr>
  </property>
  <property name="FSC#SKEDITIONSLOVLEX@103.510:cislopredpis" pid="11" fmtid="{D5CDD505-2E9C-101B-9397-08002B2CF9AE}">
    <vt:lpwstr/>
  </property>
  <property name="FSC#SKEDITIONSLOVLEX@103.510:zodpinstitucia" pid="12" fmtid="{D5CDD505-2E9C-101B-9397-08002B2CF9AE}">
    <vt:lpwstr>Ministerstvo financií Slovenskej republiky</vt:lpwstr>
  </property>
  <property name="FSC#SKEDITIONSLOVLEX@103.510:pripomienkovatelia" pid="13"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o zrušení osobitného odvodu vybraných finančných inštitúcií a o niektorých opatreniach súvisiacich s jeho zrušením</vt:lpwstr>
  </property>
  <property name="FSC#SKEDITIONSLOVLEX@103.510:rezortcislopredpis" pid="17" fmtid="{D5CDD505-2E9C-101B-9397-08002B2CF9AE}">
    <vt:lpwstr>MF/014252/2020-632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LP/2020/369</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upravený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3. 9. 2020</vt:lpwstr>
  </property>
  <property name="FSC#SKEDITIONSLOVLEX@103.510:AttrDateDocPropUkonceniePKK" pid="49" fmtid="{D5CDD505-2E9C-101B-9397-08002B2CF9AE}">
    <vt:lpwstr>8. 9. 2020</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Vyššie uvedené memorandum o porozumení nepredpokladá alternatívne riešenie. Prípadným alternatívnym riešením je zachovanie status quo, a teda ponechanie osobitného odvodu pre vybrané finančné inštitúcie na súčasnej úrovni. V takom prípade by nedošlo k negatívnemu dopadu na príjmy verejnej správy ako ich uvádza analýza vplyvov. Zároveň by však nedošlo k zníženiu nákladov bankového sektora, čo by ohrozilo jeho finančnú stabilitu a nedošlo by ani k uvoľneniu dodatočného kapitálu na podporu ekonomiky.</vt:lpwstr>
  </property>
  <property name="FSC#SKEDITIONSLOVLEX@103.510:AttrStrListDocPropStanoviskoGest" pid="57" fmtid="{D5CDD505-2E9C-101B-9397-08002B2CF9AE}">
    <vt:lpwstr>&lt;p&gt;&lt;strong&gt;I. Úvod: &lt;/strong&gt;Ministerstvo financií Slovenskej republiky dňa&amp;nbsp;3.&amp;nbsp;septembra 2020 predložilo Stálej pracovnej komisií na posudzovanie vybraných vplyvov (ďalej len „Komisia“) materiál &lt;em&gt;„Návrh zákona o zrušení osobitného odvodu bánk a pobočiek zahraničných bánk“&lt;/em&gt;, spolu so žiadosťou o&amp;nbsp;udelenie výnimky z&amp;nbsp;procesu podľa bodu 2.6. Jednotnej metodiky na posudzovanie vybraných vplyvov.&lt;/p&gt;&lt;p&gt;&amp;nbsp;&lt;/p&gt;&lt;p&gt;&lt;strong&gt;II. P&lt;/strong&gt;&lt;strong&gt;ripomienky a návrhy zmien: &lt;/strong&gt;Komisia neuplatňuje k&amp;nbsp;materiálu žiadne pripomienky a&amp;nbsp;odporúčania.&lt;/p&gt;&lt;p&gt;&amp;nbsp;&lt;/p&gt;&lt;p&gt;&lt;strong&gt;III. Záver: &lt;/strong&gt;Stála pracovná komisia na posudzovanie vybraných vplyvov vyjadruje&lt;/p&gt;&lt;p&gt;&amp;nbsp;&lt;/p&gt;&lt;p align="center"&gt;&lt;strong&gt;súhlasné stanovisko&lt;/strong&gt;&lt;/p&gt;&lt;p&gt;&amp;nbsp;&lt;/p&gt;&lt;p&gt;&lt;u&gt;k&amp;nbsp;udeleniu výnimky pri uplatňovaní postupu podľa Jednotnej metodiky na&amp;nbsp;posudzovanie vybraných vplyvov predmetnému materiálu&lt;/u&gt;.&lt;/p&gt;&lt;p&gt;&amp;nbsp;&lt;/p&gt;&lt;strong&gt;IV. Poznámka: &lt;/strong&gt;Komisia si dovoľuje predkladateľovi pripomenúť, že výnimka pri&amp;nbsp;uplatňovaní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republiky_x000d__x000a_podpredseda vlády a minister financií</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&lt;p&gt;Návrh zákona o zrušení osobitného odvodu vybraných finančných inštitúcií a o niektorých opatreniach súvisiacich s jeho zrušením (ďalej len „návrh zákona“) sa predkladá ako iniciatívny materiál.&lt;/p&gt;&lt;p&gt;Cieľom návrhu zákona je zrušenie povinnosti platiť osobitný odvod a zákona č. 384/2011 Z. z. o&amp;nbsp;osobitnom odvode vybraných finančných inštitúcií a o doplnení niektorých zákonov s&amp;nbsp;účinnosťou od 1. januára 2021.&lt;/p&gt;&lt;p&gt;Zákon č. 384/2011 Z. z. nadobudol účinnosť dňa 1. 1. 2012 a&amp;nbsp;jeho cieľom bolo zaviesť odvody pre vybrané finančné inštitúcie a prispieť tak k vytvoreniu mechanizmov podieľania sa týchto finančných inštitúcií na nákladoch budúcich finančných kríz v bankovom sektore, k zabezpečeniu spravodlivého rozdelenia záťaže a k predchádzaniu vzniku rozsiahlych výdavkov pre daňové subjekty, vládu a hospodárstvo v prípade riešenia finančných kríz, k stimulovaniu vybraných finančných inštitúcií obmedzovať systémové riziká a&amp;nbsp;k&amp;nbsp;ochrane stability finančného sektora Slovenskej republiky.&lt;/p&gt;&lt;p&gt;V&amp;nbsp;súlade s&amp;nbsp;Memorandom o&amp;nbsp;porozumení uzavretom medzi Ministerstvom financií SR a&amp;nbsp;Slovenskou bankovou asociáciou v&amp;nbsp;júni 2020 (ďalej len „memorandum o&amp;nbsp;porozumení“) sa dohodlo vypracovanie návrhu príslušnej legislatívy, ktorou dôjde k úplnému zrušeniu zákona č. 384/2011 Z. z..&lt;/p&gt;&lt;p&gt;Návrh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únie.&lt;/p&gt;&lt;p&gt;Návrh zákona má negatívny vplyv na rozpočet verejnej správy, pričom z&amp;nbsp;hľadiska vplyvov na podnikateľské prostredie sa predpokladá pozitívny vplyv na ziskovosť bankového sektora. Návrh zákona nemá sociálne vplyvy, vplyvy na služby verejnej správy pre občana a&amp;nbsp;tiež nemá vplyvy na zamestnanosť, životné prostredie, informatizáciu spoločnosti, ani na manželstvo, rodičovstvo a&amp;nbsp;rodinu.&lt;/p&gt;&lt;p&gt;Podľa čl. 16 ods. 1 Legislatívnych pravidiel vlády Slovenskej republiky a&amp;nbsp;podľa rozhodnutia Rady č. 98/415/ES o poradení sa s Európskou centrálnou bankou národnými orgánmi ohľadom návrhu právnych prepisov bude návrh zákona predložený na vnútrokomunitárne pripomienkovanie Európskej centrálnej banke.&lt;/p&gt;&lt;p&gt;Účinnosť návrhu zákona sa navrhuje od 1. januára 2021.&lt;/p&gt;&lt;p&gt;Návrh zákona sa predkladá mimo plánu legislatívnych úloh vlády Slovenskej republiky a&amp;nbsp;z&amp;nbsp;dôvodu jeho naliehavosti sa postupuje podľa čl. 13 ods. 7 Legislatívnych pravidiel vlády Slovenskej republiky. Je potrebné zabezpečiť, aby návrh zákona nadobudol účinnosť pred ďalšou splátkou osobitného odvodu, t. j. pred 25. januárom 2021. V&amp;nbsp;opačnom prípade by mohlo dôjsť k&amp;nbsp;negatívnym dopadom na finančnú stabilitu bankového sektora.&lt;/p&gt;&lt;p&gt;Návrh zákona bol predložený Stálej pracovnej komisií na posudzovanie vybraných vplyvov spolu so žiadosťou o udelenie výnimky z procesu podľa bodu 2.6. Jednotnej metodiky na posudzovanie vybraných vplyvov. Návrh zákona bol predmetom medzirezortného pripomienkového konania, ktorého vyhodnotenie je súčasťou predloženého návrhu zákona. Na rokovanie vlády sa predkladá bez rozporu.&lt;/p&gt;</vt:lpwstr>
  </property>
  <property name="FSC#COOSYSTEM@1.1:Container" pid="130" fmtid="{D5CDD505-2E9C-101B-9397-08002B2CF9AE}">
    <vt:lpwstr>COO.2145.1000.3.4008162</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align="center"&gt;&amp;nbsp;&lt;/p&gt;&lt;table align="left" border="1" cellpadding="0" cellspacing="0" style="width:100.16%;" width="100%"&gt;_x0009_&lt;tbody&gt;_x0009__x0009_&lt;tr&gt;_x0009__x0009__x0009_&lt;td colspan="5" style="width:100.0%;height:36px;"&gt;_x0009__x0009__x0009_&lt;h2 align="center"&gt;&lt;strong&gt;Scenár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referent</vt:lpwstr>
  </property>
  <property name="FSC#SKEDITIONSLOVLEX@103.510:funkciaPredAkuzativ" pid="142" fmtid="{D5CDD505-2E9C-101B-9397-08002B2CF9AE}">
    <vt:lpwstr>referentovi</vt:lpwstr>
  </property>
  <property name="FSC#SKEDITIONSLOVLEX@103.510:funkciaPredDativ" pid="143" fmtid="{D5CDD505-2E9C-101B-9397-08002B2CF9AE}">
    <vt:lpwstr>referenta</vt:lpwstr>
  </property>
  <property name="FSC#SKEDITIONSLOVLEX@103.510:funkciaZodpPred" pid="144" fmtid="{D5CDD505-2E9C-101B-9397-08002B2CF9AE}">
    <vt:lpwstr>podpredseda vlády a minister financií SR</vt:lpwstr>
  </property>
  <property name="FSC#SKEDITIONSLOVLEX@103.510:funkciaZodpPredAkuzativ" pid="145" fmtid="{D5CDD505-2E9C-101B-9397-08002B2CF9AE}">
    <vt:lpwstr>podpredsedu vlády a ministra financií SR</vt:lpwstr>
  </property>
  <property name="FSC#SKEDITIONSLOVLEX@103.510:funkciaZodpPredDativ" pid="146" fmtid="{D5CDD505-2E9C-101B-9397-08002B2CF9AE}">
    <vt:lpwstr>podpredsedovi vlády a ministrovi financií SR</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Ing. Eduard Heger_x000d__x000a_podpredseda vlády a minister financií SR</vt:lpwstr>
  </property>
  <property name="FSC#SKEDITIONSLOVLEX@103.510:aktualnyrok" pid="151" fmtid="{D5CDD505-2E9C-101B-9397-08002B2CF9AE}">
    <vt:lpwstr>2020</vt:lpwstr>
  </property>
  <property name="FSC#SKEDITIONSLOVLEX@103.510:vytvorenedna" pid="152" fmtid="{D5CDD505-2E9C-101B-9397-08002B2CF9AE}">
    <vt:lpwstr>16. 9. 2020</vt:lpwstr>
  </property>
</Properties>
</file>