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footerReference w:type="default" r:id="rId10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816DC" w:rsidRDefault="00E816DC" w:rsidP="00E816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F91">
              <w:rPr>
                <w:rFonts w:ascii="Times New Roman" w:hAnsi="Times New Roman" w:cs="Times New Roman"/>
                <w:sz w:val="20"/>
                <w:szCs w:val="20"/>
              </w:rPr>
              <w:t>Návrh zákona</w:t>
            </w:r>
            <w:r w:rsidR="00174F91" w:rsidRPr="00174F91">
              <w:rPr>
                <w:rFonts w:ascii="Times New Roman" w:hAnsi="Times New Roman" w:cs="Times New Roman"/>
                <w:sz w:val="20"/>
                <w:szCs w:val="20"/>
              </w:rPr>
              <w:t>, ktorým sa dopĺňa zákon č. 461/2003 Z. z. o sociálnom poistení v znení neskorších predpisov</w:t>
            </w:r>
            <w:r w:rsidRPr="00174F91">
              <w:rPr>
                <w:rFonts w:ascii="Times New Roman" w:hAnsi="Times New Roman" w:cs="Times New Roman"/>
                <w:sz w:val="20"/>
                <w:szCs w:val="20"/>
              </w:rPr>
              <w:t xml:space="preserve"> zavádza </w:t>
            </w:r>
            <w:r w:rsidR="00EE1312" w:rsidRPr="006A7E50">
              <w:rPr>
                <w:rFonts w:ascii="Times New Roman" w:hAnsi="Times New Roman" w:cs="Times New Roman"/>
                <w:b/>
                <w:sz w:val="20"/>
                <w:szCs w:val="20"/>
              </w:rPr>
              <w:t>nový druh nemocenskej dávky „tehotenské“</w:t>
            </w:r>
            <w:r w:rsidR="00EE1312" w:rsidRPr="00174F91">
              <w:rPr>
                <w:rFonts w:ascii="Times New Roman" w:hAnsi="Times New Roman" w:cs="Times New Roman"/>
                <w:sz w:val="20"/>
                <w:szCs w:val="20"/>
              </w:rPr>
              <w:t xml:space="preserve"> počas obdobia tehotenstva, ktorá pomôže uhradiť zvýšené náklady/výdavky spojené s </w:t>
            </w:r>
            <w:r w:rsidR="00676F6A" w:rsidRPr="00174F91">
              <w:rPr>
                <w:rFonts w:ascii="Times New Roman" w:hAnsi="Times New Roman" w:cs="Times New Roman"/>
                <w:sz w:val="20"/>
                <w:szCs w:val="20"/>
              </w:rPr>
              <w:t>tehotenstvom</w:t>
            </w:r>
            <w:r w:rsidR="00EE1312" w:rsidRPr="00174F91">
              <w:rPr>
                <w:rFonts w:ascii="Times New Roman" w:hAnsi="Times New Roman" w:cs="Times New Roman"/>
                <w:sz w:val="20"/>
                <w:szCs w:val="20"/>
              </w:rPr>
              <w:t xml:space="preserve"> (so stravou, ošatením, zdravotnou starostlivosťou a pod.), čo bude mať pozitívny vplyv na hospodárenie domácností oprávneného okruhu poberateliek.</w:t>
            </w:r>
            <w:r w:rsidR="00F524E6">
              <w:rPr>
                <w:rFonts w:ascii="Times New Roman" w:hAnsi="Times New Roman" w:cs="Times New Roman"/>
                <w:sz w:val="20"/>
                <w:szCs w:val="20"/>
              </w:rPr>
              <w:t xml:space="preserve"> Návrh zákona sa bude vzťahovať aj na príslušníčky tzv. ozbrojených zložiek, ktoré spadajú pod</w:t>
            </w:r>
            <w:r w:rsidR="004F3EBF">
              <w:rPr>
                <w:rFonts w:ascii="Times New Roman" w:hAnsi="Times New Roman" w:cs="Times New Roman"/>
                <w:sz w:val="20"/>
                <w:szCs w:val="20"/>
              </w:rPr>
              <w:t xml:space="preserve"> osobitný systém</w:t>
            </w:r>
            <w:r w:rsidR="00F524E6">
              <w:rPr>
                <w:rFonts w:ascii="Times New Roman" w:hAnsi="Times New Roman" w:cs="Times New Roman"/>
                <w:sz w:val="20"/>
                <w:szCs w:val="20"/>
              </w:rPr>
              <w:t xml:space="preserve"> sociálne</w:t>
            </w:r>
            <w:r w:rsidR="004F3EBF">
              <w:rPr>
                <w:rFonts w:ascii="Times New Roman" w:hAnsi="Times New Roman" w:cs="Times New Roman"/>
                <w:sz w:val="20"/>
                <w:szCs w:val="20"/>
              </w:rPr>
              <w:t>ho zabezpečenia</w:t>
            </w:r>
            <w:r w:rsidR="00F524E6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174F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01928" w:rsidRDefault="00E01928" w:rsidP="00E01928">
            <w:pPr>
              <w:pStyle w:val="Textkomentra"/>
              <w:jc w:val="both"/>
              <w:rPr>
                <w:sz w:val="22"/>
                <w:szCs w:val="22"/>
              </w:rPr>
            </w:pPr>
            <w:r w:rsidRPr="00F13F02">
              <w:rPr>
                <w:bCs/>
              </w:rPr>
              <w:t xml:space="preserve">Za rovnakým účelom zavádza </w:t>
            </w:r>
            <w:r>
              <w:rPr>
                <w:bCs/>
              </w:rPr>
              <w:t xml:space="preserve"> n</w:t>
            </w:r>
            <w:r w:rsidRPr="007348D6">
              <w:rPr>
                <w:bCs/>
              </w:rPr>
              <w:t>ávrh zákona, ktorým sa mení a dopĺňa zákon č. 131/2002 Z. z. o vysokých školách a o zmene a doplnení niektorých zákonov v znení neskorších predpisov</w:t>
            </w:r>
            <w:r>
              <w:rPr>
                <w:bCs/>
              </w:rPr>
              <w:t xml:space="preserve"> a návrh zákona, ktorým sa mení a dopĺňa </w:t>
            </w:r>
            <w:r>
              <w:t>z</w:t>
            </w:r>
            <w:r w:rsidRPr="006A7E50">
              <w:t>ákon č. 245/2008 Z. z. o výchove a vzdelávaní (školský zákon) a o zmene a doplnení niektorých zákonov</w:t>
            </w:r>
            <w:r w:rsidRPr="00E01928">
              <w:t xml:space="preserve"> </w:t>
            </w:r>
            <w:r>
              <w:t xml:space="preserve">v z. n. p. </w:t>
            </w:r>
            <w:r w:rsidRPr="006A7E50">
              <w:rPr>
                <w:b/>
              </w:rPr>
              <w:t>tehotenské štipendium</w:t>
            </w:r>
            <w:r>
              <w:t xml:space="preserve"> pre študentky vysokých škôl a plnoleté študentky stredných škôl, ktorým nevzniká nárok na priznanie tehotenského ako nemocenskej dávky. Jeho priznaním bude pozitívne ovplyvnené aj hospodárenie domácností oprávneného okruhu poberateliek tohto štipendia. </w:t>
            </w:r>
          </w:p>
          <w:p w:rsidR="00E01928" w:rsidRPr="00174F91" w:rsidRDefault="00E01928" w:rsidP="00E816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E0D8E" w:rsidRDefault="000722DE" w:rsidP="000722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F91">
              <w:rPr>
                <w:rFonts w:ascii="Times New Roman" w:hAnsi="Times New Roman"/>
                <w:sz w:val="20"/>
                <w:szCs w:val="20"/>
              </w:rPr>
              <w:t xml:space="preserve">Návrh zákona, ktorým sa mení a dopĺňa zákon č. 544/2010 Z. z. o dotáciách v pôsobnosti Ministerstva práce, sociálnych vecí a rodiny Slovenskej republiky v znení neskorších predpisov bude </w:t>
            </w:r>
            <w:r w:rsidRPr="00D61B0D">
              <w:rPr>
                <w:rFonts w:ascii="Times New Roman" w:hAnsi="Times New Roman"/>
                <w:sz w:val="20"/>
                <w:szCs w:val="20"/>
              </w:rPr>
              <w:t xml:space="preserve">mať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pozitívny </w:t>
            </w:r>
            <w:r w:rsidRPr="00D61B0D">
              <w:rPr>
                <w:rFonts w:ascii="Times New Roman" w:hAnsi="Times New Roman"/>
                <w:sz w:val="20"/>
                <w:szCs w:val="20"/>
              </w:rPr>
              <w:t>vplyv</w:t>
            </w:r>
            <w:r w:rsidRPr="00174F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74F91">
              <w:rPr>
                <w:rFonts w:ascii="Times New Roman" w:hAnsi="Times New Roman"/>
                <w:sz w:val="20"/>
                <w:szCs w:val="20"/>
              </w:rPr>
              <w:t xml:space="preserve">na hospodárenie domácností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 dôvodu zvýšenia sumy dotácie </w:t>
            </w:r>
            <w:r w:rsidRPr="00174F91">
              <w:rPr>
                <w:rFonts w:ascii="Times New Roman" w:hAnsi="Times New Roman"/>
                <w:sz w:val="20"/>
                <w:szCs w:val="20"/>
              </w:rPr>
              <w:t xml:space="preserve">na podporu výchovy k stravovacím návykom.  </w:t>
            </w:r>
          </w:p>
          <w:p w:rsidR="00E01928" w:rsidRPr="00FD5794" w:rsidRDefault="00E01928" w:rsidP="00072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BD1A0D" w:rsidRPr="00174F91" w:rsidRDefault="00BD1A0D" w:rsidP="00BD1A0D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4F91">
              <w:rPr>
                <w:rFonts w:ascii="Times New Roman" w:hAnsi="Times New Roman"/>
                <w:bCs/>
                <w:sz w:val="20"/>
                <w:szCs w:val="20"/>
              </w:rPr>
              <w:t>Navrhovaná zmena sa pozitívne dotkne tehotných poistenkýň</w:t>
            </w:r>
            <w:r w:rsidR="00E01928">
              <w:rPr>
                <w:rFonts w:ascii="Times New Roman" w:hAnsi="Times New Roman"/>
                <w:bCs/>
                <w:sz w:val="20"/>
                <w:szCs w:val="20"/>
              </w:rPr>
              <w:t xml:space="preserve"> a tehotných študentiek stredných a vysokých škôl</w:t>
            </w:r>
          </w:p>
          <w:p w:rsidR="00E01928" w:rsidRDefault="00BD1A0D" w:rsidP="00BD1A0D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4F91">
              <w:rPr>
                <w:rFonts w:ascii="Times New Roman" w:hAnsi="Times New Roman"/>
                <w:bCs/>
                <w:sz w:val="20"/>
                <w:szCs w:val="20"/>
              </w:rPr>
              <w:t xml:space="preserve">Predpokladá sa, že sa navrhovaná zmena bude týkať </w:t>
            </w:r>
            <w:r w:rsidR="00A92363">
              <w:rPr>
                <w:rFonts w:ascii="Times New Roman" w:hAnsi="Times New Roman"/>
                <w:bCs/>
                <w:sz w:val="20"/>
                <w:szCs w:val="20"/>
              </w:rPr>
              <w:t xml:space="preserve">viac ako 20 tisíc poistenkýň. </w:t>
            </w:r>
            <w:r w:rsidR="00E01928">
              <w:rPr>
                <w:rFonts w:ascii="Times New Roman" w:hAnsi="Times New Roman"/>
                <w:bCs/>
                <w:sz w:val="20"/>
                <w:szCs w:val="20"/>
              </w:rPr>
              <w:t>Čo sa týka predpokladaného počtu poberateliek tehotenského štipendia, ten je odhadovaný na zhruba 7</w:t>
            </w:r>
            <w:r w:rsidR="0024243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E01928">
              <w:rPr>
                <w:rFonts w:ascii="Times New Roman" w:hAnsi="Times New Roman"/>
                <w:bCs/>
                <w:sz w:val="20"/>
                <w:szCs w:val="20"/>
              </w:rPr>
              <w:t>0 osôb mesačne. Pri stanovení tohto počtu sme vychádzali z počtu poberateľov rodičovského príspevku, na ktorých je súčasne vyplácaný príspevok na dieťa – nezaopatrené dieťa pripravujúce sa na budúce povolanie.</w:t>
            </w:r>
          </w:p>
          <w:p w:rsidR="000722DE" w:rsidRPr="00174F91" w:rsidRDefault="000722DE" w:rsidP="00242433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Zvýšenie dotácie na podporu výchovy k stravovacím návykom sa bude týkať cca 60 tis</w:t>
            </w:r>
            <w:r w:rsidR="00E01928">
              <w:rPr>
                <w:rFonts w:ascii="Times New Roman" w:hAnsi="Times New Roman"/>
                <w:bCs/>
                <w:sz w:val="20"/>
                <w:szCs w:val="20"/>
              </w:rPr>
              <w:t>íc 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etí.</w:t>
            </w: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174F91" w:rsidRDefault="00174F91" w:rsidP="004B6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174F91">
              <w:rPr>
                <w:rFonts w:ascii="Times New Roman" w:hAnsi="Times New Roman"/>
                <w:sz w:val="20"/>
                <w:szCs w:val="20"/>
              </w:rPr>
              <w:t xml:space="preserve">Návrh zákona, ktorým sa mení a dopĺňa zákon č. 544/2010 Z. z. o dotáciách v pôsobnosti Ministerstva práce, sociálnych vecí a rodiny Slovenskej republiky v znení neskorších predpisov bude </w:t>
            </w:r>
            <w:r w:rsidRPr="00D61B0D">
              <w:rPr>
                <w:rFonts w:ascii="Times New Roman" w:hAnsi="Times New Roman"/>
                <w:sz w:val="20"/>
                <w:szCs w:val="20"/>
              </w:rPr>
              <w:t>mať negatívny vplyv</w:t>
            </w:r>
            <w:r w:rsidRPr="00174F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74F91">
              <w:rPr>
                <w:rFonts w:ascii="Times New Roman" w:hAnsi="Times New Roman"/>
                <w:sz w:val="20"/>
                <w:szCs w:val="20"/>
              </w:rPr>
              <w:t xml:space="preserve">na hospodárenie domácností v dôsledku zvýšenia  </w:t>
            </w:r>
            <w:r w:rsidRPr="00174F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výdavkov na stravu, a to neposkytovaním plošnej dotácie na podporu výchovy k stravovacím návykom.  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74F91" w:rsidRPr="00174F91" w:rsidRDefault="00174F91" w:rsidP="00174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174F9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Negatívny vplyv sa bude týkať domácností s deťmi, na ktoré bola poskytovaná dotácia na stravu plošne, t. j. </w:t>
            </w:r>
          </w:p>
          <w:p w:rsidR="00174F91" w:rsidRPr="00174F91" w:rsidRDefault="00174F91" w:rsidP="00174F91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174F9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na hospodárenie domácností s deťmi, ktoré navštevujú posledný ročník vzdelávacieho programu odboru vzdelávania materskej školy, </w:t>
            </w:r>
          </w:p>
          <w:p w:rsidR="00224847" w:rsidRPr="00F322CC" w:rsidRDefault="00174F91" w:rsidP="00F322CC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F322C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na hospodárenie domácností s deťmi plniacimi si povinnú školskú dochádzku na základných školách, ktoré nepatria do cieľovej skupiny definovanej v návrhu zákona. </w:t>
            </w:r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174F91" w:rsidRDefault="00CE0D8E" w:rsidP="004B6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174F9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</w:t>
            </w:r>
            <w:r w:rsidR="004C7965" w:rsidRPr="00174F9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ávrh</w:t>
            </w:r>
            <w:r w:rsidR="002672BD" w:rsidRPr="00174F9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174F9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zákona </w:t>
            </w:r>
            <w:r w:rsidR="002672BD" w:rsidRPr="00174F9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má pozitívny vp</w:t>
            </w:r>
            <w:r w:rsidR="00953B60" w:rsidRPr="00174F9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lyv na príjem domácností s tehotnou poistenkyňou, </w:t>
            </w:r>
            <w:r w:rsidR="006E7DD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resp. tehotnou plnoletou študentkou </w:t>
            </w:r>
            <w:r w:rsidR="00953B60" w:rsidRPr="00174F9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t. j. aj domácnosti, ktoré</w:t>
            </w:r>
            <w:r w:rsidR="002672BD" w:rsidRPr="00174F9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sa môžu nachádzať v riziku chudoby.</w:t>
            </w:r>
            <w:r w:rsidR="0071076C" w:rsidRPr="00174F9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216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  <w:r w:rsidR="008F3A62"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Poberatelia </w:t>
            </w:r>
            <w:r w:rsidR="003D116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nemocenských</w:t>
            </w:r>
            <w:r w:rsidR="008F3A62"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dávok</w:t>
            </w:r>
            <w:r w:rsidR="00CE0D8E"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D61B0D" w:rsidRPr="00D61B0D" w:rsidRDefault="00D61B0D" w:rsidP="00D61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sk-SK"/>
              </w:rPr>
            </w:pPr>
            <w:r w:rsidRPr="00D61B0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sk-SK"/>
              </w:rPr>
              <w:t>Výška tehotenského je 15 % denného vymeriavacieho základu určeného podľa § 55 alebo pravdepodobného denného vymeriavacieho základu určeného podľa </w:t>
            </w:r>
            <w:r w:rsidRPr="00FB77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sk-SK"/>
              </w:rPr>
              <w:t>§ 57</w:t>
            </w:r>
            <w:r w:rsidRPr="00D61B0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sk-SK"/>
              </w:rPr>
              <w:t>. Úhrnná výška tehotenského zo všet</w:t>
            </w:r>
            <w:r w:rsidR="00B24847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sk-SK"/>
              </w:rPr>
              <w:t>kých nemocenských poistení je na</w:t>
            </w:r>
            <w:r w:rsidRPr="00D61B0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sk-SK"/>
              </w:rPr>
              <w:t>jmenej 10% denného vymeriavacieho základu podľa §55 ods. 2.</w:t>
            </w:r>
          </w:p>
          <w:p w:rsidR="000722DE" w:rsidRDefault="00D61B0D" w:rsidP="007F25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174F9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 roku 202</w:t>
            </w:r>
            <w:r w:rsidR="002E659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1</w:t>
            </w:r>
            <w:r w:rsidRPr="00174F9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sa predpokladá vyplatenie </w:t>
            </w:r>
            <w:r w:rsidR="007F250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tehotenského </w:t>
            </w:r>
            <w:r w:rsidRPr="00174F9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pre tehotné poistenkyne s priemernou mesačnou sumou cca 236,2 eur; cca 242,8 eur v roku 2022 a cca 247,8 eura v roku 2023. </w:t>
            </w:r>
          </w:p>
          <w:p w:rsidR="006E7DDD" w:rsidRPr="00174F91" w:rsidRDefault="006E7DDD" w:rsidP="007F25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Výška tehotenského štipendia je určená plošne na 200 eur mesačne a priznáva sa od prvého dňa kalendárneho mesiaca, v ktorom bola podaná žiadosť.</w:t>
            </w: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FD5794" w:rsidRDefault="00174F91" w:rsidP="006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Neposkytovanie plošnej dotácie na stravu vo výške 1,</w:t>
            </w:r>
            <w:r w:rsidR="006E7DD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0 eura na každé dieťa v poslednom ročníku materskej školy a na každé dieťa v základnej školy na deň. </w:t>
            </w: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Default="005A6E84" w:rsidP="00216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Priemerný mesačný počet</w:t>
            </w:r>
            <w:r w:rsidR="00580ACA" w:rsidRPr="00174F9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poberateliek  tehotenského sa v roku 2021</w:t>
            </w:r>
            <w:r w:rsidR="00647DFF" w:rsidRPr="00174F9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8F3A62" w:rsidRPr="00174F9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odhaduj</w:t>
            </w:r>
            <w:r w:rsidR="003621F7" w:rsidRPr="00174F9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e</w:t>
            </w:r>
            <w:r w:rsidR="005B2098" w:rsidRPr="00174F9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3621F7" w:rsidRPr="00174F9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na </w:t>
            </w:r>
            <w:r w:rsidR="002160F4" w:rsidRPr="00174F9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úrovni </w:t>
            </w:r>
            <w:r w:rsidR="003D116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20 815</w:t>
            </w:r>
            <w:r w:rsidR="002E659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;</w:t>
            </w:r>
            <w:r w:rsidR="00B01814" w:rsidRPr="00174F9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A9236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21 231</w:t>
            </w:r>
            <w:r w:rsidR="00B01814" w:rsidRPr="00174F9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 roku 2022 a</w:t>
            </w:r>
            <w:r w:rsidR="00A9236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21 665</w:t>
            </w:r>
            <w:r w:rsidR="00B01814" w:rsidRPr="00174F9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 roku 2023</w:t>
            </w:r>
            <w:r w:rsidR="008F3A62" w:rsidRPr="00174F9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  <w:r w:rsidR="00AC1CDF" w:rsidRPr="00174F9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6E7DDD">
              <w:rPr>
                <w:rFonts w:ascii="Times New Roman" w:hAnsi="Times New Roman"/>
                <w:bCs/>
                <w:sz w:val="20"/>
                <w:szCs w:val="20"/>
              </w:rPr>
              <w:t>Počet poberateliek tehotenského štipendia je odhadovaný na zhruba 7</w:t>
            </w:r>
            <w:r w:rsidR="0024243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6E7DDD">
              <w:rPr>
                <w:rFonts w:ascii="Times New Roman" w:hAnsi="Times New Roman"/>
                <w:bCs/>
                <w:sz w:val="20"/>
                <w:szCs w:val="20"/>
              </w:rPr>
              <w:t>0 osôb mesačne.</w:t>
            </w:r>
          </w:p>
          <w:p w:rsidR="00174F91" w:rsidRPr="00174F91" w:rsidRDefault="00174F91" w:rsidP="00216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EF1FA6">
              <w:rPr>
                <w:rFonts w:ascii="Times New Roman" w:hAnsi="Times New Roman"/>
                <w:sz w:val="20"/>
                <w:szCs w:val="20"/>
              </w:rPr>
              <w:t xml:space="preserve">Odhaduje sa, že </w:t>
            </w:r>
            <w:r>
              <w:rPr>
                <w:rFonts w:ascii="Times New Roman" w:hAnsi="Times New Roman"/>
                <w:sz w:val="20"/>
                <w:szCs w:val="20"/>
              </w:rPr>
              <w:t>v roku 2021 dotácia na stravu nebude poskytnutá na cca 442 813 detí.</w:t>
            </w:r>
          </w:p>
        </w:tc>
      </w:tr>
      <w:tr w:rsidR="00313AEB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313AEB" w:rsidRPr="00CD4982" w:rsidRDefault="00313AEB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313AEB" w:rsidRPr="00CA6BAF" w:rsidRDefault="00313AE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13AEB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313AEB" w:rsidRPr="00CD4982" w:rsidRDefault="00313AE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313AEB" w:rsidRPr="00CA6BAF" w:rsidRDefault="00313AE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8E2C17" w:rsidRDefault="008E2C17" w:rsidP="00224847">
      <w:pPr>
        <w:rPr>
          <w:rFonts w:ascii="Times New Roman" w:hAnsi="Times New Roman" w:cs="Times New Roman"/>
          <w:sz w:val="20"/>
          <w:szCs w:val="20"/>
        </w:rPr>
      </w:pPr>
    </w:p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Špecifikujete ovplyvnené skupiny obyvateľstva a charakter zmeny v prístupnosti s ohľadom na dostupnosť finančnú, </w:t>
            </w: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lastRenderedPageBreak/>
              <w:t>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BE586C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Pr="00BE586C" w:rsidRDefault="00E01928" w:rsidP="006A7E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Poskytovanie dotácií na podporu plnenia funkcií rodiny, ktoré návrh zavádza, bude mať pozitívny sociálny vplyv na rodiny, vrátane rodín a detí, ktoré sú umiestnené v rôznych typoch sociálnych zariadení.</w:t>
            </w:r>
            <w:r w:rsidR="00F7330A">
              <w:rPr>
                <w:rFonts w:ascii="Times New Roman" w:hAnsi="Times New Roman"/>
                <w:sz w:val="20"/>
                <w:szCs w:val="20"/>
              </w:rPr>
              <w:t xml:space="preserve"> Predmetný návrh môže mať pozitívny sociálny vplyv napríklad v týchto aspektoch: zlepšenie prístupu k sociálnej ochrane či sociálnym službám; zavádzané dotácie na podporu plnenia funkcií rodiny tiež môžu prispieť k uľahčeniu zosúladenia rodinných a pracovných povinností. </w:t>
            </w:r>
          </w:p>
          <w:p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Pr="00BE586C" w:rsidRDefault="00153873" w:rsidP="006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A30F1C" w:rsidRPr="00BE586C" w:rsidRDefault="00A30F1C" w:rsidP="009943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174F91" w:rsidRDefault="00BD1A0D" w:rsidP="006A7E50">
            <w:pPr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Pr="00174F9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zákona môže mať pozitívny vplyv na</w:t>
            </w:r>
            <w:r w:rsidR="00681C40" w:rsidRPr="00174F9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174F9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domácnosti s nízkym príjmom, na</w:t>
            </w:r>
            <w:r w:rsidR="00F7330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mladých ľudí,</w:t>
            </w:r>
            <w:r w:rsidRPr="00174F9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deti a domácnosti s 3 a viac deťmi a jednorodičovské domácnosti s deťmi.</w:t>
            </w: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1"/>
          <w:footerReference w:type="default" r:id="rId12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Dodržuje návrh povinnosť rovnakého zaobchádzania so skupinami alebo jednotlivcami na základe pohlavia, rasy, etnicity, náboženstva alebo viery, zdravotného postihnutia veku a sexuálnej orientácie? Mohol by viesť k nepriamej </w:t>
            </w: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lastRenderedPageBreak/>
              <w:t>diskriminácii niektorých skupín obyvateľstva? Podporuje návrh rovnosť príležitostí?</w:t>
            </w:r>
          </w:p>
        </w:tc>
      </w:tr>
    </w:tbl>
    <w:p w:rsidR="00CA6BAF" w:rsidRPr="00F7330A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RPr="00F7330A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F7330A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6A7E50" w:rsidRDefault="00FD5794" w:rsidP="00FD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6A7E5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lastRenderedPageBreak/>
              <w:t xml:space="preserve"> </w:t>
            </w:r>
            <w:r w:rsidR="00A07134" w:rsidRPr="006A7E5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Návrh zákona </w:t>
            </w:r>
            <w:r w:rsidRPr="006A7E5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dodržiava povinnosť rovnakého zaobchádzania so skupinami alebo jednotlivcami na základe pohlavia, rasy, etnicity, náboženstva alebo viery, zdravotného postihnutia a sexuálnej orientácie. </w:t>
            </w:r>
            <w:r w:rsidR="00A07134" w:rsidRPr="006A7E5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Návrh zákona </w:t>
            </w:r>
            <w:r w:rsidRPr="006A7E5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nemôže viesť k nepriamej diskriminácii niektorých skupín obyvateľstva. </w:t>
            </w:r>
          </w:p>
          <w:p w:rsidR="00CD4982" w:rsidRPr="00F7330A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6A7E50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BE586C" w:rsidRDefault="00F7330A" w:rsidP="006A7E50">
            <w:pPr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Návrh nemá odlišný vplyv na ženy a</w:t>
            </w:r>
            <w:r w:rsidR="00DF6AA4">
              <w:rPr>
                <w:rFonts w:ascii="Times New Roman" w:eastAsia="Calibri" w:hAnsi="Times New Roman" w:cs="Times New Roman"/>
                <w:sz w:val="20"/>
                <w:lang w:eastAsia="sk-SK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mužov</w:t>
            </w:r>
            <w:r w:rsidR="00DF6AA4">
              <w:rPr>
                <w:rFonts w:ascii="Times New Roman" w:eastAsia="Calibri" w:hAnsi="Times New Roman" w:cs="Times New Roman"/>
                <w:sz w:val="20"/>
                <w:lang w:eastAsia="sk-SK"/>
              </w:rPr>
              <w:t>. N</w:t>
            </w: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aopak, </w:t>
            </w:r>
            <w:r w:rsidR="00176A78">
              <w:rPr>
                <w:rFonts w:ascii="Times New Roman" w:eastAsia="Calibri" w:hAnsi="Times New Roman" w:cs="Times New Roman"/>
                <w:sz w:val="20"/>
                <w:lang w:eastAsia="sk-SK"/>
              </w:rPr>
              <w:t>Je zacielený na rovnocennú podporu rodiny a jej členov a podporuje rovnosťmedzi ženami a mužmi a rovnosť príležitostí.</w:t>
            </w:r>
          </w:p>
          <w:p w:rsidR="00BE586C" w:rsidRDefault="00BE586C" w:rsidP="00BE586C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F816D3" w:rsidRDefault="00CA6BAF" w:rsidP="00BE586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:rsidTr="00153873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994C5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153873" w:rsidRPr="00994C53" w:rsidTr="0091002D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15387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153873" w:rsidRPr="00994C53" w:rsidTr="00C15BA4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15387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153873" w:rsidRPr="00994C53" w:rsidTr="00F06EBE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15387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153873" w:rsidRPr="00994C53" w:rsidTr="00E135DF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15387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153873" w:rsidRPr="00994C53" w:rsidTr="00FA31A7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</w:tbl>
    <w:p w:rsidR="00CB3623" w:rsidRDefault="00CB3623" w:rsidP="00880902">
      <w:pPr>
        <w:spacing w:after="0" w:line="240" w:lineRule="auto"/>
        <w:jc w:val="center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E2" w:rsidRDefault="009645E2" w:rsidP="001D6749">
      <w:pPr>
        <w:spacing w:after="0" w:line="240" w:lineRule="auto"/>
      </w:pPr>
      <w:r>
        <w:separator/>
      </w:r>
    </w:p>
  </w:endnote>
  <w:endnote w:type="continuationSeparator" w:id="0">
    <w:p w:rsidR="009645E2" w:rsidRDefault="009645E2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E92CAE">
          <w:rPr>
            <w:rFonts w:ascii="Times New Roman" w:hAnsi="Times New Roman" w:cs="Times New Roman"/>
            <w:noProof/>
          </w:rPr>
          <w:t>2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E92CAE">
          <w:rPr>
            <w:rFonts w:ascii="Times New Roman" w:hAnsi="Times New Roman" w:cs="Times New Roman"/>
            <w:noProof/>
          </w:rPr>
          <w:t>5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E2" w:rsidRDefault="009645E2" w:rsidP="001D6749">
      <w:pPr>
        <w:spacing w:after="0" w:line="240" w:lineRule="auto"/>
      </w:pPr>
      <w:r>
        <w:separator/>
      </w:r>
    </w:p>
  </w:footnote>
  <w:footnote w:type="continuationSeparator" w:id="0">
    <w:p w:rsidR="009645E2" w:rsidRDefault="009645E2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49" w:rsidRPr="008E2C17" w:rsidRDefault="001D6749" w:rsidP="008E2C1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6218AA"/>
    <w:multiLevelType w:val="hybridMultilevel"/>
    <w:tmpl w:val="8652A0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  <w:num w:numId="1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riska Slavomir">
    <w15:presenceInfo w15:providerId="AD" w15:userId="S-1-5-21-623720501-4287158864-1464952876-35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14970"/>
    <w:rsid w:val="000274D0"/>
    <w:rsid w:val="00032BDE"/>
    <w:rsid w:val="00053871"/>
    <w:rsid w:val="000722DE"/>
    <w:rsid w:val="000A55DE"/>
    <w:rsid w:val="000C488A"/>
    <w:rsid w:val="000C65F8"/>
    <w:rsid w:val="000C70C2"/>
    <w:rsid w:val="000E64FA"/>
    <w:rsid w:val="000F71CB"/>
    <w:rsid w:val="00115892"/>
    <w:rsid w:val="00117477"/>
    <w:rsid w:val="00122AEB"/>
    <w:rsid w:val="00153873"/>
    <w:rsid w:val="00153E92"/>
    <w:rsid w:val="00154CBC"/>
    <w:rsid w:val="00165321"/>
    <w:rsid w:val="00172113"/>
    <w:rsid w:val="00174F91"/>
    <w:rsid w:val="00176A78"/>
    <w:rsid w:val="001A574A"/>
    <w:rsid w:val="001D10CD"/>
    <w:rsid w:val="001D6749"/>
    <w:rsid w:val="001E13F8"/>
    <w:rsid w:val="001F60EF"/>
    <w:rsid w:val="001F7932"/>
    <w:rsid w:val="00204D10"/>
    <w:rsid w:val="00211478"/>
    <w:rsid w:val="002160F4"/>
    <w:rsid w:val="00224847"/>
    <w:rsid w:val="00227A26"/>
    <w:rsid w:val="00230C69"/>
    <w:rsid w:val="00242433"/>
    <w:rsid w:val="00245F0D"/>
    <w:rsid w:val="00257521"/>
    <w:rsid w:val="00265D57"/>
    <w:rsid w:val="002672BD"/>
    <w:rsid w:val="00274E76"/>
    <w:rsid w:val="00275F99"/>
    <w:rsid w:val="002A0A26"/>
    <w:rsid w:val="002A5EF2"/>
    <w:rsid w:val="002C495D"/>
    <w:rsid w:val="002E487C"/>
    <w:rsid w:val="002E6593"/>
    <w:rsid w:val="00313AEB"/>
    <w:rsid w:val="00322143"/>
    <w:rsid w:val="00322260"/>
    <w:rsid w:val="00337B5D"/>
    <w:rsid w:val="003541E9"/>
    <w:rsid w:val="00357E2A"/>
    <w:rsid w:val="003610A2"/>
    <w:rsid w:val="003621F7"/>
    <w:rsid w:val="00362CBF"/>
    <w:rsid w:val="003849C7"/>
    <w:rsid w:val="00393026"/>
    <w:rsid w:val="00394DE3"/>
    <w:rsid w:val="003C64AC"/>
    <w:rsid w:val="003D1161"/>
    <w:rsid w:val="0040544D"/>
    <w:rsid w:val="00466488"/>
    <w:rsid w:val="004A10F7"/>
    <w:rsid w:val="004B6781"/>
    <w:rsid w:val="004C7965"/>
    <w:rsid w:val="004E63A0"/>
    <w:rsid w:val="004F2664"/>
    <w:rsid w:val="004F3EBF"/>
    <w:rsid w:val="004F5E3C"/>
    <w:rsid w:val="0051643C"/>
    <w:rsid w:val="00520808"/>
    <w:rsid w:val="00580ACA"/>
    <w:rsid w:val="00585AD3"/>
    <w:rsid w:val="005A57C8"/>
    <w:rsid w:val="005A6E84"/>
    <w:rsid w:val="005B2098"/>
    <w:rsid w:val="00617C3A"/>
    <w:rsid w:val="00647DFF"/>
    <w:rsid w:val="00650DFD"/>
    <w:rsid w:val="00676F6A"/>
    <w:rsid w:val="00681C40"/>
    <w:rsid w:val="006878B5"/>
    <w:rsid w:val="00693F4E"/>
    <w:rsid w:val="006A6F32"/>
    <w:rsid w:val="006A7E50"/>
    <w:rsid w:val="006B34DA"/>
    <w:rsid w:val="006D1A24"/>
    <w:rsid w:val="006D60E5"/>
    <w:rsid w:val="006E7DDD"/>
    <w:rsid w:val="0071076C"/>
    <w:rsid w:val="00742712"/>
    <w:rsid w:val="00755B2E"/>
    <w:rsid w:val="00770593"/>
    <w:rsid w:val="00784D9A"/>
    <w:rsid w:val="007A1B0E"/>
    <w:rsid w:val="007A2EB6"/>
    <w:rsid w:val="007B003C"/>
    <w:rsid w:val="007F2504"/>
    <w:rsid w:val="00805EB3"/>
    <w:rsid w:val="0084382D"/>
    <w:rsid w:val="008447D7"/>
    <w:rsid w:val="00851444"/>
    <w:rsid w:val="0085460D"/>
    <w:rsid w:val="00870D50"/>
    <w:rsid w:val="00872210"/>
    <w:rsid w:val="008749F7"/>
    <w:rsid w:val="00880902"/>
    <w:rsid w:val="00881728"/>
    <w:rsid w:val="00886CAF"/>
    <w:rsid w:val="00897FA4"/>
    <w:rsid w:val="008A4F7C"/>
    <w:rsid w:val="008B372F"/>
    <w:rsid w:val="008E2C17"/>
    <w:rsid w:val="008F3A62"/>
    <w:rsid w:val="008F6EAD"/>
    <w:rsid w:val="00900861"/>
    <w:rsid w:val="00905F76"/>
    <w:rsid w:val="00913342"/>
    <w:rsid w:val="00921D53"/>
    <w:rsid w:val="00943698"/>
    <w:rsid w:val="00953B60"/>
    <w:rsid w:val="009645E2"/>
    <w:rsid w:val="00972E46"/>
    <w:rsid w:val="00994310"/>
    <w:rsid w:val="00994C53"/>
    <w:rsid w:val="00997B26"/>
    <w:rsid w:val="00997EFF"/>
    <w:rsid w:val="009A56BC"/>
    <w:rsid w:val="009B16A5"/>
    <w:rsid w:val="009B755F"/>
    <w:rsid w:val="009E05A9"/>
    <w:rsid w:val="009E61B0"/>
    <w:rsid w:val="009F0EC6"/>
    <w:rsid w:val="009F36E5"/>
    <w:rsid w:val="009F385D"/>
    <w:rsid w:val="009F622E"/>
    <w:rsid w:val="00A07134"/>
    <w:rsid w:val="00A07A5A"/>
    <w:rsid w:val="00A30F1C"/>
    <w:rsid w:val="00A40DE4"/>
    <w:rsid w:val="00A53AFA"/>
    <w:rsid w:val="00A605B0"/>
    <w:rsid w:val="00A6500F"/>
    <w:rsid w:val="00A7194F"/>
    <w:rsid w:val="00A75D6C"/>
    <w:rsid w:val="00A87D5B"/>
    <w:rsid w:val="00A92363"/>
    <w:rsid w:val="00A9794A"/>
    <w:rsid w:val="00AC1CDF"/>
    <w:rsid w:val="00AD4E4C"/>
    <w:rsid w:val="00AF20BC"/>
    <w:rsid w:val="00AF39B8"/>
    <w:rsid w:val="00B01814"/>
    <w:rsid w:val="00B05D95"/>
    <w:rsid w:val="00B17FC0"/>
    <w:rsid w:val="00B2101F"/>
    <w:rsid w:val="00B24847"/>
    <w:rsid w:val="00B4080A"/>
    <w:rsid w:val="00B437B3"/>
    <w:rsid w:val="00B503CA"/>
    <w:rsid w:val="00B511B3"/>
    <w:rsid w:val="00B67CF6"/>
    <w:rsid w:val="00B7255D"/>
    <w:rsid w:val="00B77626"/>
    <w:rsid w:val="00B90A2F"/>
    <w:rsid w:val="00BC22E3"/>
    <w:rsid w:val="00BD1A0D"/>
    <w:rsid w:val="00BE586C"/>
    <w:rsid w:val="00C02DC2"/>
    <w:rsid w:val="00C32B43"/>
    <w:rsid w:val="00C56753"/>
    <w:rsid w:val="00C63956"/>
    <w:rsid w:val="00C7240F"/>
    <w:rsid w:val="00C77AA2"/>
    <w:rsid w:val="00C84619"/>
    <w:rsid w:val="00C93E00"/>
    <w:rsid w:val="00C940AA"/>
    <w:rsid w:val="00CA023C"/>
    <w:rsid w:val="00CA3E12"/>
    <w:rsid w:val="00CA6BAF"/>
    <w:rsid w:val="00CB3623"/>
    <w:rsid w:val="00CB3A1C"/>
    <w:rsid w:val="00CB4A49"/>
    <w:rsid w:val="00CD4982"/>
    <w:rsid w:val="00CE0D8E"/>
    <w:rsid w:val="00D118DA"/>
    <w:rsid w:val="00D45EEF"/>
    <w:rsid w:val="00D61B0D"/>
    <w:rsid w:val="00D73B1B"/>
    <w:rsid w:val="00D808E9"/>
    <w:rsid w:val="00D829FE"/>
    <w:rsid w:val="00D90335"/>
    <w:rsid w:val="00D921AE"/>
    <w:rsid w:val="00DA4453"/>
    <w:rsid w:val="00DA7A5E"/>
    <w:rsid w:val="00DB799A"/>
    <w:rsid w:val="00DD2D8F"/>
    <w:rsid w:val="00DE29DE"/>
    <w:rsid w:val="00DF1FBC"/>
    <w:rsid w:val="00DF6AA4"/>
    <w:rsid w:val="00E01928"/>
    <w:rsid w:val="00E17687"/>
    <w:rsid w:val="00E22685"/>
    <w:rsid w:val="00E25358"/>
    <w:rsid w:val="00E40428"/>
    <w:rsid w:val="00E538C0"/>
    <w:rsid w:val="00E805CF"/>
    <w:rsid w:val="00E816DC"/>
    <w:rsid w:val="00E92CAE"/>
    <w:rsid w:val="00EC7FDF"/>
    <w:rsid w:val="00EE1312"/>
    <w:rsid w:val="00EE6C58"/>
    <w:rsid w:val="00EF0C21"/>
    <w:rsid w:val="00F0633F"/>
    <w:rsid w:val="00F2597D"/>
    <w:rsid w:val="00F30B4E"/>
    <w:rsid w:val="00F322CC"/>
    <w:rsid w:val="00F342C9"/>
    <w:rsid w:val="00F406C8"/>
    <w:rsid w:val="00F447AA"/>
    <w:rsid w:val="00F51558"/>
    <w:rsid w:val="00F524E6"/>
    <w:rsid w:val="00F67ECC"/>
    <w:rsid w:val="00F7091C"/>
    <w:rsid w:val="00F7330A"/>
    <w:rsid w:val="00F74B56"/>
    <w:rsid w:val="00F7696B"/>
    <w:rsid w:val="00F77D10"/>
    <w:rsid w:val="00F816D3"/>
    <w:rsid w:val="00F938A1"/>
    <w:rsid w:val="00F974C1"/>
    <w:rsid w:val="00FA11DD"/>
    <w:rsid w:val="00FB7660"/>
    <w:rsid w:val="00FB77F8"/>
    <w:rsid w:val="00F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A10F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74F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61B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A10F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74F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61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ocialne-vplyvy"/>
    <f:field ref="objsubject" par="" edit="true" text=""/>
    <f:field ref="objcreatedby" par="" text="Kapel, Ján, JUDr."/>
    <f:field ref="objcreatedat" par="" text="24.8.2020 15:01:59"/>
    <f:field ref="objchangedby" par="" text="Administrator, System"/>
    <f:field ref="objmodifiedat" par="" text="24.8.2020 15:01:5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E5B5100-CFBC-429A-9EAF-722C5EC1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2</cp:revision>
  <cp:lastPrinted>2020-08-24T06:55:00Z</cp:lastPrinted>
  <dcterms:created xsi:type="dcterms:W3CDTF">2020-09-17T11:21:00Z</dcterms:created>
  <dcterms:modified xsi:type="dcterms:W3CDTF">2020-09-17T11:21:00Z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style="margin: 0cm 0cm 0pt; text-align: justify; text-indent: 21.3pt;"&gt;&lt;font face="Calibri"&gt;Verejnosť nebola o príprave návrhu zákona o finančnej podpore detí a rodín informovaná prostredníctvom predbežnej informácie pre&amp;nbsp;krátkosť času a potrebu pr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sociálneho zabezpečenia_x000d_
Stredné školstvo_x000d_
Vysoké a vyššie školstvo_x000d_
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Ján Kapel</vt:lpwstr>
  </property>
  <property fmtid="{D5CDD505-2E9C-101B-9397-08002B2CF9AE}" pid="12" name="FSC#SKEDITIONSLOVLEX@103.510:zodppredkladatel">
    <vt:lpwstr>Bc. Milan Krajniak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finančnej podpore detí a rodín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Zákon o finančnej podpore detí a rodín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22087/2020-M_OPVA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LP/2020/352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151 a 153 Zmluvy o fungovaní Európskej únie (Ú. v. EÚ C 83, 30. 3. 2010)</vt:lpwstr>
  </property>
  <property fmtid="{D5CDD505-2E9C-101B-9397-08002B2CF9AE}" pid="47" name="FSC#SKEDITIONSLOVLEX@103.510:AttrStrListDocPropSekundarneLegPravoPO">
    <vt:lpwstr>Nariadenie (ES) Európskeho parlamentu a Rady 883/2004 z 29. apríla 2004 o koordinácii systémov sociálneho zabezpečenia (Ú. v. EÚ L 166, 30.4.2004; Mimoriadne vydanie Ú. v. EÚ, kap. 5/zv. 5) v platnom znení _x000d_
Nariadenie Európskeho parlamentu a Rady (ES) č.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upravená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bezpredmetné</vt:lpwstr>
  </property>
  <property fmtid="{D5CDD505-2E9C-101B-9397-08002B2CF9AE}" pid="55" name="FSC#SKEDITIONSLOVLEX@103.510:AttrStrListDocPropInfoUzPreberanePP">
    <vt:lpwstr>bezpredmetné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práce,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Bc. Milan Krajniak_x000d_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 o&amp;nbsp;finančnej podpore detí a&amp;nbsp;rodín predkladá Ministerstvo práce, sociálnych vecí a&amp;nbsp;rodiny Slovenskej republiky do medzirezortného pripomienkového konania ako iniciatívny materiál.&lt;/p&gt;&lt;p style="text</vt:lpwstr>
  </property>
  <property fmtid="{D5CDD505-2E9C-101B-9397-08002B2CF9AE}" pid="150" name="FSC#SKEDITIONSLOVLEX@103.510:vytvorenedna">
    <vt:lpwstr>24. 8. 2020</vt:lpwstr>
  </property>
  <property fmtid="{D5CDD505-2E9C-101B-9397-08002B2CF9AE}" pid="151" name="FSC#COOSYSTEM@1.1:Container">
    <vt:lpwstr>COO.2145.1000.3.3982304</vt:lpwstr>
  </property>
  <property fmtid="{D5CDD505-2E9C-101B-9397-08002B2CF9AE}" pid="152" name="FSC#FSCFOLIO@1.1001:docpropproject">
    <vt:lpwstr/>
  </property>
</Properties>
</file>