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7" w:rsidRPr="00386571" w:rsidRDefault="00EC66A7" w:rsidP="002055BD">
      <w:pPr>
        <w:pStyle w:val="Zkladntext"/>
        <w:widowControl/>
        <w:rPr>
          <w:b w:val="0"/>
          <w:bCs w:val="0"/>
          <w:color w:val="000000"/>
          <w:sz w:val="24"/>
          <w:szCs w:val="24"/>
        </w:rPr>
      </w:pPr>
      <w:r w:rsidRPr="00386571">
        <w:rPr>
          <w:b w:val="0"/>
          <w:bCs w:val="0"/>
          <w:color w:val="000000"/>
          <w:sz w:val="24"/>
          <w:szCs w:val="24"/>
        </w:rPr>
        <w:t>V y h l á s e n i e   p r e d k l a d a t e ľ a</w:t>
      </w:r>
    </w:p>
    <w:p w:rsidR="00EC66A7" w:rsidRPr="00386571" w:rsidRDefault="00EC66A7" w:rsidP="002055BD">
      <w:pPr>
        <w:pStyle w:val="Zkladntext"/>
        <w:widowControl/>
        <w:jc w:val="both"/>
        <w:rPr>
          <w:b w:val="0"/>
          <w:bCs w:val="0"/>
          <w:color w:val="000000"/>
          <w:sz w:val="24"/>
          <w:szCs w:val="24"/>
        </w:rPr>
      </w:pPr>
    </w:p>
    <w:p w:rsidR="00194B7B" w:rsidRPr="00B64940" w:rsidRDefault="003944C2" w:rsidP="002A7B0E">
      <w:pPr>
        <w:rPr>
          <w:rFonts w:ascii="Times New Roman" w:hAnsi="Times New Roman"/>
          <w:color w:val="000000"/>
          <w:sz w:val="24"/>
          <w:szCs w:val="24"/>
          <w:lang w:eastAsia="sk-SK"/>
        </w:rPr>
      </w:pPr>
      <w:r w:rsidRPr="00386571">
        <w:rPr>
          <w:rFonts w:ascii="Times New Roman" w:hAnsi="Times New Roman"/>
          <w:color w:val="000000"/>
          <w:sz w:val="24"/>
          <w:szCs w:val="24"/>
          <w:lang w:eastAsia="sk-SK"/>
        </w:rPr>
        <w:t>k</w:t>
      </w:r>
      <w:r w:rsidR="00EC66A7" w:rsidRPr="00386571">
        <w:rPr>
          <w:rFonts w:ascii="Times New Roman" w:hAnsi="Times New Roman"/>
          <w:color w:val="000000"/>
          <w:sz w:val="24"/>
          <w:szCs w:val="24"/>
          <w:lang w:eastAsia="sk-SK"/>
        </w:rPr>
        <w:t xml:space="preserve"> </w:t>
      </w:r>
      <w:r w:rsidR="00284796" w:rsidRPr="00386571">
        <w:rPr>
          <w:rFonts w:ascii="Times New Roman" w:hAnsi="Times New Roman"/>
          <w:color w:val="000000"/>
          <w:sz w:val="24"/>
          <w:szCs w:val="24"/>
          <w:lang w:eastAsia="sk-SK"/>
        </w:rPr>
        <w:t>návrhu zákona</w:t>
      </w:r>
      <w:r w:rsidR="00B64940">
        <w:rPr>
          <w:rFonts w:ascii="Times New Roman" w:hAnsi="Times New Roman"/>
          <w:color w:val="000000"/>
          <w:sz w:val="24"/>
          <w:szCs w:val="24"/>
          <w:lang w:eastAsia="sk-SK"/>
        </w:rPr>
        <w:t xml:space="preserve">, </w:t>
      </w:r>
      <w:r w:rsidR="002A7B0E" w:rsidRPr="002A7B0E">
        <w:rPr>
          <w:rFonts w:ascii="Times New Roman" w:hAnsi="Times New Roman"/>
          <w:color w:val="000000"/>
          <w:sz w:val="24"/>
          <w:szCs w:val="24"/>
          <w:lang w:eastAsia="sk-SK"/>
        </w:rPr>
        <w:t xml:space="preserve">ktorým sa mení a dopĺňa zákon č. 595/2003 Z. z. o dani z príjmov v znení neskorších predpisov a ktorým sa menia a dopĺňajú niektoré zákony </w:t>
      </w:r>
      <w:r w:rsidR="00EC66A7" w:rsidRPr="00386571">
        <w:rPr>
          <w:rFonts w:ascii="Times New Roman" w:hAnsi="Times New Roman"/>
          <w:color w:val="000000"/>
          <w:sz w:val="24"/>
          <w:szCs w:val="24"/>
        </w:rPr>
        <w:t>boli predložené viaceré zásadné pripomienky v rámci medzirezortného pripomienkového konania</w:t>
      </w:r>
      <w:r w:rsidR="00B64940">
        <w:rPr>
          <w:rFonts w:ascii="Times New Roman" w:hAnsi="Times New Roman"/>
          <w:color w:val="000000"/>
          <w:sz w:val="24"/>
          <w:szCs w:val="24"/>
        </w:rPr>
        <w:t xml:space="preserve">. V rámci </w:t>
      </w:r>
      <w:proofErr w:type="spellStart"/>
      <w:r w:rsidR="00B64940">
        <w:rPr>
          <w:rFonts w:ascii="Times New Roman" w:hAnsi="Times New Roman"/>
          <w:color w:val="000000"/>
          <w:sz w:val="24"/>
          <w:szCs w:val="24"/>
        </w:rPr>
        <w:t>rozporového</w:t>
      </w:r>
      <w:proofErr w:type="spellEnd"/>
      <w:r w:rsidR="00B64940">
        <w:rPr>
          <w:rFonts w:ascii="Times New Roman" w:hAnsi="Times New Roman"/>
          <w:color w:val="000000"/>
          <w:sz w:val="24"/>
          <w:szCs w:val="24"/>
        </w:rPr>
        <w:t xml:space="preserve"> konania k </w:t>
      </w:r>
      <w:r w:rsidR="00EC66A7" w:rsidRPr="00386571">
        <w:rPr>
          <w:rFonts w:ascii="Times New Roman" w:hAnsi="Times New Roman"/>
          <w:color w:val="000000"/>
          <w:sz w:val="24"/>
          <w:szCs w:val="24"/>
        </w:rPr>
        <w:t>zásadným pripomienkam sa</w:t>
      </w:r>
      <w:r w:rsidR="00837177">
        <w:rPr>
          <w:rFonts w:ascii="Times New Roman" w:hAnsi="Times New Roman"/>
          <w:color w:val="000000"/>
          <w:sz w:val="24"/>
          <w:szCs w:val="24"/>
        </w:rPr>
        <w:t xml:space="preserve"> nepodarilo odstrániť rozpory v </w:t>
      </w:r>
      <w:r w:rsidR="00EC66A7" w:rsidRPr="00386571">
        <w:rPr>
          <w:rFonts w:ascii="Times New Roman" w:hAnsi="Times New Roman"/>
          <w:color w:val="000000"/>
          <w:sz w:val="24"/>
          <w:szCs w:val="24"/>
        </w:rPr>
        <w:t>nasledujúcich oblastiach:</w:t>
      </w:r>
    </w:p>
    <w:p w:rsidR="00492543" w:rsidRPr="00386571" w:rsidRDefault="00492543" w:rsidP="00B64940">
      <w:pPr>
        <w:pStyle w:val="Zkladntext"/>
        <w:widowControl/>
        <w:jc w:val="both"/>
        <w:rPr>
          <w:b w:val="0"/>
          <w:bCs w:val="0"/>
          <w:color w:val="000000"/>
          <w:sz w:val="24"/>
          <w:szCs w:val="24"/>
        </w:rPr>
      </w:pPr>
    </w:p>
    <w:tbl>
      <w:tblPr>
        <w:tblW w:w="647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
        <w:gridCol w:w="523"/>
        <w:gridCol w:w="1036"/>
        <w:gridCol w:w="3368"/>
        <w:gridCol w:w="3719"/>
        <w:gridCol w:w="728"/>
        <w:gridCol w:w="2083"/>
        <w:gridCol w:w="2358"/>
        <w:gridCol w:w="4173"/>
      </w:tblGrid>
      <w:tr w:rsidR="000279D2" w:rsidRPr="00104CC4" w:rsidTr="00765114">
        <w:trPr>
          <w:gridAfter w:val="1"/>
          <w:wAfter w:w="1140" w:type="pct"/>
        </w:trPr>
        <w:tc>
          <w:tcPr>
            <w:tcW w:w="229" w:type="pct"/>
            <w:gridSpan w:val="2"/>
          </w:tcPr>
          <w:p w:rsidR="000279D2" w:rsidRPr="00104CC4" w:rsidRDefault="000279D2"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Por. č. </w:t>
            </w:r>
          </w:p>
        </w:tc>
        <w:tc>
          <w:tcPr>
            <w:tcW w:w="283" w:type="pct"/>
            <w:vAlign w:val="center"/>
          </w:tcPr>
          <w:p w:rsidR="000279D2" w:rsidRPr="00104CC4" w:rsidRDefault="000279D2"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Subjekt</w:t>
            </w:r>
          </w:p>
        </w:tc>
        <w:tc>
          <w:tcPr>
            <w:tcW w:w="1936" w:type="pct"/>
            <w:gridSpan w:val="2"/>
            <w:vAlign w:val="center"/>
          </w:tcPr>
          <w:p w:rsidR="000279D2" w:rsidRPr="00104CC4" w:rsidRDefault="000279D2"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Pripomienka</w:t>
            </w:r>
          </w:p>
        </w:tc>
        <w:tc>
          <w:tcPr>
            <w:tcW w:w="199" w:type="pct"/>
            <w:vAlign w:val="center"/>
          </w:tcPr>
          <w:p w:rsidR="000279D2" w:rsidRPr="00104CC4" w:rsidRDefault="000279D2" w:rsidP="00765114">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Typ</w:t>
            </w:r>
          </w:p>
        </w:tc>
        <w:tc>
          <w:tcPr>
            <w:tcW w:w="1213" w:type="pct"/>
            <w:gridSpan w:val="2"/>
          </w:tcPr>
          <w:p w:rsidR="000279D2" w:rsidRPr="00104CC4" w:rsidRDefault="008A53FC"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Stanovisko Ministerstva financií</w:t>
            </w:r>
            <w:r w:rsidR="000279D2" w:rsidRPr="00104CC4">
              <w:rPr>
                <w:rFonts w:ascii="Times New Roman" w:hAnsi="Times New Roman"/>
                <w:b/>
                <w:sz w:val="24"/>
                <w:szCs w:val="24"/>
              </w:rPr>
              <w:t xml:space="preserve"> SR</w:t>
            </w:r>
          </w:p>
        </w:tc>
      </w:tr>
      <w:tr w:rsidR="005F0096" w:rsidRPr="00104CC4" w:rsidTr="00765114">
        <w:trPr>
          <w:gridAfter w:val="1"/>
          <w:wAfter w:w="1140" w:type="pct"/>
        </w:trPr>
        <w:tc>
          <w:tcPr>
            <w:tcW w:w="229" w:type="pct"/>
            <w:gridSpan w:val="2"/>
            <w:shd w:val="clear" w:color="auto" w:fill="BFBFBF"/>
          </w:tcPr>
          <w:p w:rsidR="005F0096" w:rsidRPr="00104CC4" w:rsidRDefault="005F0096" w:rsidP="002055BD">
            <w:pPr>
              <w:widowControl/>
              <w:spacing w:after="0" w:line="240" w:lineRule="auto"/>
              <w:jc w:val="both"/>
              <w:rPr>
                <w:rFonts w:ascii="Times New Roman" w:hAnsi="Times New Roman"/>
                <w:b/>
                <w:sz w:val="24"/>
                <w:szCs w:val="24"/>
              </w:rPr>
            </w:pPr>
          </w:p>
        </w:tc>
        <w:tc>
          <w:tcPr>
            <w:tcW w:w="283" w:type="pct"/>
            <w:shd w:val="clear" w:color="auto" w:fill="BFBFBF"/>
            <w:vAlign w:val="center"/>
          </w:tcPr>
          <w:p w:rsidR="005F0096" w:rsidRPr="00104CC4" w:rsidRDefault="005F0096" w:rsidP="002055BD">
            <w:pPr>
              <w:widowControl/>
              <w:spacing w:after="0" w:line="240" w:lineRule="auto"/>
              <w:jc w:val="both"/>
              <w:rPr>
                <w:rFonts w:ascii="Times New Roman" w:hAnsi="Times New Roman"/>
                <w:b/>
                <w:sz w:val="24"/>
                <w:szCs w:val="24"/>
              </w:rPr>
            </w:pPr>
          </w:p>
        </w:tc>
        <w:tc>
          <w:tcPr>
            <w:tcW w:w="1936" w:type="pct"/>
            <w:gridSpan w:val="2"/>
            <w:shd w:val="clear" w:color="auto" w:fill="BFBFBF"/>
            <w:vAlign w:val="center"/>
          </w:tcPr>
          <w:p w:rsidR="005F0096" w:rsidRPr="00104CC4" w:rsidRDefault="005F0096"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Zásadné pripomienky k čl. I.</w:t>
            </w:r>
          </w:p>
        </w:tc>
        <w:tc>
          <w:tcPr>
            <w:tcW w:w="199" w:type="pct"/>
            <w:shd w:val="clear" w:color="auto" w:fill="BFBFBF"/>
            <w:vAlign w:val="center"/>
          </w:tcPr>
          <w:p w:rsidR="005F0096" w:rsidRPr="00104CC4" w:rsidRDefault="005F0096" w:rsidP="002055BD">
            <w:pPr>
              <w:widowControl/>
              <w:spacing w:after="0" w:line="240" w:lineRule="auto"/>
              <w:jc w:val="both"/>
              <w:rPr>
                <w:rFonts w:ascii="Times New Roman" w:hAnsi="Times New Roman"/>
                <w:b/>
                <w:sz w:val="24"/>
                <w:szCs w:val="24"/>
              </w:rPr>
            </w:pPr>
          </w:p>
        </w:tc>
        <w:tc>
          <w:tcPr>
            <w:tcW w:w="1213" w:type="pct"/>
            <w:gridSpan w:val="2"/>
            <w:shd w:val="clear" w:color="auto" w:fill="BFBFBF"/>
          </w:tcPr>
          <w:p w:rsidR="005F0096" w:rsidRPr="00104CC4" w:rsidRDefault="005F0096" w:rsidP="002055BD">
            <w:pPr>
              <w:widowControl/>
              <w:spacing w:after="0" w:line="240" w:lineRule="auto"/>
              <w:jc w:val="both"/>
              <w:rPr>
                <w:rFonts w:ascii="Times New Roman" w:hAnsi="Times New Roman"/>
                <w:b/>
                <w:sz w:val="24"/>
                <w:szCs w:val="24"/>
              </w:rPr>
            </w:pPr>
          </w:p>
        </w:tc>
      </w:tr>
      <w:tr w:rsidR="006D5897" w:rsidRPr="00104CC4" w:rsidTr="00765114">
        <w:trPr>
          <w:gridAfter w:val="1"/>
          <w:wAfter w:w="1140" w:type="pct"/>
        </w:trPr>
        <w:tc>
          <w:tcPr>
            <w:tcW w:w="229" w:type="pct"/>
            <w:gridSpan w:val="2"/>
          </w:tcPr>
          <w:p w:rsidR="006D5897" w:rsidRPr="00104CC4" w:rsidRDefault="006D5897" w:rsidP="000D535B">
            <w:pPr>
              <w:pStyle w:val="Odsekzoznamu"/>
              <w:widowControl/>
              <w:numPr>
                <w:ilvl w:val="0"/>
                <w:numId w:val="7"/>
              </w:numPr>
              <w:spacing w:after="0" w:line="240" w:lineRule="auto"/>
              <w:jc w:val="center"/>
              <w:rPr>
                <w:rFonts w:ascii="Times New Roman" w:hAnsi="Times New Roman"/>
                <w:b/>
                <w:sz w:val="24"/>
                <w:szCs w:val="24"/>
              </w:rPr>
            </w:pPr>
          </w:p>
        </w:tc>
        <w:tc>
          <w:tcPr>
            <w:tcW w:w="283" w:type="pct"/>
          </w:tcPr>
          <w:p w:rsidR="006D5897" w:rsidRDefault="000973C6" w:rsidP="002055BD">
            <w:pPr>
              <w:widowControl/>
              <w:spacing w:after="0" w:line="240" w:lineRule="auto"/>
              <w:jc w:val="both"/>
              <w:rPr>
                <w:rFonts w:ascii="Times New Roman" w:hAnsi="Times New Roman"/>
                <w:b/>
                <w:sz w:val="24"/>
                <w:szCs w:val="24"/>
              </w:rPr>
            </w:pPr>
            <w:proofErr w:type="spellStart"/>
            <w:r>
              <w:rPr>
                <w:rFonts w:ascii="Times New Roman" w:hAnsi="Times New Roman"/>
                <w:b/>
                <w:sz w:val="24"/>
                <w:szCs w:val="24"/>
              </w:rPr>
              <w:t>MDaV</w:t>
            </w:r>
            <w:proofErr w:type="spellEnd"/>
            <w:r>
              <w:rPr>
                <w:rFonts w:ascii="Times New Roman" w:hAnsi="Times New Roman"/>
                <w:b/>
                <w:sz w:val="24"/>
                <w:szCs w:val="24"/>
              </w:rPr>
              <w:t xml:space="preserve"> SR</w:t>
            </w:r>
            <w:r w:rsidR="006D5897">
              <w:rPr>
                <w:rFonts w:ascii="Times New Roman" w:hAnsi="Times New Roman"/>
                <w:b/>
                <w:sz w:val="24"/>
                <w:szCs w:val="24"/>
              </w:rPr>
              <w:t xml:space="preserve"> </w:t>
            </w:r>
          </w:p>
        </w:tc>
        <w:tc>
          <w:tcPr>
            <w:tcW w:w="1936" w:type="pct"/>
            <w:gridSpan w:val="2"/>
          </w:tcPr>
          <w:p w:rsidR="003E4133" w:rsidRDefault="003E4133" w:rsidP="0048413B">
            <w:pPr>
              <w:widowControl/>
              <w:spacing w:after="0" w:line="240" w:lineRule="auto"/>
              <w:jc w:val="both"/>
              <w:rPr>
                <w:rFonts w:ascii="Times New Roman" w:hAnsi="Times New Roman"/>
                <w:b/>
                <w:sz w:val="24"/>
                <w:szCs w:val="24"/>
              </w:rPr>
            </w:pPr>
            <w:r>
              <w:rPr>
                <w:rFonts w:ascii="Times New Roman" w:hAnsi="Times New Roman"/>
                <w:b/>
                <w:sz w:val="24"/>
                <w:szCs w:val="24"/>
              </w:rPr>
              <w:t xml:space="preserve">Nad rámec </w:t>
            </w:r>
            <w:r w:rsidR="00E830A6">
              <w:rPr>
                <w:rFonts w:ascii="Times New Roman" w:hAnsi="Times New Roman"/>
                <w:b/>
                <w:sz w:val="24"/>
                <w:szCs w:val="24"/>
              </w:rPr>
              <w:t xml:space="preserve">návrhu zákona </w:t>
            </w:r>
          </w:p>
          <w:p w:rsidR="000973C6" w:rsidRDefault="000973C6" w:rsidP="0048413B">
            <w:pPr>
              <w:widowControl/>
              <w:spacing w:after="0" w:line="240" w:lineRule="auto"/>
              <w:jc w:val="both"/>
              <w:rPr>
                <w:rFonts w:ascii="Times New Roman" w:hAnsi="Times New Roman"/>
                <w:b/>
                <w:bCs/>
                <w:sz w:val="24"/>
                <w:szCs w:val="24"/>
              </w:rPr>
            </w:pPr>
            <w:r>
              <w:rPr>
                <w:rFonts w:ascii="Times New Roman" w:hAnsi="Times New Roman"/>
                <w:b/>
                <w:bCs/>
                <w:sz w:val="24"/>
                <w:szCs w:val="24"/>
              </w:rPr>
              <w:t xml:space="preserve">K </w:t>
            </w:r>
            <w:r w:rsidRPr="000973C6">
              <w:rPr>
                <w:rFonts w:ascii="Times New Roman" w:hAnsi="Times New Roman"/>
                <w:b/>
                <w:bCs/>
                <w:sz w:val="24"/>
                <w:szCs w:val="24"/>
              </w:rPr>
              <w:t>§</w:t>
            </w:r>
            <w:r>
              <w:rPr>
                <w:rFonts w:ascii="Times New Roman" w:hAnsi="Times New Roman"/>
                <w:b/>
                <w:bCs/>
                <w:sz w:val="24"/>
                <w:szCs w:val="24"/>
              </w:rPr>
              <w:t xml:space="preserve"> </w:t>
            </w:r>
            <w:r w:rsidRPr="000973C6">
              <w:rPr>
                <w:rFonts w:ascii="Times New Roman" w:hAnsi="Times New Roman"/>
                <w:b/>
                <w:bCs/>
                <w:sz w:val="24"/>
                <w:szCs w:val="24"/>
              </w:rPr>
              <w:t>26</w:t>
            </w:r>
          </w:p>
          <w:p w:rsidR="006D5897" w:rsidRPr="006D5897" w:rsidRDefault="000973C6" w:rsidP="0048413B">
            <w:pPr>
              <w:widowControl/>
              <w:spacing w:after="0" w:line="240" w:lineRule="auto"/>
              <w:jc w:val="both"/>
              <w:rPr>
                <w:rFonts w:ascii="Times New Roman" w:hAnsi="Times New Roman"/>
                <w:sz w:val="24"/>
                <w:szCs w:val="24"/>
              </w:rPr>
            </w:pPr>
            <w:r w:rsidRPr="000973C6">
              <w:rPr>
                <w:rFonts w:ascii="Times New Roman" w:hAnsi="Times New Roman"/>
                <w:sz w:val="24"/>
                <w:szCs w:val="24"/>
              </w:rPr>
              <w:t xml:space="preserve">Nad rámec predloženého návrhu zákona v súlade so znením § 26 odsek 14, ktorým bola zavedená podpora výstavby podnikových nájomných bytov formou zrýchlených odpisov, navrhujeme do § 26 doplniť rovnakú možnosť pre nájomné byty vo všeobecnosti. Možnosť skrátene odpisovať budovy zaradené do odpisovej skupiny 6 by sa mala vzťahovať aj na daňovníka, ktorý je obchodnou spoločnosťou alebo družstvom, ktorý vo vlastných budovách zatriedených do Kódov klasifikácie stavieb 11 podľa osobitného predpisu a byty prenajíma. § 26 odporúčame doplniť odsekom 15, ktorý znie: Alternatíva 1: „(15) Daňovník, ktorý je obchodnou spoločnosťou alebo družstvom, môže odpisovať budovy zaradené do odpisovej skupiny 6 počas obdobia odpisovania šesť rokov spôsobom podľa § 27, ak ide o vlastné budovy zatriedené do Kódov klasifikácie stavieb 11 podľa osobitného predpisu,106) v ktorých podlahová plocha každej bytovej jednotky je najviac 100 m2, nadobudnuté kúpou alebo vlastnou činnosťou a najmenej 70 % z týchto bytových jednotiek prenajíma. Ak k poslednému dňu zdaňovacieho obdobia nebudú súčasne dodržané všetky podmienky podľa prvej vety, určí sa odpis budovy pri použití obdobia odpisovania platného pre odpisovú skupinu 6 podľa odseku 1. Pri vyradení budovy, pri ktorej boli uplatnené odpisy podľa prvej vety pred uplynutím </w:t>
            </w:r>
            <w:r w:rsidRPr="000973C6">
              <w:rPr>
                <w:rFonts w:ascii="Times New Roman" w:hAnsi="Times New Roman"/>
                <w:sz w:val="24"/>
                <w:szCs w:val="24"/>
              </w:rPr>
              <w:lastRenderedPageBreak/>
              <w:t xml:space="preserve">desiatich rokov od začatia uplatňovania tohto ustanovenia, je daňovník povinný zvýšiť základ dane o kladný rozdiel medzi už uplatnenými odpismi podľa prvej vety a odpismi vyčíslenými podľa § 27. Na účely uplatnenia odpisov podľa prvej vety sa postup limitácie odpisov prenajatého hmotného majetku podľa § 19 ods. 3 písm. a) neuplatní.“, Alternatíva 2: „(15) Daňovník, ktorý je obchodnou spoločnosťou alebo družstvom, môže odpisovať budovy zaradené do odpisovej skupiny 6 počas obdobia odpisovania 20 rokov spôsobom podľa § 27, ak ide o vlastné budovy zatriedené do Kódov klasifikácie stavieb 11 podľa osobitného predpisu,106) v ktorých podlahová plocha každej bytovej jednotky je najviac 100 m2, nadobudnuté kúpou alebo vlastnou činnosťou a najmenej 70 % z týchto bytových jednotiek prenajíma. Ak k poslednému dňu zdaňovacieho obdobia nebudú súčasne dodržané všetky podmienky podľa prvej vety, určí sa odpis budovy pri použití obdobia odpisovania platného pre odpisovú skupinu 6 podľa odseku 1. Pri vyradení budovy, pri ktorej boli uplatnené odpisy podľa prvej vety pred uplynutím 30 rokov od začatia uplatňovania tohto ustanovenia, je daňovník povinný zvýšiť základ dane o kladný rozdiel medzi už uplatnenými odpismi podľa prvej vety a odpismi vyčíslenými podľa § 27. Na účely uplatnenia odpisov podľa prvej vety sa postup limitácie odpisov prenajatého hmotného majetku podľa § 19 ods. 3 písm. a) neuplatní.“. Túto pripomienku považujeme za zásadnú. Odôvodnenie: Slovenská republika dlhodobo trpí nedostatkom nájomného bývania. Nájomné bývanie tvorí len 6 % celkového bytového fondu (z toho 3 % verejný nájomný sektor). Nedostatočná ponuka nájomných bytov tak ďalej tlačí na riešenie bytovej otázky aj u menej solventných domácností formou hypoték, ktoré v prípade aj malých výpadkov príjmov domácnosti nie sú stabilne udržateľné. Zároveň sa zhoršuje dostupnosť nájomného bývania ako takého, či už s regulovaným alebo s komerčným nájomným. Dostupnosť flexibilných foriem bývania je tiež jedným z faktorov vplývajúcich na regionálnu mobilitu pracovnej sily. Zvýšenie dostupnosti nájomného bývania sa dá docieliť prijatím rôznych opatrení, </w:t>
            </w:r>
            <w:r w:rsidRPr="000973C6">
              <w:rPr>
                <w:rFonts w:ascii="Times New Roman" w:hAnsi="Times New Roman"/>
                <w:sz w:val="24"/>
                <w:szCs w:val="24"/>
              </w:rPr>
              <w:lastRenderedPageBreak/>
              <w:t>o. i. aj v daňovej oblasti, ktoré sú ako formy podpory rozšírené najmä v štátoch západnej Európy. Cieľom navrhovanej úpravy je predovšetkým motivácia súkromného sektora na zapojenie sa do výstavby a prevádzkovania nájomného bývania v Slovenskej republike a motivuje zapojenie súkromných finančných zdrojov do predmetného podnikania.</w:t>
            </w:r>
          </w:p>
        </w:tc>
        <w:tc>
          <w:tcPr>
            <w:tcW w:w="199" w:type="pct"/>
          </w:tcPr>
          <w:p w:rsidR="006D5897" w:rsidRDefault="006D5897" w:rsidP="006F3F7E">
            <w:pPr>
              <w:widowControl/>
              <w:spacing w:after="0" w:line="240" w:lineRule="auto"/>
              <w:jc w:val="center"/>
              <w:rPr>
                <w:rFonts w:ascii="Times New Roman" w:hAnsi="Times New Roman"/>
                <w:b/>
                <w:sz w:val="24"/>
                <w:szCs w:val="24"/>
              </w:rPr>
            </w:pPr>
            <w:r>
              <w:rPr>
                <w:rFonts w:ascii="Times New Roman" w:hAnsi="Times New Roman"/>
                <w:b/>
                <w:sz w:val="24"/>
                <w:szCs w:val="24"/>
              </w:rPr>
              <w:lastRenderedPageBreak/>
              <w:t>Z</w:t>
            </w:r>
          </w:p>
        </w:tc>
        <w:tc>
          <w:tcPr>
            <w:tcW w:w="1213" w:type="pct"/>
            <w:gridSpan w:val="2"/>
          </w:tcPr>
          <w:p w:rsidR="00254F3C" w:rsidRPr="00254F3C" w:rsidRDefault="00330546" w:rsidP="00EF5A95">
            <w:pPr>
              <w:widowControl/>
              <w:spacing w:after="0" w:line="240" w:lineRule="auto"/>
              <w:jc w:val="both"/>
              <w:rPr>
                <w:rFonts w:ascii="Times New Roman" w:hAnsi="Times New Roman"/>
                <w:sz w:val="24"/>
                <w:szCs w:val="24"/>
              </w:rPr>
            </w:pPr>
            <w:r w:rsidRPr="00254F3C">
              <w:rPr>
                <w:rFonts w:ascii="Times New Roman" w:hAnsi="Times New Roman"/>
                <w:sz w:val="24"/>
                <w:szCs w:val="24"/>
              </w:rPr>
              <w:t>Návrh je nad rámec návrhu zákona.</w:t>
            </w:r>
          </w:p>
          <w:p w:rsidR="00254F3C" w:rsidRPr="00254F3C" w:rsidRDefault="00254F3C" w:rsidP="00EF5A95">
            <w:pPr>
              <w:widowControl/>
              <w:spacing w:after="0" w:line="240" w:lineRule="auto"/>
              <w:jc w:val="both"/>
              <w:rPr>
                <w:rFonts w:ascii="Times New Roman" w:hAnsi="Times New Roman"/>
                <w:sz w:val="24"/>
                <w:szCs w:val="24"/>
              </w:rPr>
            </w:pPr>
          </w:p>
          <w:p w:rsidR="006D5897" w:rsidRPr="00EF5A95" w:rsidRDefault="00330546" w:rsidP="00EF5A95">
            <w:pPr>
              <w:widowControl/>
              <w:spacing w:after="0" w:line="240" w:lineRule="auto"/>
              <w:jc w:val="both"/>
              <w:rPr>
                <w:rFonts w:ascii="Times New Roman" w:hAnsi="Times New Roman"/>
                <w:sz w:val="24"/>
                <w:szCs w:val="24"/>
              </w:rPr>
            </w:pPr>
            <w:r w:rsidRPr="00254F3C">
              <w:rPr>
                <w:rFonts w:ascii="Times New Roman" w:hAnsi="Times New Roman"/>
                <w:sz w:val="24"/>
                <w:szCs w:val="24"/>
              </w:rPr>
              <w:t>Predmetný návrh bude predmetom ďalších rokovaní a analýz, či podpora nájomného bývania prostredníctvom daňových opatrení je najvhodnejšou formou podpory. Uvedený návrh si vyžiada aj analýzu nahradenia príjmov štátneho rozpočtu zavedením uvedeného opatrenia.</w:t>
            </w:r>
          </w:p>
        </w:tc>
      </w:tr>
      <w:tr w:rsidR="0048413B" w:rsidRPr="00104CC4" w:rsidTr="00462D06">
        <w:trPr>
          <w:gridAfter w:val="1"/>
          <w:wAfter w:w="1140" w:type="pct"/>
        </w:trPr>
        <w:tc>
          <w:tcPr>
            <w:tcW w:w="229" w:type="pct"/>
            <w:gridSpan w:val="2"/>
            <w:shd w:val="clear" w:color="auto" w:fill="auto"/>
          </w:tcPr>
          <w:p w:rsidR="0048413B" w:rsidRPr="00104CC4" w:rsidRDefault="0048413B" w:rsidP="0048413B">
            <w:pPr>
              <w:pStyle w:val="Odsekzoznamu"/>
              <w:widowControl/>
              <w:numPr>
                <w:ilvl w:val="0"/>
                <w:numId w:val="7"/>
              </w:numPr>
              <w:spacing w:after="0" w:line="240" w:lineRule="auto"/>
              <w:jc w:val="center"/>
              <w:rPr>
                <w:rFonts w:ascii="Times New Roman" w:hAnsi="Times New Roman"/>
                <w:b/>
                <w:sz w:val="24"/>
                <w:szCs w:val="24"/>
              </w:rPr>
            </w:pPr>
          </w:p>
        </w:tc>
        <w:tc>
          <w:tcPr>
            <w:tcW w:w="283" w:type="pct"/>
            <w:shd w:val="clear" w:color="auto" w:fill="auto"/>
          </w:tcPr>
          <w:p w:rsidR="0048413B" w:rsidRDefault="0048413B" w:rsidP="0048413B">
            <w:pPr>
              <w:jc w:val="center"/>
              <w:rPr>
                <w:rFonts w:ascii="Times" w:hAnsi="Times" w:cs="Times"/>
                <w:b/>
                <w:bCs/>
                <w:sz w:val="25"/>
                <w:szCs w:val="25"/>
              </w:rPr>
            </w:pPr>
            <w:r>
              <w:rPr>
                <w:rFonts w:ascii="Times" w:hAnsi="Times" w:cs="Times"/>
                <w:b/>
                <w:bCs/>
                <w:sz w:val="25"/>
                <w:szCs w:val="25"/>
              </w:rPr>
              <w:t>APZ</w:t>
            </w:r>
          </w:p>
        </w:tc>
        <w:tc>
          <w:tcPr>
            <w:tcW w:w="1936" w:type="pct"/>
            <w:gridSpan w:val="2"/>
            <w:shd w:val="clear" w:color="auto" w:fill="auto"/>
            <w:vAlign w:val="center"/>
          </w:tcPr>
          <w:p w:rsidR="0048413B" w:rsidRDefault="0048413B" w:rsidP="0048413B">
            <w:pPr>
              <w:rPr>
                <w:rFonts w:ascii="Times" w:hAnsi="Times" w:cs="Times"/>
                <w:sz w:val="25"/>
                <w:szCs w:val="25"/>
              </w:rPr>
            </w:pPr>
            <w:r>
              <w:rPr>
                <w:rFonts w:ascii="Times" w:hAnsi="Times" w:cs="Times"/>
                <w:b/>
                <w:bCs/>
                <w:sz w:val="25"/>
                <w:szCs w:val="25"/>
              </w:rPr>
              <w:t>K § 5 ods. 7 písm. n) a o)</w:t>
            </w:r>
            <w:r>
              <w:rPr>
                <w:rFonts w:ascii="Times" w:hAnsi="Times" w:cs="Times"/>
                <w:sz w:val="25"/>
                <w:szCs w:val="25"/>
              </w:rPr>
              <w:br/>
              <w:t xml:space="preserve">Navrhujeme zmenu </w:t>
            </w:r>
            <w:proofErr w:type="spellStart"/>
            <w:r>
              <w:rPr>
                <w:rFonts w:ascii="Times" w:hAnsi="Times" w:cs="Times"/>
                <w:sz w:val="25"/>
                <w:szCs w:val="25"/>
              </w:rPr>
              <w:t>ust</w:t>
            </w:r>
            <w:proofErr w:type="spellEnd"/>
            <w:r>
              <w:rPr>
                <w:rFonts w:ascii="Times" w:hAnsi="Times" w:cs="Times"/>
                <w:sz w:val="25"/>
                <w:szCs w:val="25"/>
              </w:rPr>
              <w:t>. § 5 ods. 7 písm. n) a o) tak, aby vyplácanie 13. a 14. platu prípadne ďalších platov vyplácaných nad rámec zákona, bolo oslobodené od dane minimálne do výšky priemerného mesačného platu zamestnanca. Obdobne navrhujeme, aby suma do výšky priemerného mesačného platu zamestnanca bola oslobodená od odvodov na strane zamestnanca aj zamestnávateľa. Dôvod opatrenia: Zvýšiť čistý príjem zamestnanca a motivovať zamestnávateľov k vyplácaniu 13. a 14. platu</w:t>
            </w:r>
          </w:p>
        </w:tc>
        <w:tc>
          <w:tcPr>
            <w:tcW w:w="199" w:type="pct"/>
            <w:vAlign w:val="center"/>
          </w:tcPr>
          <w:p w:rsidR="0048413B" w:rsidRDefault="0048413B" w:rsidP="0048413B">
            <w:pPr>
              <w:jc w:val="center"/>
              <w:rPr>
                <w:rFonts w:ascii="Times" w:hAnsi="Times" w:cs="Times"/>
                <w:b/>
                <w:bCs/>
                <w:sz w:val="25"/>
                <w:szCs w:val="25"/>
              </w:rPr>
            </w:pPr>
          </w:p>
        </w:tc>
        <w:tc>
          <w:tcPr>
            <w:tcW w:w="1213" w:type="pct"/>
            <w:gridSpan w:val="2"/>
          </w:tcPr>
          <w:p w:rsidR="008B4802" w:rsidRDefault="002D0245" w:rsidP="0048413B">
            <w:pPr>
              <w:widowControl/>
              <w:spacing w:after="0" w:line="240" w:lineRule="auto"/>
              <w:jc w:val="both"/>
              <w:rPr>
                <w:rFonts w:ascii="Times New Roman" w:hAnsi="Times New Roman"/>
                <w:sz w:val="24"/>
                <w:szCs w:val="24"/>
              </w:rPr>
            </w:pPr>
            <w:r w:rsidRPr="002D0245">
              <w:rPr>
                <w:rFonts w:ascii="Times New Roman" w:hAnsi="Times New Roman"/>
                <w:sz w:val="24"/>
                <w:szCs w:val="24"/>
              </w:rPr>
              <w:t>Opatrenie by prinieslo významný výpadok príjmov verejnej správy pri zachovaní súčasnej úrovne vyplácania 13. a 14. platov. Zvýšenie oslobodenia a prípadné rozšírenie na ďalšie odmeny by viedlo k nárastu daňovej optimalizácie a dodatočným fiškálnym výpadkom.</w:t>
            </w:r>
          </w:p>
        </w:tc>
      </w:tr>
      <w:tr w:rsidR="00FF0209" w:rsidRPr="00104CC4" w:rsidTr="00462D06">
        <w:trPr>
          <w:gridAfter w:val="1"/>
          <w:wAfter w:w="1140" w:type="pct"/>
        </w:trPr>
        <w:tc>
          <w:tcPr>
            <w:tcW w:w="229" w:type="pct"/>
            <w:gridSpan w:val="2"/>
            <w:shd w:val="clear" w:color="auto" w:fill="auto"/>
          </w:tcPr>
          <w:p w:rsidR="00FF0209" w:rsidRPr="00104CC4" w:rsidRDefault="00FF0209" w:rsidP="00FF0209">
            <w:pPr>
              <w:pStyle w:val="Odsekzoznamu"/>
              <w:widowControl/>
              <w:numPr>
                <w:ilvl w:val="0"/>
                <w:numId w:val="7"/>
              </w:numPr>
              <w:spacing w:after="0" w:line="240" w:lineRule="auto"/>
              <w:jc w:val="center"/>
              <w:rPr>
                <w:rFonts w:ascii="Times New Roman" w:hAnsi="Times New Roman"/>
                <w:b/>
                <w:sz w:val="24"/>
                <w:szCs w:val="24"/>
              </w:rPr>
            </w:pPr>
          </w:p>
        </w:tc>
        <w:tc>
          <w:tcPr>
            <w:tcW w:w="283" w:type="pct"/>
            <w:shd w:val="clear" w:color="auto" w:fill="auto"/>
          </w:tcPr>
          <w:p w:rsidR="00FF0209" w:rsidRDefault="00FF0209" w:rsidP="00FF0209">
            <w:pPr>
              <w:jc w:val="center"/>
              <w:rPr>
                <w:rFonts w:ascii="Times" w:hAnsi="Times" w:cs="Times"/>
                <w:b/>
                <w:bCs/>
                <w:sz w:val="25"/>
                <w:szCs w:val="25"/>
              </w:rPr>
            </w:pPr>
            <w:r>
              <w:rPr>
                <w:rFonts w:ascii="Times" w:hAnsi="Times" w:cs="Times"/>
                <w:b/>
                <w:bCs/>
                <w:sz w:val="25"/>
                <w:szCs w:val="25"/>
              </w:rPr>
              <w:t>RÚZSR</w:t>
            </w:r>
          </w:p>
        </w:tc>
        <w:tc>
          <w:tcPr>
            <w:tcW w:w="1936" w:type="pct"/>
            <w:gridSpan w:val="2"/>
            <w:shd w:val="clear" w:color="auto" w:fill="auto"/>
            <w:vAlign w:val="center"/>
          </w:tcPr>
          <w:p w:rsidR="00FF0209" w:rsidRDefault="00FF0209" w:rsidP="00FF0209">
            <w:pPr>
              <w:rPr>
                <w:rFonts w:ascii="Times" w:hAnsi="Times" w:cs="Times"/>
                <w:sz w:val="25"/>
                <w:szCs w:val="25"/>
              </w:rPr>
            </w:pPr>
            <w:r>
              <w:rPr>
                <w:rFonts w:ascii="Times" w:hAnsi="Times" w:cs="Times"/>
                <w:b/>
                <w:bCs/>
                <w:sz w:val="25"/>
                <w:szCs w:val="25"/>
              </w:rPr>
              <w:t>15. Zásadná pripomienka k čl. I. – vloženie novelizačných bodov – pravidlá nízkej kapitalizácie §21a</w:t>
            </w:r>
            <w:r>
              <w:rPr>
                <w:rFonts w:ascii="Times" w:hAnsi="Times" w:cs="Times"/>
                <w:sz w:val="25"/>
                <w:szCs w:val="25"/>
              </w:rPr>
              <w:br/>
              <w:t xml:space="preserve">V odseku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Navrhujeme doplnenie nového odseku 4 v znení: „(4) </w:t>
            </w:r>
            <w:proofErr w:type="spellStart"/>
            <w:r>
              <w:rPr>
                <w:rFonts w:ascii="Times" w:hAnsi="Times" w:cs="Times"/>
                <w:sz w:val="25"/>
                <w:szCs w:val="25"/>
              </w:rPr>
              <w:t>Ppresahujúce</w:t>
            </w:r>
            <w:proofErr w:type="spellEnd"/>
            <w:r>
              <w:rPr>
                <w:rFonts w:ascii="Times" w:hAnsi="Times" w:cs="Times"/>
                <w:sz w:val="25"/>
                <w:szCs w:val="25"/>
              </w:rPr>
              <w:t xml:space="preserve"> náklady na prijaté úvery a pôžičky predstavujú sumu, o ktorú odpočítateľné náklady daňovníka na prijaté úvery a pôžičky prevyšujú zdaniteľné výnosy z poskytnutých úrokov a pôžičiek“. Odôvodnenie: Táto zmena reflektuje na znenie smernice proti zneužívaniu daní (tzv. ATAD), ktorá berie posudzuje úroky v netto hodnote. Zároveň táto </w:t>
            </w:r>
            <w:r>
              <w:rPr>
                <w:rFonts w:ascii="Times" w:hAnsi="Times" w:cs="Times"/>
                <w:sz w:val="25"/>
                <w:szCs w:val="25"/>
              </w:rPr>
              <w:lastRenderedPageBreak/>
              <w:t xml:space="preserve">zmena prispeje k podpore podnikateľského prostredia a odstráni sa nespravodlivosť v prípade, keď úrokové náklady spadajú v celej sume pod test daňovej </w:t>
            </w:r>
            <w:proofErr w:type="spellStart"/>
            <w:r>
              <w:rPr>
                <w:rFonts w:ascii="Times" w:hAnsi="Times" w:cs="Times"/>
                <w:sz w:val="25"/>
                <w:szCs w:val="25"/>
              </w:rPr>
              <w:t>uznateľnosti</w:t>
            </w:r>
            <w:proofErr w:type="spellEnd"/>
            <w:r>
              <w:rPr>
                <w:rFonts w:ascii="Times" w:hAnsi="Times" w:cs="Times"/>
                <w:sz w:val="25"/>
                <w:szCs w:val="25"/>
              </w:rPr>
              <w:t xml:space="preserve"> a na druhej strane sú úrokové výnosy v celej výške predmetom zdanenia. Daňovníkovi tak bude umožnené, aby úrokové výnosy znížil o úrokové náklady a posudzoval v rámci nízkej kapitalizácie len netto hodnotu úrokov </w:t>
            </w:r>
          </w:p>
        </w:tc>
        <w:tc>
          <w:tcPr>
            <w:tcW w:w="199" w:type="pct"/>
            <w:shd w:val="clear" w:color="auto" w:fill="auto"/>
            <w:vAlign w:val="center"/>
          </w:tcPr>
          <w:p w:rsidR="00FF0209" w:rsidRDefault="00FF0209" w:rsidP="00FF0209">
            <w:pPr>
              <w:jc w:val="center"/>
              <w:rPr>
                <w:rFonts w:ascii="Times" w:hAnsi="Times" w:cs="Times"/>
                <w:b/>
                <w:bCs/>
                <w:sz w:val="25"/>
                <w:szCs w:val="25"/>
              </w:rPr>
            </w:pPr>
          </w:p>
        </w:tc>
        <w:tc>
          <w:tcPr>
            <w:tcW w:w="1213" w:type="pct"/>
            <w:gridSpan w:val="2"/>
          </w:tcPr>
          <w:p w:rsidR="00254F3C" w:rsidRDefault="00330546" w:rsidP="00FF0209">
            <w:pPr>
              <w:widowControl/>
              <w:spacing w:after="0" w:line="240" w:lineRule="auto"/>
              <w:jc w:val="both"/>
              <w:rPr>
                <w:rFonts w:ascii="Times New Roman" w:hAnsi="Times New Roman"/>
                <w:sz w:val="24"/>
                <w:szCs w:val="24"/>
              </w:rPr>
            </w:pPr>
            <w:r w:rsidRPr="00330546">
              <w:rPr>
                <w:rFonts w:ascii="Times New Roman" w:hAnsi="Times New Roman"/>
                <w:sz w:val="24"/>
                <w:szCs w:val="24"/>
              </w:rPr>
              <w:t>Nad rámec novely zákona o dani z príjmov.</w:t>
            </w:r>
          </w:p>
          <w:p w:rsidR="00254F3C" w:rsidRDefault="00254F3C" w:rsidP="00FF0209">
            <w:pPr>
              <w:widowControl/>
              <w:spacing w:after="0" w:line="240" w:lineRule="auto"/>
              <w:jc w:val="both"/>
              <w:rPr>
                <w:rFonts w:ascii="Times New Roman" w:hAnsi="Times New Roman"/>
                <w:sz w:val="24"/>
                <w:szCs w:val="24"/>
              </w:rPr>
            </w:pPr>
          </w:p>
          <w:p w:rsidR="00FF0209" w:rsidRDefault="00330546" w:rsidP="00FF0209">
            <w:pPr>
              <w:widowControl/>
              <w:spacing w:after="0" w:line="240" w:lineRule="auto"/>
              <w:jc w:val="both"/>
              <w:rPr>
                <w:rFonts w:ascii="Times New Roman" w:hAnsi="Times New Roman"/>
                <w:sz w:val="24"/>
                <w:szCs w:val="24"/>
              </w:rPr>
            </w:pPr>
            <w:r w:rsidRPr="00330546">
              <w:rPr>
                <w:rFonts w:ascii="Times New Roman" w:hAnsi="Times New Roman"/>
                <w:sz w:val="24"/>
                <w:szCs w:val="24"/>
              </w:rPr>
              <w:t xml:space="preserve">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w:t>
            </w:r>
            <w:r w:rsidRPr="00330546">
              <w:rPr>
                <w:rFonts w:ascii="Times New Roman" w:hAnsi="Times New Roman"/>
                <w:sz w:val="24"/>
                <w:szCs w:val="24"/>
              </w:rPr>
              <w:lastRenderedPageBreak/>
              <w:t>zároveň má negatívny vplyv na štátny rozpočet. Slovenská republika využila čl. 11 ods. 4 smernice ATAD, podľa ktorého sa úprava pravidiel nízkej kapitalizácie bude realizovať v súlade s článkom 4 (ATAD) najneskôr do konca roka 2023.</w:t>
            </w:r>
          </w:p>
        </w:tc>
      </w:tr>
      <w:tr w:rsidR="009278A8" w:rsidRPr="00104CC4" w:rsidTr="0062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pct"/>
        </w:trPr>
        <w:tc>
          <w:tcPr>
            <w:tcW w:w="1346" w:type="pct"/>
            <w:gridSpan w:val="3"/>
            <w:tcBorders>
              <w:top w:val="nil"/>
              <w:left w:val="nil"/>
              <w:bottom w:val="nil"/>
              <w:right w:val="nil"/>
            </w:tcBorders>
          </w:tcPr>
          <w:p w:rsidR="00BA31AB" w:rsidRPr="00104CC4" w:rsidRDefault="00BA31AB" w:rsidP="009278A8">
            <w:pPr>
              <w:pStyle w:val="Zkladntext"/>
              <w:widowControl/>
              <w:jc w:val="both"/>
              <w:rPr>
                <w:color w:val="000000"/>
                <w:sz w:val="24"/>
                <w:szCs w:val="24"/>
              </w:rPr>
            </w:pPr>
            <w:bookmarkStart w:id="0" w:name="_GoBack"/>
            <w:bookmarkEnd w:id="0"/>
          </w:p>
          <w:p w:rsidR="009278A8" w:rsidRPr="00104CC4" w:rsidRDefault="009278A8" w:rsidP="009278A8">
            <w:pPr>
              <w:pStyle w:val="Zkladntext"/>
              <w:widowControl/>
              <w:jc w:val="both"/>
              <w:rPr>
                <w:color w:val="000000"/>
                <w:sz w:val="24"/>
                <w:szCs w:val="24"/>
              </w:rPr>
            </w:pPr>
            <w:r w:rsidRPr="00104CC4">
              <w:rPr>
                <w:color w:val="000000"/>
                <w:sz w:val="24"/>
                <w:szCs w:val="24"/>
              </w:rPr>
              <w:t>Vysvetlivky k použitým skratkám v tabuľke:</w:t>
            </w:r>
          </w:p>
        </w:tc>
        <w:tc>
          <w:tcPr>
            <w:tcW w:w="1784" w:type="pct"/>
            <w:gridSpan w:val="3"/>
          </w:tcPr>
          <w:p w:rsidR="009278A8" w:rsidRPr="00104CC4" w:rsidRDefault="009278A8" w:rsidP="009278A8">
            <w:pPr>
              <w:widowControl/>
              <w:adjustRightInd/>
              <w:spacing w:after="0" w:line="240" w:lineRule="auto"/>
              <w:rPr>
                <w:rFonts w:ascii="Times New Roman" w:hAnsi="Times New Roman"/>
                <w:sz w:val="24"/>
                <w:szCs w:val="24"/>
              </w:rPr>
            </w:pPr>
          </w:p>
        </w:tc>
        <w:tc>
          <w:tcPr>
            <w:tcW w:w="1784" w:type="pct"/>
            <w:gridSpan w:val="2"/>
            <w:vAlign w:val="center"/>
          </w:tcPr>
          <w:p w:rsidR="009278A8" w:rsidRPr="00104CC4" w:rsidRDefault="009278A8" w:rsidP="009278A8">
            <w:pPr>
              <w:pStyle w:val="Odsekzoznamu"/>
              <w:spacing w:after="120" w:line="240" w:lineRule="auto"/>
              <w:ind w:left="0"/>
              <w:contextualSpacing w:val="0"/>
              <w:rPr>
                <w:rFonts w:ascii="Times New Roman" w:hAnsi="Times New Roman"/>
                <w:bCs/>
                <w:sz w:val="24"/>
                <w:szCs w:val="24"/>
              </w:rPr>
            </w:pPr>
          </w:p>
        </w:tc>
      </w:tr>
    </w:tbl>
    <w:p w:rsidR="004B5CAD" w:rsidRDefault="004B5CAD" w:rsidP="004B5CAD">
      <w:pPr>
        <w:widowControl/>
        <w:spacing w:after="0" w:line="240" w:lineRule="auto"/>
        <w:jc w:val="both"/>
        <w:rPr>
          <w:rFonts w:ascii="Times New Roman" w:hAnsi="Times New Roman"/>
          <w:sz w:val="24"/>
          <w:szCs w:val="24"/>
        </w:rPr>
      </w:pPr>
      <w:r w:rsidRPr="00131C21">
        <w:rPr>
          <w:rFonts w:ascii="Times New Roman" w:hAnsi="Times New Roman"/>
          <w:sz w:val="24"/>
          <w:szCs w:val="24"/>
        </w:rPr>
        <w:t>R</w:t>
      </w:r>
      <w:r w:rsidR="000F1889" w:rsidRPr="00131C21">
        <w:rPr>
          <w:rFonts w:ascii="Times New Roman" w:hAnsi="Times New Roman"/>
          <w:sz w:val="24"/>
          <w:szCs w:val="24"/>
        </w:rPr>
        <w:t>ÚZ SR</w:t>
      </w:r>
      <w:r w:rsidRPr="00131C21">
        <w:rPr>
          <w:rFonts w:ascii="Times New Roman" w:hAnsi="Times New Roman"/>
          <w:sz w:val="24"/>
          <w:szCs w:val="24"/>
        </w:rPr>
        <w:t xml:space="preserve"> - Republiková únia zamestnávateľov</w:t>
      </w:r>
      <w:r w:rsidR="000F1889" w:rsidRPr="00131C21">
        <w:rPr>
          <w:rFonts w:ascii="Times New Roman" w:hAnsi="Times New Roman"/>
          <w:sz w:val="24"/>
          <w:szCs w:val="24"/>
        </w:rPr>
        <w:t xml:space="preserve"> SR</w:t>
      </w:r>
    </w:p>
    <w:p w:rsidR="0048413B" w:rsidRDefault="0048413B" w:rsidP="004B5CAD">
      <w:pPr>
        <w:widowControl/>
        <w:spacing w:after="0" w:line="240" w:lineRule="auto"/>
        <w:jc w:val="both"/>
        <w:rPr>
          <w:rFonts w:ascii="Times New Roman" w:hAnsi="Times New Roman"/>
          <w:sz w:val="24"/>
          <w:szCs w:val="24"/>
        </w:rPr>
      </w:pPr>
      <w:r>
        <w:rPr>
          <w:rFonts w:ascii="Times New Roman" w:hAnsi="Times New Roman"/>
          <w:sz w:val="24"/>
          <w:szCs w:val="24"/>
        </w:rPr>
        <w:t>APZ – Asociácia priemyselných zväzov</w:t>
      </w:r>
    </w:p>
    <w:p w:rsidR="003515FD" w:rsidRPr="00131C21" w:rsidRDefault="003515FD" w:rsidP="004B5CAD">
      <w:pPr>
        <w:widowControl/>
        <w:spacing w:after="0" w:line="240" w:lineRule="auto"/>
        <w:jc w:val="both"/>
        <w:rPr>
          <w:rFonts w:ascii="Times New Roman" w:hAnsi="Times New Roman"/>
          <w:sz w:val="24"/>
          <w:szCs w:val="24"/>
        </w:rPr>
      </w:pPr>
      <w:r>
        <w:rPr>
          <w:rFonts w:ascii="Times New Roman" w:hAnsi="Times New Roman"/>
          <w:sz w:val="24"/>
          <w:szCs w:val="24"/>
        </w:rPr>
        <w:t>AZZZ – Asociácia zamestnávateľských zväzov a združení SR</w:t>
      </w:r>
    </w:p>
    <w:p w:rsidR="003515FD" w:rsidRPr="00131C21" w:rsidRDefault="003515FD" w:rsidP="004B5CAD">
      <w:pPr>
        <w:widowControl/>
        <w:spacing w:after="0" w:line="240" w:lineRule="auto"/>
        <w:jc w:val="both"/>
        <w:rPr>
          <w:rFonts w:ascii="Times New Roman" w:hAnsi="Times New Roman"/>
          <w:sz w:val="24"/>
          <w:szCs w:val="24"/>
        </w:rPr>
      </w:pPr>
      <w:proofErr w:type="spellStart"/>
      <w:r>
        <w:rPr>
          <w:rFonts w:ascii="Times New Roman" w:hAnsi="Times New Roman"/>
          <w:sz w:val="24"/>
          <w:szCs w:val="24"/>
        </w:rPr>
        <w:t>MDaV</w:t>
      </w:r>
      <w:proofErr w:type="spellEnd"/>
      <w:r>
        <w:rPr>
          <w:rFonts w:ascii="Times New Roman" w:hAnsi="Times New Roman"/>
          <w:sz w:val="24"/>
          <w:szCs w:val="24"/>
        </w:rPr>
        <w:t xml:space="preserve"> SR – Ministerstvo dopravy a výstavby Slovenskej republiky </w:t>
      </w:r>
    </w:p>
    <w:sectPr w:rsidR="003515FD" w:rsidRPr="00131C21" w:rsidSect="00D73398">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BA" w:rsidRDefault="00E928BA" w:rsidP="00E86254">
      <w:pPr>
        <w:spacing w:after="0" w:line="240" w:lineRule="auto"/>
      </w:pPr>
      <w:r>
        <w:separator/>
      </w:r>
    </w:p>
  </w:endnote>
  <w:endnote w:type="continuationSeparator" w:id="0">
    <w:p w:rsidR="00E928BA" w:rsidRDefault="00E928BA" w:rsidP="00E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44508"/>
      <w:docPartObj>
        <w:docPartGallery w:val="Page Numbers (Bottom of Page)"/>
        <w:docPartUnique/>
      </w:docPartObj>
    </w:sdtPr>
    <w:sdtEndPr/>
    <w:sdtContent>
      <w:p w:rsidR="003B17A7" w:rsidRDefault="003B17A7">
        <w:pPr>
          <w:pStyle w:val="Pta"/>
          <w:jc w:val="center"/>
        </w:pPr>
        <w:r>
          <w:fldChar w:fldCharType="begin"/>
        </w:r>
        <w:r>
          <w:instrText>PAGE   \* MERGEFORMAT</w:instrText>
        </w:r>
        <w:r>
          <w:fldChar w:fldCharType="separate"/>
        </w:r>
        <w:r w:rsidR="00DE698D">
          <w:rPr>
            <w:noProof/>
          </w:rPr>
          <w:t>4</w:t>
        </w:r>
        <w:r>
          <w:fldChar w:fldCharType="end"/>
        </w:r>
      </w:p>
    </w:sdtContent>
  </w:sdt>
  <w:p w:rsidR="002A7D66" w:rsidRDefault="002A7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BA" w:rsidRDefault="00E928BA" w:rsidP="00E86254">
      <w:pPr>
        <w:spacing w:after="0" w:line="240" w:lineRule="auto"/>
      </w:pPr>
      <w:r>
        <w:separator/>
      </w:r>
    </w:p>
  </w:footnote>
  <w:footnote w:type="continuationSeparator" w:id="0">
    <w:p w:rsidR="00E928BA" w:rsidRDefault="00E928BA" w:rsidP="00E8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95B"/>
    <w:multiLevelType w:val="hybridMultilevel"/>
    <w:tmpl w:val="EE18D0AE"/>
    <w:lvl w:ilvl="0" w:tplc="9F203F3A">
      <w:start w:val="3"/>
      <w:numFmt w:val="bullet"/>
      <w:lvlText w:val="-"/>
      <w:lvlJc w:val="left"/>
      <w:pPr>
        <w:ind w:left="720" w:hanging="360"/>
      </w:pPr>
      <w:rPr>
        <w:rFonts w:ascii="Times New Roman" w:eastAsia="Times New 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B330E2"/>
    <w:multiLevelType w:val="hybridMultilevel"/>
    <w:tmpl w:val="25B01A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46EC8"/>
    <w:multiLevelType w:val="hybridMultilevel"/>
    <w:tmpl w:val="63844C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7A4F77"/>
    <w:multiLevelType w:val="hybridMultilevel"/>
    <w:tmpl w:val="8F94877A"/>
    <w:lvl w:ilvl="0" w:tplc="1A34B558">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BB21F3"/>
    <w:multiLevelType w:val="hybridMultilevel"/>
    <w:tmpl w:val="45564B24"/>
    <w:lvl w:ilvl="0" w:tplc="70B09C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18588E"/>
    <w:multiLevelType w:val="hybridMultilevel"/>
    <w:tmpl w:val="74BE0A24"/>
    <w:lvl w:ilvl="0" w:tplc="5D8AF33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18D6F7F"/>
    <w:multiLevelType w:val="hybridMultilevel"/>
    <w:tmpl w:val="575CF8DE"/>
    <w:lvl w:ilvl="0" w:tplc="94EE09DA">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4"/>
    <w:rsid w:val="000005E2"/>
    <w:rsid w:val="00002CA5"/>
    <w:rsid w:val="00003D5F"/>
    <w:rsid w:val="00017864"/>
    <w:rsid w:val="00024D20"/>
    <w:rsid w:val="000279D2"/>
    <w:rsid w:val="00035960"/>
    <w:rsid w:val="0005161F"/>
    <w:rsid w:val="00054B9D"/>
    <w:rsid w:val="000663CF"/>
    <w:rsid w:val="00070909"/>
    <w:rsid w:val="000775D4"/>
    <w:rsid w:val="00084333"/>
    <w:rsid w:val="00084BDE"/>
    <w:rsid w:val="00087612"/>
    <w:rsid w:val="00092155"/>
    <w:rsid w:val="00092C6D"/>
    <w:rsid w:val="000973C6"/>
    <w:rsid w:val="000A0A20"/>
    <w:rsid w:val="000A2566"/>
    <w:rsid w:val="000B0C82"/>
    <w:rsid w:val="000D535B"/>
    <w:rsid w:val="000E0D8B"/>
    <w:rsid w:val="000E6BA7"/>
    <w:rsid w:val="000F1889"/>
    <w:rsid w:val="000F4DAF"/>
    <w:rsid w:val="00104CC4"/>
    <w:rsid w:val="00112D54"/>
    <w:rsid w:val="00116D18"/>
    <w:rsid w:val="00131C21"/>
    <w:rsid w:val="001575B2"/>
    <w:rsid w:val="00167943"/>
    <w:rsid w:val="001710A4"/>
    <w:rsid w:val="00184F62"/>
    <w:rsid w:val="00185945"/>
    <w:rsid w:val="001861FF"/>
    <w:rsid w:val="00194B7B"/>
    <w:rsid w:val="001977D3"/>
    <w:rsid w:val="001A0F99"/>
    <w:rsid w:val="001B00C4"/>
    <w:rsid w:val="001B619E"/>
    <w:rsid w:val="001C1EC9"/>
    <w:rsid w:val="001C4410"/>
    <w:rsid w:val="001D20E3"/>
    <w:rsid w:val="001D279D"/>
    <w:rsid w:val="001E0AE1"/>
    <w:rsid w:val="001E2E47"/>
    <w:rsid w:val="002055BD"/>
    <w:rsid w:val="00205D5F"/>
    <w:rsid w:val="00216C6B"/>
    <w:rsid w:val="0021797E"/>
    <w:rsid w:val="00224FFB"/>
    <w:rsid w:val="002432FF"/>
    <w:rsid w:val="002527E4"/>
    <w:rsid w:val="00254F3C"/>
    <w:rsid w:val="0026446B"/>
    <w:rsid w:val="002725EA"/>
    <w:rsid w:val="00275E0C"/>
    <w:rsid w:val="00284796"/>
    <w:rsid w:val="0028487F"/>
    <w:rsid w:val="00291BC3"/>
    <w:rsid w:val="002A7B0E"/>
    <w:rsid w:val="002A7D66"/>
    <w:rsid w:val="002D0245"/>
    <w:rsid w:val="002E5BFC"/>
    <w:rsid w:val="002E5D7A"/>
    <w:rsid w:val="002F59D5"/>
    <w:rsid w:val="00322A8A"/>
    <w:rsid w:val="003302BE"/>
    <w:rsid w:val="00330546"/>
    <w:rsid w:val="00331950"/>
    <w:rsid w:val="003515FD"/>
    <w:rsid w:val="00357B58"/>
    <w:rsid w:val="00357FE8"/>
    <w:rsid w:val="003711C8"/>
    <w:rsid w:val="003716C6"/>
    <w:rsid w:val="00373671"/>
    <w:rsid w:val="0037389A"/>
    <w:rsid w:val="003808F0"/>
    <w:rsid w:val="00386571"/>
    <w:rsid w:val="00386688"/>
    <w:rsid w:val="003877F7"/>
    <w:rsid w:val="003944C2"/>
    <w:rsid w:val="003A7664"/>
    <w:rsid w:val="003B17A7"/>
    <w:rsid w:val="003B3DD2"/>
    <w:rsid w:val="003C2587"/>
    <w:rsid w:val="003D01DF"/>
    <w:rsid w:val="003D51E0"/>
    <w:rsid w:val="003E28EE"/>
    <w:rsid w:val="003E3B2D"/>
    <w:rsid w:val="003E4133"/>
    <w:rsid w:val="003E4537"/>
    <w:rsid w:val="003F1278"/>
    <w:rsid w:val="004066B3"/>
    <w:rsid w:val="00410125"/>
    <w:rsid w:val="004220E2"/>
    <w:rsid w:val="00422451"/>
    <w:rsid w:val="00430357"/>
    <w:rsid w:val="00431E6F"/>
    <w:rsid w:val="004461DF"/>
    <w:rsid w:val="00462D06"/>
    <w:rsid w:val="00464817"/>
    <w:rsid w:val="00466486"/>
    <w:rsid w:val="0048413B"/>
    <w:rsid w:val="00492543"/>
    <w:rsid w:val="004B0CBC"/>
    <w:rsid w:val="004B5CAD"/>
    <w:rsid w:val="004C71E5"/>
    <w:rsid w:val="004C7F22"/>
    <w:rsid w:val="004D2440"/>
    <w:rsid w:val="00505532"/>
    <w:rsid w:val="00547360"/>
    <w:rsid w:val="00551F36"/>
    <w:rsid w:val="00555C46"/>
    <w:rsid w:val="00557108"/>
    <w:rsid w:val="00557E0F"/>
    <w:rsid w:val="00564E38"/>
    <w:rsid w:val="005678B7"/>
    <w:rsid w:val="00581D66"/>
    <w:rsid w:val="005A193F"/>
    <w:rsid w:val="005A29D5"/>
    <w:rsid w:val="005D1C31"/>
    <w:rsid w:val="005E3AE0"/>
    <w:rsid w:val="005F0096"/>
    <w:rsid w:val="005F47EF"/>
    <w:rsid w:val="006024E6"/>
    <w:rsid w:val="0062243B"/>
    <w:rsid w:val="0062367E"/>
    <w:rsid w:val="00673458"/>
    <w:rsid w:val="00674684"/>
    <w:rsid w:val="006872DE"/>
    <w:rsid w:val="006A54C6"/>
    <w:rsid w:val="006A5D33"/>
    <w:rsid w:val="006B61FE"/>
    <w:rsid w:val="006C122C"/>
    <w:rsid w:val="006D5897"/>
    <w:rsid w:val="006E76F7"/>
    <w:rsid w:val="006F3F7E"/>
    <w:rsid w:val="00701DA6"/>
    <w:rsid w:val="007049CF"/>
    <w:rsid w:val="00714DCD"/>
    <w:rsid w:val="00736FF1"/>
    <w:rsid w:val="00761299"/>
    <w:rsid w:val="00765114"/>
    <w:rsid w:val="00775860"/>
    <w:rsid w:val="00776A5D"/>
    <w:rsid w:val="00776F80"/>
    <w:rsid w:val="007B7B6B"/>
    <w:rsid w:val="007C5B46"/>
    <w:rsid w:val="007D14F5"/>
    <w:rsid w:val="007D39B3"/>
    <w:rsid w:val="007D55DB"/>
    <w:rsid w:val="007F5206"/>
    <w:rsid w:val="007F5918"/>
    <w:rsid w:val="00812446"/>
    <w:rsid w:val="008237A4"/>
    <w:rsid w:val="00831056"/>
    <w:rsid w:val="00833F9F"/>
    <w:rsid w:val="00836C81"/>
    <w:rsid w:val="00837177"/>
    <w:rsid w:val="00843E86"/>
    <w:rsid w:val="00856FFA"/>
    <w:rsid w:val="0086784B"/>
    <w:rsid w:val="008A0DCB"/>
    <w:rsid w:val="008A1F67"/>
    <w:rsid w:val="008A53FC"/>
    <w:rsid w:val="008A5B11"/>
    <w:rsid w:val="008B4802"/>
    <w:rsid w:val="008B48AF"/>
    <w:rsid w:val="008B6E00"/>
    <w:rsid w:val="008B7534"/>
    <w:rsid w:val="008C0170"/>
    <w:rsid w:val="008C42DD"/>
    <w:rsid w:val="008E5435"/>
    <w:rsid w:val="00902A29"/>
    <w:rsid w:val="00910E7D"/>
    <w:rsid w:val="00914FA1"/>
    <w:rsid w:val="009178E0"/>
    <w:rsid w:val="009278A8"/>
    <w:rsid w:val="0094770B"/>
    <w:rsid w:val="009514E4"/>
    <w:rsid w:val="00962B30"/>
    <w:rsid w:val="00967E0B"/>
    <w:rsid w:val="00984F69"/>
    <w:rsid w:val="00984FB1"/>
    <w:rsid w:val="009856BB"/>
    <w:rsid w:val="00992683"/>
    <w:rsid w:val="009A0B4B"/>
    <w:rsid w:val="009B26AD"/>
    <w:rsid w:val="009B7AF5"/>
    <w:rsid w:val="009E641C"/>
    <w:rsid w:val="009E68AF"/>
    <w:rsid w:val="00A102AC"/>
    <w:rsid w:val="00A269B0"/>
    <w:rsid w:val="00A30845"/>
    <w:rsid w:val="00A345DE"/>
    <w:rsid w:val="00A376C9"/>
    <w:rsid w:val="00A46DD7"/>
    <w:rsid w:val="00A554D7"/>
    <w:rsid w:val="00A63365"/>
    <w:rsid w:val="00A707B7"/>
    <w:rsid w:val="00A743DA"/>
    <w:rsid w:val="00A81B86"/>
    <w:rsid w:val="00A91036"/>
    <w:rsid w:val="00A94106"/>
    <w:rsid w:val="00A9719C"/>
    <w:rsid w:val="00AA1F76"/>
    <w:rsid w:val="00AA6847"/>
    <w:rsid w:val="00AB24C4"/>
    <w:rsid w:val="00AC2463"/>
    <w:rsid w:val="00AC5C41"/>
    <w:rsid w:val="00AE2EE7"/>
    <w:rsid w:val="00AF1774"/>
    <w:rsid w:val="00AF58FC"/>
    <w:rsid w:val="00B13E45"/>
    <w:rsid w:val="00B239FB"/>
    <w:rsid w:val="00B247B9"/>
    <w:rsid w:val="00B342C1"/>
    <w:rsid w:val="00B34FF3"/>
    <w:rsid w:val="00B4591E"/>
    <w:rsid w:val="00B53A81"/>
    <w:rsid w:val="00B53BCB"/>
    <w:rsid w:val="00B64940"/>
    <w:rsid w:val="00B8045D"/>
    <w:rsid w:val="00B82ACD"/>
    <w:rsid w:val="00BA31AB"/>
    <w:rsid w:val="00BA5C58"/>
    <w:rsid w:val="00BB436D"/>
    <w:rsid w:val="00BC11CF"/>
    <w:rsid w:val="00BE7E21"/>
    <w:rsid w:val="00C03D52"/>
    <w:rsid w:val="00C06F61"/>
    <w:rsid w:val="00C07FD0"/>
    <w:rsid w:val="00C13997"/>
    <w:rsid w:val="00C16603"/>
    <w:rsid w:val="00C202C8"/>
    <w:rsid w:val="00C23329"/>
    <w:rsid w:val="00C25957"/>
    <w:rsid w:val="00C2770F"/>
    <w:rsid w:val="00C35D8B"/>
    <w:rsid w:val="00C524F2"/>
    <w:rsid w:val="00C5415A"/>
    <w:rsid w:val="00C80620"/>
    <w:rsid w:val="00C87B0E"/>
    <w:rsid w:val="00C9459E"/>
    <w:rsid w:val="00CA60C8"/>
    <w:rsid w:val="00CB31B0"/>
    <w:rsid w:val="00CB49E0"/>
    <w:rsid w:val="00CC171B"/>
    <w:rsid w:val="00CC5055"/>
    <w:rsid w:val="00CD3C2A"/>
    <w:rsid w:val="00CD54A5"/>
    <w:rsid w:val="00CE08C8"/>
    <w:rsid w:val="00D14A57"/>
    <w:rsid w:val="00D158C2"/>
    <w:rsid w:val="00D17050"/>
    <w:rsid w:val="00D42EC7"/>
    <w:rsid w:val="00D5154C"/>
    <w:rsid w:val="00D7010A"/>
    <w:rsid w:val="00D71630"/>
    <w:rsid w:val="00D73398"/>
    <w:rsid w:val="00D92ED8"/>
    <w:rsid w:val="00D9699A"/>
    <w:rsid w:val="00DA4DBA"/>
    <w:rsid w:val="00DB0716"/>
    <w:rsid w:val="00DB178E"/>
    <w:rsid w:val="00DE698D"/>
    <w:rsid w:val="00DF21BF"/>
    <w:rsid w:val="00DF47A2"/>
    <w:rsid w:val="00E233F9"/>
    <w:rsid w:val="00E349AE"/>
    <w:rsid w:val="00E520BE"/>
    <w:rsid w:val="00E71E95"/>
    <w:rsid w:val="00E804D1"/>
    <w:rsid w:val="00E830A6"/>
    <w:rsid w:val="00E84FB1"/>
    <w:rsid w:val="00E86254"/>
    <w:rsid w:val="00E86812"/>
    <w:rsid w:val="00E928BA"/>
    <w:rsid w:val="00E93F2C"/>
    <w:rsid w:val="00E976F3"/>
    <w:rsid w:val="00EA20B8"/>
    <w:rsid w:val="00EA20B9"/>
    <w:rsid w:val="00EA7489"/>
    <w:rsid w:val="00EB0F61"/>
    <w:rsid w:val="00EC656F"/>
    <w:rsid w:val="00EC66A7"/>
    <w:rsid w:val="00ED0724"/>
    <w:rsid w:val="00ED22F0"/>
    <w:rsid w:val="00EF5A95"/>
    <w:rsid w:val="00F118FF"/>
    <w:rsid w:val="00F1317F"/>
    <w:rsid w:val="00F23D70"/>
    <w:rsid w:val="00F36E0D"/>
    <w:rsid w:val="00F37D44"/>
    <w:rsid w:val="00F41036"/>
    <w:rsid w:val="00F41B6B"/>
    <w:rsid w:val="00F51456"/>
    <w:rsid w:val="00F57838"/>
    <w:rsid w:val="00F747F6"/>
    <w:rsid w:val="00F754B6"/>
    <w:rsid w:val="00F76EF4"/>
    <w:rsid w:val="00F85EEA"/>
    <w:rsid w:val="00F912B6"/>
    <w:rsid w:val="00F95E85"/>
    <w:rsid w:val="00FA2059"/>
    <w:rsid w:val="00FA37AD"/>
    <w:rsid w:val="00FA724E"/>
    <w:rsid w:val="00FB4269"/>
    <w:rsid w:val="00FB48ED"/>
    <w:rsid w:val="00FC521D"/>
    <w:rsid w:val="00FD05AB"/>
    <w:rsid w:val="00FD0B77"/>
    <w:rsid w:val="00FD155A"/>
    <w:rsid w:val="00FE0CDF"/>
    <w:rsid w:val="00FF0209"/>
    <w:rsid w:val="00F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E0F74-4BD3-4594-830C-A8E4BC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styleId="Siln">
    <w:name w:val="Strong"/>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E86254"/>
    <w:pPr>
      <w:tabs>
        <w:tab w:val="center" w:pos="4536"/>
        <w:tab w:val="right" w:pos="9072"/>
      </w:tabs>
    </w:pPr>
  </w:style>
  <w:style w:type="character" w:customStyle="1" w:styleId="HlavikaChar">
    <w:name w:val="Hlavička Char"/>
    <w:link w:val="Hlavika"/>
    <w:uiPriority w:val="99"/>
    <w:locked/>
    <w:rsid w:val="00E86254"/>
    <w:rPr>
      <w:rFonts w:cs="Times New Roman"/>
      <w:lang w:val="en-US" w:eastAsia="en-US"/>
    </w:rPr>
  </w:style>
  <w:style w:type="paragraph" w:styleId="Pta">
    <w:name w:val="footer"/>
    <w:basedOn w:val="Normlny"/>
    <w:link w:val="PtaChar"/>
    <w:uiPriority w:val="99"/>
    <w:unhideWhenUsed/>
    <w:rsid w:val="00E86254"/>
    <w:pPr>
      <w:tabs>
        <w:tab w:val="center" w:pos="4536"/>
        <w:tab w:val="right" w:pos="9072"/>
      </w:tabs>
    </w:pPr>
  </w:style>
  <w:style w:type="character" w:customStyle="1" w:styleId="PtaChar">
    <w:name w:val="Päta Char"/>
    <w:link w:val="Pta"/>
    <w:uiPriority w:val="99"/>
    <w:locked/>
    <w:rsid w:val="00E86254"/>
    <w:rPr>
      <w:rFonts w:cs="Times New Roman"/>
      <w:lang w:val="en-US" w:eastAsia="en-US"/>
    </w:rPr>
  </w:style>
  <w:style w:type="paragraph" w:styleId="Odsekzoznamu">
    <w:name w:val="List Paragraph"/>
    <w:basedOn w:val="Normlny"/>
    <w:uiPriority w:val="34"/>
    <w:qFormat/>
    <w:locked/>
    <w:rsid w:val="00224FFB"/>
    <w:pPr>
      <w:ind w:left="720"/>
      <w:contextualSpacing/>
    </w:pPr>
  </w:style>
  <w:style w:type="paragraph" w:styleId="Nzov">
    <w:name w:val="Title"/>
    <w:basedOn w:val="Normlny"/>
    <w:link w:val="NzovChar"/>
    <w:qFormat/>
    <w:locked/>
    <w:rsid w:val="00185945"/>
    <w:pPr>
      <w:widowControl/>
      <w:adjustRightInd/>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rsid w:val="00185945"/>
    <w:rPr>
      <w:rFonts w:ascii="Times New Roman" w:hAnsi="Times New Roman" w:cs="Times New Roman"/>
      <w:b/>
      <w:bCs/>
      <w:sz w:val="24"/>
      <w:szCs w:val="24"/>
    </w:rPr>
  </w:style>
  <w:style w:type="character" w:styleId="Odkaznakomentr">
    <w:name w:val="annotation reference"/>
    <w:basedOn w:val="Predvolenpsmoodseku"/>
    <w:uiPriority w:val="99"/>
    <w:semiHidden/>
    <w:unhideWhenUsed/>
    <w:rsid w:val="00131C21"/>
    <w:rPr>
      <w:sz w:val="16"/>
      <w:szCs w:val="16"/>
    </w:rPr>
  </w:style>
  <w:style w:type="paragraph" w:styleId="Textkomentra">
    <w:name w:val="annotation text"/>
    <w:basedOn w:val="Normlny"/>
    <w:link w:val="TextkomentraChar"/>
    <w:uiPriority w:val="99"/>
    <w:semiHidden/>
    <w:unhideWhenUsed/>
    <w:rsid w:val="00131C21"/>
    <w:pPr>
      <w:spacing w:line="240" w:lineRule="auto"/>
    </w:pPr>
    <w:rPr>
      <w:sz w:val="20"/>
      <w:szCs w:val="20"/>
    </w:rPr>
  </w:style>
  <w:style w:type="character" w:customStyle="1" w:styleId="TextkomentraChar">
    <w:name w:val="Text komentára Char"/>
    <w:basedOn w:val="Predvolenpsmoodseku"/>
    <w:link w:val="Textkomentra"/>
    <w:uiPriority w:val="99"/>
    <w:semiHidden/>
    <w:rsid w:val="00131C21"/>
    <w:rPr>
      <w:rFonts w:cs="Times New Roman"/>
      <w:lang w:val="en-US" w:eastAsia="en-US"/>
    </w:rPr>
  </w:style>
  <w:style w:type="paragraph" w:styleId="Predmetkomentra">
    <w:name w:val="annotation subject"/>
    <w:basedOn w:val="Textkomentra"/>
    <w:next w:val="Textkomentra"/>
    <w:link w:val="PredmetkomentraChar"/>
    <w:uiPriority w:val="99"/>
    <w:semiHidden/>
    <w:unhideWhenUsed/>
    <w:rsid w:val="00131C21"/>
    <w:rPr>
      <w:b/>
      <w:bCs/>
    </w:rPr>
  </w:style>
  <w:style w:type="character" w:customStyle="1" w:styleId="PredmetkomentraChar">
    <w:name w:val="Predmet komentára Char"/>
    <w:basedOn w:val="TextkomentraChar"/>
    <w:link w:val="Predmetkomentra"/>
    <w:uiPriority w:val="99"/>
    <w:semiHidden/>
    <w:rsid w:val="00131C21"/>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057">
      <w:bodyDiv w:val="1"/>
      <w:marLeft w:val="0"/>
      <w:marRight w:val="0"/>
      <w:marTop w:val="0"/>
      <w:marBottom w:val="0"/>
      <w:divBdr>
        <w:top w:val="none" w:sz="0" w:space="0" w:color="auto"/>
        <w:left w:val="none" w:sz="0" w:space="0" w:color="auto"/>
        <w:bottom w:val="none" w:sz="0" w:space="0" w:color="auto"/>
        <w:right w:val="none" w:sz="0" w:space="0" w:color="auto"/>
      </w:divBdr>
    </w:div>
    <w:div w:id="2042314591">
      <w:marLeft w:val="0"/>
      <w:marRight w:val="0"/>
      <w:marTop w:val="0"/>
      <w:marBottom w:val="0"/>
      <w:divBdr>
        <w:top w:val="none" w:sz="0" w:space="0" w:color="auto"/>
        <w:left w:val="none" w:sz="0" w:space="0" w:color="auto"/>
        <w:bottom w:val="none" w:sz="0" w:space="0" w:color="auto"/>
        <w:right w:val="none" w:sz="0" w:space="0" w:color="auto"/>
      </w:divBdr>
    </w:div>
    <w:div w:id="2042314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E5D8-DF2A-4D4E-BE1D-CD5A57D8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1124</Words>
  <Characters>6516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Abelova Monika</cp:lastModifiedBy>
  <cp:revision>4</cp:revision>
  <cp:lastPrinted>2020-08-14T09:07:00Z</cp:lastPrinted>
  <dcterms:created xsi:type="dcterms:W3CDTF">2020-08-14T07:13:00Z</dcterms:created>
  <dcterms:modified xsi:type="dcterms:W3CDTF">2020-08-14T09:18:00Z</dcterms:modified>
</cp:coreProperties>
</file>