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23AA3">
      <w:pPr>
        <w:spacing w:after="0" w:line="240" w:lineRule="auto"/>
        <w:ind w:right="-709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7D5748" w:rsidRPr="00841310" w:rsidRDefault="006F3962" w:rsidP="00841310">
      <w:pPr>
        <w:spacing w:after="120" w:line="240" w:lineRule="auto"/>
        <w:ind w:right="-709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="007D5748" w:rsidRPr="00841310">
        <w:rPr>
          <w:rFonts w:ascii="Times New Roman" w:eastAsia="Times New Roman" w:hAnsi="Times New Roman"/>
          <w:sz w:val="24"/>
          <w:szCs w:val="24"/>
          <w:lang w:eastAsia="sk-SK"/>
        </w:rPr>
        <w:t xml:space="preserve">Tabuľka č. 1 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1460"/>
        <w:gridCol w:w="1267"/>
        <w:gridCol w:w="1267"/>
        <w:gridCol w:w="1267"/>
      </w:tblGrid>
      <w:tr w:rsidR="007D5748" w:rsidRPr="004C0FAD" w:rsidTr="00841310">
        <w:trPr>
          <w:cantSplit/>
          <w:trHeight w:val="194"/>
          <w:jc w:val="center"/>
        </w:trPr>
        <w:tc>
          <w:tcPr>
            <w:tcW w:w="3915" w:type="dxa"/>
            <w:vMerge w:val="restart"/>
            <w:shd w:val="clear" w:color="auto" w:fill="BFBFBF"/>
            <w:vAlign w:val="center"/>
          </w:tcPr>
          <w:p w:rsidR="007D5748" w:rsidRPr="007D5748" w:rsidRDefault="007D5748" w:rsidP="008773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261" w:type="dxa"/>
            <w:gridSpan w:val="4"/>
            <w:shd w:val="clear" w:color="auto" w:fill="BFBFBF"/>
            <w:vAlign w:val="center"/>
          </w:tcPr>
          <w:p w:rsidR="007D5748" w:rsidRPr="007D5748" w:rsidRDefault="007D5748" w:rsidP="008773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4C0FAD" w:rsidTr="00841310">
        <w:trPr>
          <w:cantSplit/>
          <w:trHeight w:val="70"/>
          <w:jc w:val="center"/>
        </w:trPr>
        <w:tc>
          <w:tcPr>
            <w:tcW w:w="3915" w:type="dxa"/>
            <w:vMerge/>
            <w:shd w:val="clear" w:color="auto" w:fill="BFBF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0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E632FD" w:rsidRDefault="00693348" w:rsidP="00B80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B80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60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132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4C0FAD" w:rsidTr="00841310">
        <w:trPr>
          <w:trHeight w:val="125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4C0FAD" w:rsidTr="00841310">
        <w:trPr>
          <w:trHeight w:val="125"/>
          <w:jc w:val="center"/>
        </w:trPr>
        <w:tc>
          <w:tcPr>
            <w:tcW w:w="3915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60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125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125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125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125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125"/>
          <w:jc w:val="center"/>
        </w:trPr>
        <w:tc>
          <w:tcPr>
            <w:tcW w:w="3915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60" w:type="dxa"/>
            <w:shd w:val="clear" w:color="auto" w:fill="C0C0C0"/>
            <w:noWrap/>
            <w:vAlign w:val="center"/>
          </w:tcPr>
          <w:p w:rsidR="007D5748" w:rsidRPr="007D5748" w:rsidRDefault="006F3962" w:rsidP="00877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2B5C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073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CF4C8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DF6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MŽP SR/program 075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6F3962" w:rsidP="00877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2B5C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073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5C68EE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6F3962" w:rsidP="00877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2B5C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073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3D253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4C0FAD" w:rsidTr="00841310">
        <w:trPr>
          <w:trHeight w:val="70"/>
          <w:jc w:val="center"/>
        </w:trPr>
        <w:tc>
          <w:tcPr>
            <w:tcW w:w="3915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 w:rsidR="007719C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MŽP SR</w:t>
            </w:r>
          </w:p>
        </w:tc>
        <w:tc>
          <w:tcPr>
            <w:tcW w:w="1460" w:type="dxa"/>
            <w:noWrap/>
            <w:vAlign w:val="center"/>
          </w:tcPr>
          <w:p w:rsidR="00C51FD4" w:rsidRPr="007D5748" w:rsidRDefault="006F3962" w:rsidP="00877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2B5C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073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3D253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125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125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60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60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60" w:type="dxa"/>
            <w:shd w:val="clear" w:color="auto" w:fill="C0C0C0"/>
            <w:noWrap/>
            <w:vAlign w:val="center"/>
          </w:tcPr>
          <w:p w:rsidR="007D5748" w:rsidRPr="007D5748" w:rsidRDefault="006F3962" w:rsidP="00877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2B5C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073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3D253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noWrap/>
            <w:vAlign w:val="center"/>
          </w:tcPr>
          <w:p w:rsidR="007D5748" w:rsidRPr="007D5748" w:rsidRDefault="00673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MŽP SR </w:t>
            </w:r>
            <w:r w:rsidR="007719C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6F3962" w:rsidP="00877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2B5C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073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3D253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60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CF4C8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841310">
        <w:trPr>
          <w:trHeight w:val="70"/>
          <w:jc w:val="center"/>
        </w:trPr>
        <w:tc>
          <w:tcPr>
            <w:tcW w:w="3915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60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D5748" w:rsidRPr="007D5748" w:rsidRDefault="002B5C0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bookmarkEnd w:id="0"/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24"/>
          <w:lang w:eastAsia="sk-SK"/>
        </w:rPr>
      </w:pPr>
    </w:p>
    <w:p w:rsidR="003A01D9" w:rsidRPr="007D5748" w:rsidRDefault="002B5C08" w:rsidP="005138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Vyhlásením chráneného areálu Kamenínske slaniská (ďalej len „CHA Kamenínske slaniská“) dôjde </w:t>
      </w:r>
      <w:bookmarkStart w:id="1" w:name="_GoBack"/>
      <w:bookmarkEnd w:id="1"/>
      <w:r w:rsidRPr="002B5C0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 roku 2020 k zvýšeniu výdavkov súvisiacich s označením CHA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Kamenínske slaniská</w:t>
      </w:r>
      <w:r w:rsidRPr="002B5C0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podľa vyhlášky Ministerstva životného prostredia Slovenskej republiky č. 24/2003 Z. z., ktorou sa vykonáva zákon č. 543/2002 Z. z. o ochrane prírody a krajiny v znení neskorších predpisov (ďalej len „vyhláška č. 24/2003 Z. z.“)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. Finančné prostriedky vo výške 1073 EUR sú</w:t>
      </w:r>
      <w:r w:rsidR="00DF696A" w:rsidRPr="00412B5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zabezpečené v rozpočte kapitoly M</w:t>
      </w:r>
      <w:r w:rsidR="00B33A96">
        <w:rPr>
          <w:rFonts w:ascii="Times New Roman" w:eastAsia="Times New Roman" w:hAnsi="Times New Roman"/>
          <w:bCs/>
          <w:sz w:val="24"/>
          <w:szCs w:val="24"/>
          <w:lang w:eastAsia="sk-SK"/>
        </w:rPr>
        <w:t>inisterstva životného prostredia Slovenskej republiky (MŽP SR)</w:t>
      </w:r>
      <w:r w:rsidR="00DF696A" w:rsidRPr="00412B5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a to v rozpočte </w:t>
      </w:r>
      <w:r w:rsidR="00DF696A">
        <w:rPr>
          <w:rFonts w:ascii="Times New Roman" w:eastAsia="Times New Roman" w:hAnsi="Times New Roman"/>
          <w:bCs/>
          <w:sz w:val="24"/>
          <w:szCs w:val="24"/>
          <w:lang w:eastAsia="sk-SK"/>
        </w:rPr>
        <w:t>Štátnej ochrany prírody Slovenskej republiky (ŠOP SR), príspevkovej  organizácii v zriaďovateľskej pôsobnosti MŽP SR.</w:t>
      </w:r>
    </w:p>
    <w:p w:rsidR="007D5748" w:rsidRPr="00CF4C88" w:rsidRDefault="003A01D9" w:rsidP="00F35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F4C88">
        <w:rPr>
          <w:rFonts w:ascii="Times New Roman" w:eastAsia="Times New Roman" w:hAnsi="Times New Roman"/>
          <w:bCs/>
          <w:sz w:val="24"/>
          <w:szCs w:val="24"/>
          <w:lang w:eastAsia="sk-SK"/>
        </w:rPr>
        <w:t>V CHA Kamenínske slaniská je plánované vypracovanie štúdie/projektu, ktorá navrhne vhodný spôsob odstránenia plytkých kanálov, s cieľom minimalizovať negatívny dopad na predmety ochrany. Odhadované náklady na vypracovanie štúdie/pr</w:t>
      </w:r>
      <w:r w:rsidRPr="000F5534">
        <w:rPr>
          <w:rFonts w:ascii="Times New Roman" w:eastAsia="Times New Roman" w:hAnsi="Times New Roman"/>
          <w:bCs/>
          <w:sz w:val="24"/>
          <w:szCs w:val="24"/>
          <w:lang w:eastAsia="sk-SK"/>
        </w:rPr>
        <w:t>ojektu budú do výšky 7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Pr="000F5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000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EUR</w:t>
      </w:r>
      <w:r w:rsidRPr="00CF4C8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Táto štúdia následne stanoví, aké náklady by boli potrebné na jej realizáciu. Predpoklad realizácie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je</w:t>
      </w:r>
      <w:r w:rsidRPr="00CF4C8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až po roku 2023 z projektových zdrojov.</w:t>
      </w:r>
    </w:p>
    <w:p w:rsidR="0036766D" w:rsidRDefault="0036766D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E632FD" w:rsidRDefault="00E632FD" w:rsidP="008830DC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/>
          <w:bCs/>
          <w:szCs w:val="24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CA03F8" w:rsidRPr="007D5748" w:rsidRDefault="00CA03F8" w:rsidP="0012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B1A74" w:rsidRDefault="008B1A74" w:rsidP="004D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Navrhovaný </w:t>
      </w:r>
      <w:r w:rsidR="002B5C08">
        <w:rPr>
          <w:rFonts w:ascii="Times New Roman" w:eastAsia="Times New Roman" w:hAnsi="Times New Roman"/>
          <w:sz w:val="24"/>
          <w:szCs w:val="24"/>
          <w:lang w:eastAsia="sk-SK"/>
        </w:rPr>
        <w:t xml:space="preserve">CHA </w:t>
      </w:r>
      <w:r w:rsidR="007D4B49">
        <w:rPr>
          <w:rFonts w:ascii="Times New Roman" w:eastAsia="Times New Roman" w:hAnsi="Times New Roman"/>
          <w:sz w:val="24"/>
          <w:szCs w:val="24"/>
          <w:lang w:eastAsia="sk-SK"/>
        </w:rPr>
        <w:t xml:space="preserve">Kamenínske slaniská </w:t>
      </w:r>
      <w:r w:rsidRPr="008830DC">
        <w:rPr>
          <w:rFonts w:ascii="Times New Roman" w:eastAsia="Times New Roman" w:hAnsi="Times New Roman"/>
          <w:sz w:val="24"/>
          <w:szCs w:val="24"/>
          <w:lang w:eastAsia="sk-SK"/>
        </w:rPr>
        <w:t>je súčasťou európskej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sústavy chránených území Natura</w:t>
      </w:r>
      <w:r w:rsidRPr="008830DC">
        <w:rPr>
          <w:rFonts w:ascii="Times New Roman" w:eastAsia="Times New Roman" w:hAnsi="Times New Roman"/>
          <w:sz w:val="24"/>
          <w:szCs w:val="24"/>
          <w:lang w:eastAsia="sk-SK"/>
        </w:rPr>
        <w:t xml:space="preserve"> 2000.</w:t>
      </w:r>
      <w:r w:rsidR="00875B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33A96">
        <w:rPr>
          <w:rFonts w:ascii="Times New Roman" w:eastAsia="Times New Roman" w:hAnsi="Times New Roman"/>
          <w:sz w:val="24"/>
          <w:szCs w:val="24"/>
          <w:lang w:eastAsia="sk-SK"/>
        </w:rPr>
        <w:t xml:space="preserve">Dôvodom vyhlásenia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EB333E">
        <w:rPr>
          <w:rFonts w:ascii="Times New Roman" w:eastAsia="Times New Roman" w:hAnsi="Times New Roman"/>
          <w:sz w:val="24"/>
          <w:szCs w:val="24"/>
          <w:lang w:eastAsia="sk-SK"/>
        </w:rPr>
        <w:t>HA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33A96">
        <w:rPr>
          <w:rFonts w:ascii="Times New Roman" w:eastAsia="Times New Roman" w:hAnsi="Times New Roman"/>
          <w:sz w:val="24"/>
          <w:szCs w:val="24"/>
          <w:lang w:eastAsia="sk-SK"/>
        </w:rPr>
        <w:t xml:space="preserve">Kamenínske slaniská </w:t>
      </w:r>
      <w:r w:rsidR="00B33A96" w:rsidRPr="00B33A96">
        <w:rPr>
          <w:rFonts w:ascii="Times New Roman" w:eastAsia="Times New Roman" w:hAnsi="Times New Roman"/>
          <w:sz w:val="24"/>
          <w:szCs w:val="24"/>
          <w:lang w:eastAsia="sk-SK"/>
        </w:rPr>
        <w:t xml:space="preserve">je splnenie požiadavky vyplývajúcej z článku 4 ods. 4 smernice Rady 92/43/EHS z 21. mája 1992 o ochrane prirodzených biotopov a voľne žijúcich živočíchov a rastlín v platnom znení. Ďalším dôvodom predloženia návrhu nariadenia vlády je aj formálna výzva Európskej komisie k porušeniu č. 2019/2141, ktorá sa týka nedostatočného vyhlasovania lokalít európskeho významu a schvaľovania programov starostlivosti.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A03F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Default="007D5748" w:rsidP="00CF4C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4B49" w:rsidRPr="007D5748" w:rsidRDefault="007D4B49" w:rsidP="007D4B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841310" w:rsidRDefault="007D5748" w:rsidP="00841310">
      <w:pPr>
        <w:spacing w:after="12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  <w:r w:rsidRPr="00841310"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134"/>
        <w:gridCol w:w="1134"/>
        <w:gridCol w:w="1134"/>
        <w:gridCol w:w="1134"/>
      </w:tblGrid>
      <w:tr w:rsidR="007D5748" w:rsidRPr="004C0FAD" w:rsidTr="00841310">
        <w:trPr>
          <w:cantSplit/>
          <w:trHeight w:val="70"/>
        </w:trPr>
        <w:tc>
          <w:tcPr>
            <w:tcW w:w="4500" w:type="dxa"/>
            <w:vMerge w:val="restart"/>
            <w:shd w:val="clear" w:color="auto" w:fill="BFBF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4C0FAD" w:rsidTr="00841310">
        <w:trPr>
          <w:cantSplit/>
          <w:trHeight w:val="70"/>
        </w:trPr>
        <w:tc>
          <w:tcPr>
            <w:tcW w:w="4500" w:type="dxa"/>
            <w:vMerge/>
            <w:shd w:val="clear" w:color="auto" w:fill="BFBF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7D5748" w:rsidRPr="004C0FAD" w:rsidTr="00841310">
        <w:trPr>
          <w:trHeight w:val="70"/>
        </w:trPr>
        <w:tc>
          <w:tcPr>
            <w:tcW w:w="450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C0FAD" w:rsidTr="00841310">
        <w:trPr>
          <w:trHeight w:val="70"/>
        </w:trPr>
        <w:tc>
          <w:tcPr>
            <w:tcW w:w="450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C0FAD" w:rsidTr="00841310">
        <w:trPr>
          <w:trHeight w:val="70"/>
        </w:trPr>
        <w:tc>
          <w:tcPr>
            <w:tcW w:w="450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B932CF" w:rsidRDefault="00B932CF" w:rsidP="003D253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3D253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:rsidR="007D5748" w:rsidRPr="007D5748" w:rsidRDefault="007D5748" w:rsidP="003D2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F4C88" w:rsidRDefault="00803C5A" w:rsidP="004D094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1A74">
        <w:rPr>
          <w:rFonts w:ascii="Times New Roman" w:eastAsia="Times New Roman" w:hAnsi="Times New Roman"/>
          <w:sz w:val="24"/>
          <w:szCs w:val="24"/>
          <w:lang w:eastAsia="sk-SK"/>
        </w:rPr>
        <w:t>Vyh</w:t>
      </w:r>
      <w:r w:rsidR="008B1A74">
        <w:rPr>
          <w:rFonts w:ascii="Times New Roman" w:eastAsia="Times New Roman" w:hAnsi="Times New Roman"/>
          <w:sz w:val="24"/>
          <w:szCs w:val="24"/>
          <w:lang w:eastAsia="sk-SK"/>
        </w:rPr>
        <w:t>l</w:t>
      </w:r>
      <w:r w:rsidRPr="008B1A74">
        <w:rPr>
          <w:rFonts w:ascii="Times New Roman" w:eastAsia="Times New Roman" w:hAnsi="Times New Roman"/>
          <w:sz w:val="24"/>
          <w:szCs w:val="24"/>
          <w:lang w:eastAsia="sk-SK"/>
        </w:rPr>
        <w:t xml:space="preserve">ásením </w:t>
      </w:r>
      <w:r w:rsidR="00EB333E">
        <w:rPr>
          <w:rFonts w:ascii="Times New Roman" w:eastAsia="Times New Roman" w:hAnsi="Times New Roman"/>
          <w:sz w:val="24"/>
          <w:szCs w:val="24"/>
          <w:lang w:eastAsia="sk-SK"/>
        </w:rPr>
        <w:t>CHA</w:t>
      </w:r>
      <w:r w:rsidR="002E326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A4322">
        <w:rPr>
          <w:rFonts w:ascii="Times New Roman" w:eastAsia="Times New Roman" w:hAnsi="Times New Roman"/>
          <w:sz w:val="24"/>
          <w:szCs w:val="24"/>
          <w:lang w:eastAsia="sk-SK"/>
        </w:rPr>
        <w:t>Kamenínske slaniská</w:t>
      </w:r>
      <w:r w:rsidR="00E63BD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B1A74">
        <w:rPr>
          <w:rFonts w:ascii="Times New Roman" w:eastAsia="Times New Roman" w:hAnsi="Times New Roman"/>
          <w:sz w:val="24"/>
          <w:szCs w:val="24"/>
          <w:lang w:eastAsia="sk-SK"/>
        </w:rPr>
        <w:t>nedôjde k obmedzeniu bežného obhospodarovania</w:t>
      </w:r>
      <w:r w:rsidR="00853A20">
        <w:rPr>
          <w:rFonts w:ascii="Times New Roman" w:eastAsia="Times New Roman" w:hAnsi="Times New Roman"/>
          <w:sz w:val="24"/>
          <w:szCs w:val="24"/>
          <w:lang w:eastAsia="sk-SK"/>
        </w:rPr>
        <w:t xml:space="preserve"> a z tohto dôvodu sa neurčuje predpokladaná výška finančných prostriedkov </w:t>
      </w:r>
      <w:r w:rsidR="00D14D0D">
        <w:rPr>
          <w:rFonts w:ascii="Times New Roman" w:eastAsia="Times New Roman" w:hAnsi="Times New Roman"/>
          <w:sz w:val="24"/>
          <w:szCs w:val="24"/>
          <w:lang w:eastAsia="sk-SK"/>
        </w:rPr>
        <w:t xml:space="preserve">potrebná </w:t>
      </w:r>
      <w:r w:rsidR="00853A20">
        <w:rPr>
          <w:rFonts w:ascii="Times New Roman" w:eastAsia="Times New Roman" w:hAnsi="Times New Roman"/>
          <w:sz w:val="24"/>
          <w:szCs w:val="24"/>
          <w:lang w:eastAsia="sk-SK"/>
        </w:rPr>
        <w:t>na zabezpečenie náhrad</w:t>
      </w:r>
      <w:r w:rsidR="00D14D0D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853A20">
        <w:rPr>
          <w:rFonts w:ascii="Times New Roman" w:eastAsia="Times New Roman" w:hAnsi="Times New Roman"/>
          <w:sz w:val="24"/>
          <w:szCs w:val="24"/>
          <w:lang w:eastAsia="sk-SK"/>
        </w:rPr>
        <w:t xml:space="preserve"> za obmedzenie bežného obhospodarovania</w:t>
      </w:r>
      <w:r w:rsidR="00D14D0D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61</w:t>
      </w:r>
      <w:r w:rsidR="00B33A9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14D0D">
        <w:rPr>
          <w:rFonts w:ascii="Times New Roman" w:eastAsia="Times New Roman" w:hAnsi="Times New Roman"/>
          <w:sz w:val="24"/>
          <w:szCs w:val="24"/>
          <w:lang w:eastAsia="sk-SK"/>
        </w:rPr>
        <w:t xml:space="preserve">zákona </w:t>
      </w:r>
      <w:r w:rsidR="00B33A96">
        <w:rPr>
          <w:rFonts w:ascii="Times New Roman" w:eastAsia="Times New Roman" w:hAnsi="Times New Roman"/>
          <w:sz w:val="24"/>
          <w:szCs w:val="24"/>
          <w:lang w:eastAsia="sk-SK"/>
        </w:rPr>
        <w:t xml:space="preserve">č. 543/2002 Z. z. o ochrane prírody a krajiny v znení neskorších predpisov </w:t>
      </w:r>
      <w:r w:rsidR="00853A20">
        <w:rPr>
          <w:rFonts w:ascii="Times New Roman" w:eastAsia="Times New Roman" w:hAnsi="Times New Roman"/>
          <w:sz w:val="24"/>
          <w:szCs w:val="24"/>
          <w:lang w:eastAsia="sk-SK"/>
        </w:rPr>
        <w:t>zámenou, výkupom</w:t>
      </w:r>
      <w:r w:rsidR="00D14D0D">
        <w:rPr>
          <w:rFonts w:ascii="Times New Roman" w:eastAsia="Times New Roman" w:hAnsi="Times New Roman"/>
          <w:sz w:val="24"/>
          <w:szCs w:val="24"/>
          <w:lang w:eastAsia="sk-SK"/>
        </w:rPr>
        <w:t xml:space="preserve"> alebo </w:t>
      </w:r>
      <w:r w:rsidR="00853A20">
        <w:rPr>
          <w:rFonts w:ascii="Times New Roman" w:eastAsia="Times New Roman" w:hAnsi="Times New Roman"/>
          <w:sz w:val="24"/>
          <w:szCs w:val="24"/>
          <w:lang w:eastAsia="sk-SK"/>
        </w:rPr>
        <w:t xml:space="preserve">nájmom </w:t>
      </w:r>
      <w:r w:rsidR="00D14D0D">
        <w:rPr>
          <w:rFonts w:ascii="Times New Roman" w:eastAsia="Times New Roman" w:hAnsi="Times New Roman"/>
          <w:sz w:val="24"/>
          <w:szCs w:val="24"/>
          <w:lang w:eastAsia="sk-SK"/>
        </w:rPr>
        <w:t xml:space="preserve">pozemkov </w:t>
      </w:r>
      <w:r w:rsidR="00853A20">
        <w:rPr>
          <w:rFonts w:ascii="Times New Roman" w:eastAsia="Times New Roman" w:hAnsi="Times New Roman"/>
          <w:sz w:val="24"/>
          <w:szCs w:val="24"/>
          <w:lang w:eastAsia="sk-SK"/>
        </w:rPr>
        <w:t>a zmluvnou starostlivosťou</w:t>
      </w:r>
      <w:r w:rsidR="00D14D0D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D22D66">
        <w:rPr>
          <w:rFonts w:ascii="Times New Roman" w:eastAsia="Times New Roman" w:hAnsi="Times New Roman"/>
          <w:sz w:val="24"/>
          <w:szCs w:val="24"/>
          <w:lang w:eastAsia="sk-SK"/>
        </w:rPr>
        <w:t>Starostlivosť o územi</w:t>
      </w:r>
      <w:r w:rsidR="00CF4C88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D22D66">
        <w:rPr>
          <w:rFonts w:ascii="Times New Roman" w:eastAsia="Times New Roman" w:hAnsi="Times New Roman"/>
          <w:sz w:val="24"/>
          <w:szCs w:val="24"/>
          <w:lang w:eastAsia="sk-SK"/>
        </w:rPr>
        <w:t xml:space="preserve"> v rámci bežného obhospodarovania pozemkov zabezpečujú majitelia a prenajímatelia dotknutých pozemkov a nie je potrebné z dôvodu zabezpečenia predmetu ochrany tieto spôsoby obhospodarovania meniť. Z uvedeného dôvodu sa nepredpokladá potreba dodatočných finančných prostriedkov na zabezpečenie starostlivosti o</w:t>
      </w:r>
      <w:r w:rsidR="00CF4C88">
        <w:rPr>
          <w:rFonts w:ascii="Times New Roman" w:eastAsia="Times New Roman" w:hAnsi="Times New Roman"/>
          <w:sz w:val="24"/>
          <w:szCs w:val="24"/>
          <w:lang w:eastAsia="sk-SK"/>
        </w:rPr>
        <w:t> CHA Kamenínske slaniská</w:t>
      </w:r>
      <w:r w:rsidR="00D22D66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9828A9" w:rsidRPr="005C68EE" w:rsidRDefault="00853A20" w:rsidP="003D253F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trike/>
          <w:sz w:val="24"/>
        </w:rPr>
      </w:pPr>
      <w:r>
        <w:rPr>
          <w:rFonts w:ascii="Times New Roman" w:eastAsia="Times New Roman" w:hAnsi="Times New Roman"/>
          <w:sz w:val="24"/>
        </w:rPr>
        <w:t xml:space="preserve">ŠOP SR </w:t>
      </w:r>
      <w:r w:rsidRPr="008B1A74">
        <w:rPr>
          <w:rFonts w:ascii="Times New Roman" w:eastAsia="Times New Roman" w:hAnsi="Times New Roman"/>
          <w:sz w:val="24"/>
        </w:rPr>
        <w:t xml:space="preserve">a jej organizačná zložka </w:t>
      </w:r>
      <w:r w:rsidR="009828A9" w:rsidRPr="009828A9">
        <w:rPr>
          <w:rFonts w:ascii="Times New Roman" w:eastAsia="Times New Roman" w:hAnsi="Times New Roman"/>
          <w:sz w:val="24"/>
        </w:rPr>
        <w:t xml:space="preserve">Správa Chránenej krajinnej oblasti </w:t>
      </w:r>
      <w:r>
        <w:rPr>
          <w:rFonts w:ascii="Times New Roman" w:eastAsia="Times New Roman" w:hAnsi="Times New Roman"/>
          <w:sz w:val="24"/>
        </w:rPr>
        <w:t>Ponitrie a </w:t>
      </w:r>
      <w:r w:rsidR="009828A9" w:rsidRPr="009828A9">
        <w:rPr>
          <w:rFonts w:ascii="Times New Roman" w:eastAsia="Times New Roman" w:hAnsi="Times New Roman"/>
          <w:sz w:val="24"/>
        </w:rPr>
        <w:t xml:space="preserve">Chránenej krajinnej oblasti </w:t>
      </w:r>
      <w:r>
        <w:rPr>
          <w:rFonts w:ascii="Times New Roman" w:eastAsia="Times New Roman" w:hAnsi="Times New Roman"/>
          <w:sz w:val="24"/>
        </w:rPr>
        <w:t>Dunajské luhy</w:t>
      </w:r>
      <w:r w:rsidR="009828A9">
        <w:rPr>
          <w:rFonts w:ascii="Times New Roman" w:eastAsia="Times New Roman" w:hAnsi="Times New Roman"/>
          <w:sz w:val="24"/>
        </w:rPr>
        <w:t xml:space="preserve"> </w:t>
      </w:r>
      <w:r w:rsidRPr="008B1A74">
        <w:rPr>
          <w:rFonts w:ascii="Times New Roman" w:eastAsia="Times New Roman" w:hAnsi="Times New Roman"/>
          <w:sz w:val="24"/>
        </w:rPr>
        <w:t>bude zodpovedná za vykonanie</w:t>
      </w:r>
      <w:r>
        <w:rPr>
          <w:rFonts w:ascii="Times New Roman" w:eastAsia="Times New Roman" w:hAnsi="Times New Roman"/>
          <w:sz w:val="24"/>
        </w:rPr>
        <w:t xml:space="preserve"> potrebných opatrení</w:t>
      </w:r>
      <w:r w:rsidR="00D22D66">
        <w:rPr>
          <w:rFonts w:ascii="Times New Roman" w:eastAsia="Times New Roman" w:hAnsi="Times New Roman"/>
          <w:sz w:val="24"/>
        </w:rPr>
        <w:t xml:space="preserve"> v oblasti monitoringu a komunikácie s verejnosťou</w:t>
      </w:r>
      <w:r w:rsidR="009828A9" w:rsidRPr="009828A9">
        <w:rPr>
          <w:rFonts w:ascii="Times New Roman" w:eastAsia="Times New Roman" w:hAnsi="Times New Roman"/>
          <w:sz w:val="24"/>
        </w:rPr>
        <w:t>,  pričom finančné prostriedky na ich vykonanie sú zabezpečené v rozpočte ŠOP SR</w:t>
      </w:r>
      <w:r w:rsidR="00D22D66" w:rsidRPr="00D22D66">
        <w:rPr>
          <w:rFonts w:ascii="Times New Roman" w:eastAsia="Times New Roman" w:hAnsi="Times New Roman"/>
          <w:sz w:val="24"/>
        </w:rPr>
        <w:t xml:space="preserve"> </w:t>
      </w:r>
      <w:r w:rsidR="00D22D66">
        <w:rPr>
          <w:rFonts w:ascii="Times New Roman" w:eastAsia="Times New Roman" w:hAnsi="Times New Roman"/>
          <w:sz w:val="24"/>
        </w:rPr>
        <w:t xml:space="preserve">nakoľko tieto činnosti budú vykonávať </w:t>
      </w:r>
      <w:r w:rsidR="00D22D66" w:rsidRPr="005C68EE">
        <w:rPr>
          <w:rFonts w:ascii="Times New Roman" w:eastAsia="Times New Roman" w:hAnsi="Times New Roman"/>
          <w:sz w:val="24"/>
        </w:rPr>
        <w:t xml:space="preserve">zamestnanci ŠOP SR v rámci pracovnej doby, preto sú tieto výdavky kryté z rozpočtu. </w:t>
      </w:r>
    </w:p>
    <w:p w:rsidR="00D22D66" w:rsidRPr="00CF4C88" w:rsidRDefault="00D22D66" w:rsidP="003D253F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8EE">
        <w:rPr>
          <w:rFonts w:ascii="Times New Roman" w:eastAsia="Times New Roman" w:hAnsi="Times New Roman"/>
          <w:sz w:val="24"/>
        </w:rPr>
        <w:t xml:space="preserve">Zároveň je v území plánované vypracovanie štúdie/projektu, ktorá navrhne vhodný </w:t>
      </w:r>
      <w:r w:rsidRPr="005C68EE">
        <w:rPr>
          <w:rFonts w:ascii="Times New Roman" w:hAnsi="Times New Roman"/>
          <w:sz w:val="24"/>
          <w:szCs w:val="24"/>
        </w:rPr>
        <w:t>spôsob odstránenia plytkých kanálov, s cieľom minimalizovať negatívny dopad na predmety ochrany</w:t>
      </w:r>
      <w:r w:rsidRPr="005C68EE">
        <w:rPr>
          <w:rFonts w:ascii="Times New Roman" w:eastAsia="Times New Roman" w:hAnsi="Times New Roman"/>
          <w:sz w:val="24"/>
          <w:szCs w:val="24"/>
        </w:rPr>
        <w:t>. Odhadované náklady na vypracovanie štúdie/pr</w:t>
      </w:r>
      <w:r w:rsidR="00CA093B">
        <w:rPr>
          <w:rFonts w:ascii="Times New Roman" w:eastAsia="Times New Roman" w:hAnsi="Times New Roman"/>
          <w:sz w:val="24"/>
          <w:szCs w:val="24"/>
        </w:rPr>
        <w:t>ojektu budú do výšky 7 000 EUR a budú zabezpečené v rozpočte ŠOP SR.</w:t>
      </w:r>
      <w:r w:rsidRPr="005C68EE">
        <w:rPr>
          <w:rFonts w:ascii="Times New Roman" w:hAnsi="Times New Roman"/>
          <w:bCs/>
          <w:sz w:val="24"/>
          <w:szCs w:val="24"/>
        </w:rPr>
        <w:t xml:space="preserve"> Táto štúdia následne stanoví, aké náklady by boli potrebné na jej realizáciu. Predpoklad realizácie bude až po roku 2023 z</w:t>
      </w:r>
      <w:r w:rsidR="000F5534" w:rsidRPr="005C68EE">
        <w:rPr>
          <w:rFonts w:ascii="Times New Roman" w:hAnsi="Times New Roman"/>
          <w:bCs/>
          <w:sz w:val="24"/>
          <w:szCs w:val="24"/>
        </w:rPr>
        <w:t> </w:t>
      </w:r>
      <w:r w:rsidRPr="005C68EE">
        <w:rPr>
          <w:rFonts w:ascii="Times New Roman" w:hAnsi="Times New Roman"/>
          <w:bCs/>
          <w:sz w:val="24"/>
          <w:szCs w:val="24"/>
        </w:rPr>
        <w:t>projektov</w:t>
      </w:r>
      <w:r w:rsidR="000F5534" w:rsidRPr="005C68EE">
        <w:rPr>
          <w:rFonts w:ascii="Times New Roman" w:hAnsi="Times New Roman"/>
          <w:bCs/>
          <w:sz w:val="24"/>
          <w:szCs w:val="24"/>
        </w:rPr>
        <w:t xml:space="preserve"> z mimorozpočtov</w:t>
      </w:r>
      <w:r w:rsidRPr="005C68EE">
        <w:rPr>
          <w:rFonts w:ascii="Times New Roman" w:hAnsi="Times New Roman"/>
          <w:bCs/>
          <w:sz w:val="24"/>
          <w:szCs w:val="24"/>
        </w:rPr>
        <w:t>ých zdrojov.</w:t>
      </w:r>
    </w:p>
    <w:p w:rsidR="00881B1D" w:rsidRDefault="00723AA3" w:rsidP="003D253F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3AA3">
        <w:rPr>
          <w:rFonts w:ascii="Times New Roman" w:eastAsia="Times New Roman" w:hAnsi="Times New Roman"/>
          <w:sz w:val="24"/>
        </w:rPr>
        <w:t>CHA Kamenínske slaniská môže byť predmetom podpory zo zdrojov Európskeho poľnohospodárskeho fondu pre rozvoj vidieka</w:t>
      </w:r>
      <w:r w:rsidR="008B5F39">
        <w:rPr>
          <w:rFonts w:ascii="Times New Roman" w:eastAsia="Times New Roman" w:hAnsi="Times New Roman"/>
          <w:sz w:val="24"/>
        </w:rPr>
        <w:t xml:space="preserve"> (EPFRV)</w:t>
      </w:r>
      <w:r w:rsidR="00B33A96">
        <w:rPr>
          <w:rFonts w:ascii="Times New Roman" w:hAnsi="Times New Roman"/>
          <w:bCs/>
          <w:sz w:val="24"/>
          <w:szCs w:val="24"/>
        </w:rPr>
        <w:t xml:space="preserve">. </w:t>
      </w:r>
      <w:r w:rsidR="008B5F39">
        <w:rPr>
          <w:rFonts w:ascii="Times New Roman" w:eastAsia="Times New Roman" w:hAnsi="Times New Roman"/>
          <w:sz w:val="24"/>
        </w:rPr>
        <w:t xml:space="preserve">Zoznam parciel, na ktoré je v CHA Kamenínske slaniská možné žiadať podporu z EPFRV je uvedený v projekte ochrany CHA Kamenínske slaniská, ktorý je zverejnený na webovom sídle ŠOP </w:t>
      </w:r>
      <w:r w:rsidR="008B5F39" w:rsidRPr="00AD2EDB">
        <w:rPr>
          <w:rFonts w:ascii="Times New Roman" w:eastAsia="Times New Roman" w:hAnsi="Times New Roman"/>
          <w:sz w:val="24"/>
        </w:rPr>
        <w:t>SR.</w:t>
      </w:r>
      <w:r w:rsidRPr="00AD2EDB">
        <w:rPr>
          <w:rFonts w:ascii="Times New Roman" w:eastAsia="Times New Roman" w:hAnsi="Times New Roman"/>
          <w:sz w:val="24"/>
        </w:rPr>
        <w:t xml:space="preserve"> </w:t>
      </w:r>
      <w:r w:rsidR="00B33A96">
        <w:rPr>
          <w:rFonts w:ascii="Times New Roman" w:eastAsia="Times New Roman" w:hAnsi="Times New Roman"/>
          <w:sz w:val="24"/>
        </w:rPr>
        <w:t xml:space="preserve">Na realizáciu potrebných opatrení je možné využiť aj Operačný program Kvalita životného prostredia alebo </w:t>
      </w:r>
      <w:r w:rsidR="00166412">
        <w:rPr>
          <w:rFonts w:ascii="Times New Roman" w:eastAsia="Times New Roman" w:hAnsi="Times New Roman"/>
          <w:sz w:val="24"/>
        </w:rPr>
        <w:t xml:space="preserve">finančný nástroj </w:t>
      </w:r>
      <w:r w:rsidR="00B33A96">
        <w:rPr>
          <w:rFonts w:ascii="Times New Roman" w:eastAsia="Times New Roman" w:hAnsi="Times New Roman"/>
          <w:sz w:val="24"/>
        </w:rPr>
        <w:t xml:space="preserve">LIFE+. </w:t>
      </w:r>
      <w:r w:rsidR="00B33A96" w:rsidRPr="001157F6">
        <w:rPr>
          <w:rFonts w:ascii="Times New Roman" w:eastAsia="Times New Roman" w:hAnsi="Times New Roman"/>
          <w:sz w:val="24"/>
        </w:rPr>
        <w:t>Ďalšou možnosťou je žiadať o podporu z Environmentálneho fondu</w:t>
      </w:r>
      <w:r w:rsidR="00B33A96">
        <w:rPr>
          <w:rFonts w:ascii="Times New Roman" w:eastAsia="Times New Roman" w:hAnsi="Times New Roman"/>
          <w:sz w:val="24"/>
        </w:rPr>
        <w:t>.</w:t>
      </w:r>
      <w:r w:rsidR="00550144" w:rsidRPr="00AD2EDB">
        <w:rPr>
          <w:rFonts w:ascii="Times New Roman" w:eastAsia="Times New Roman" w:hAnsi="Times New Roman"/>
          <w:sz w:val="24"/>
        </w:rPr>
        <w:t xml:space="preserve"> </w:t>
      </w:r>
    </w:p>
    <w:p w:rsidR="00550144" w:rsidRDefault="005C68EE" w:rsidP="003D2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Ďalšie v</w:t>
      </w:r>
      <w:r w:rsidR="00660F26">
        <w:rPr>
          <w:rFonts w:ascii="Times New Roman" w:eastAsia="Times New Roman" w:hAnsi="Times New Roman"/>
          <w:bCs/>
          <w:sz w:val="24"/>
          <w:szCs w:val="24"/>
          <w:lang w:eastAsia="sk-SK"/>
        </w:rPr>
        <w:t>plyvy na verejné financie budú súvisie</w:t>
      </w:r>
      <w:r w:rsidR="008B1A7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ť so zabezpečením označenia </w:t>
      </w:r>
      <w:r w:rsidR="002E326C">
        <w:rPr>
          <w:rFonts w:ascii="Times New Roman" w:eastAsia="Times New Roman" w:hAnsi="Times New Roman"/>
          <w:bCs/>
          <w:sz w:val="24"/>
          <w:szCs w:val="24"/>
          <w:lang w:eastAsia="sk-SK"/>
        </w:rPr>
        <w:t>CHA Kamenínske</w:t>
      </w:r>
      <w:r w:rsidR="00B33A9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slaniská</w:t>
      </w:r>
      <w:r w:rsidR="008B1A7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</w:t>
      </w:r>
      <w:r w:rsidR="00CA03F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Výpočet výdavkov na označenie </w:t>
      </w:r>
      <w:r w:rsidR="00EB333E">
        <w:rPr>
          <w:rFonts w:ascii="Times New Roman" w:eastAsia="Times New Roman" w:hAnsi="Times New Roman"/>
          <w:bCs/>
          <w:sz w:val="24"/>
          <w:szCs w:val="24"/>
          <w:lang w:eastAsia="sk-SK"/>
        </w:rPr>
        <w:t>CHA</w:t>
      </w:r>
      <w:r w:rsidR="00CA03F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723AA3">
        <w:rPr>
          <w:rFonts w:ascii="Times New Roman" w:eastAsia="Times New Roman" w:hAnsi="Times New Roman"/>
          <w:bCs/>
          <w:sz w:val="24"/>
          <w:szCs w:val="24"/>
          <w:lang w:eastAsia="sk-SK"/>
        </w:rPr>
        <w:t>Kamenínske slaniská</w:t>
      </w:r>
      <w:r w:rsidR="00F45F8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CA03F8">
        <w:rPr>
          <w:rFonts w:ascii="Times New Roman" w:eastAsia="Times New Roman" w:hAnsi="Times New Roman"/>
          <w:bCs/>
          <w:sz w:val="24"/>
          <w:szCs w:val="24"/>
          <w:lang w:eastAsia="sk-SK"/>
        </w:rPr>
        <w:t>pozostáva z výdavkov na výrobu a</w:t>
      </w:r>
      <w:r w:rsidR="00FB48D1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CA03F8">
        <w:rPr>
          <w:rFonts w:ascii="Times New Roman" w:eastAsia="Times New Roman" w:hAnsi="Times New Roman"/>
          <w:bCs/>
          <w:sz w:val="24"/>
          <w:szCs w:val="24"/>
          <w:lang w:eastAsia="sk-SK"/>
        </w:rPr>
        <w:t>osadenie</w:t>
      </w:r>
      <w:r w:rsidR="00FB48D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723AA3">
        <w:rPr>
          <w:rFonts w:ascii="Times New Roman" w:eastAsia="Times New Roman" w:hAnsi="Times New Roman"/>
          <w:bCs/>
          <w:sz w:val="24"/>
          <w:szCs w:val="24"/>
          <w:lang w:eastAsia="sk-SK"/>
        </w:rPr>
        <w:t>trinástich</w:t>
      </w:r>
      <w:r w:rsidR="00EE6F0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EE6F05" w:rsidRPr="00EE6F05">
        <w:rPr>
          <w:rFonts w:ascii="Times New Roman" w:eastAsia="Times New Roman" w:hAnsi="Times New Roman"/>
          <w:bCs/>
          <w:sz w:val="24"/>
          <w:szCs w:val="24"/>
          <w:lang w:eastAsia="sk-SK"/>
        </w:rPr>
        <w:t>normalizovaných tabúľ so štátnym znakom Slovenskej rep</w:t>
      </w:r>
      <w:r w:rsidR="00DF696A">
        <w:rPr>
          <w:rFonts w:ascii="Times New Roman" w:eastAsia="Times New Roman" w:hAnsi="Times New Roman"/>
          <w:bCs/>
          <w:sz w:val="24"/>
          <w:szCs w:val="24"/>
          <w:lang w:eastAsia="sk-SK"/>
        </w:rPr>
        <w:t>ubliky a nápismi „Chránený areál</w:t>
      </w:r>
      <w:r w:rsidR="00EE6F05" w:rsidRPr="00EE6F05">
        <w:rPr>
          <w:rFonts w:ascii="Times New Roman" w:eastAsia="Times New Roman" w:hAnsi="Times New Roman"/>
          <w:bCs/>
          <w:sz w:val="24"/>
          <w:szCs w:val="24"/>
          <w:lang w:eastAsia="sk-SK"/>
        </w:rPr>
        <w:t>“ podľa ustanovení § 19 ods. 1 až 5 a prílohy č. 17 k vyhláške č. 24/2003 Z. z.</w:t>
      </w:r>
      <w:r w:rsidR="00723AA3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</w:p>
    <w:p w:rsidR="00853A20" w:rsidRDefault="00853A20" w:rsidP="0084131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723AA3" w:rsidRPr="007D4B49" w:rsidRDefault="001247BB" w:rsidP="00841310">
      <w:pPr>
        <w:spacing w:after="0"/>
      </w:pPr>
      <w:r w:rsidRPr="00841310">
        <w:rPr>
          <w:rFonts w:ascii="Times New Roman" w:eastAsia="Times New Roman" w:hAnsi="Times New Roman"/>
          <w:bCs/>
          <w:sz w:val="24"/>
          <w:szCs w:val="24"/>
          <w:lang w:eastAsia="sk-SK"/>
        </w:rPr>
        <w:t>Kalkulácia nákladov na označenie a technické vybavenie: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750"/>
        <w:gridCol w:w="2329"/>
        <w:gridCol w:w="1559"/>
      </w:tblGrid>
      <w:tr w:rsidR="001247BB" w:rsidRPr="004C0FAD" w:rsidTr="00D01068">
        <w:trPr>
          <w:trHeight w:hRule="exact" w:val="567"/>
        </w:trPr>
        <w:tc>
          <w:tcPr>
            <w:tcW w:w="3576" w:type="dxa"/>
            <w:shd w:val="clear" w:color="auto" w:fill="E6E6E6"/>
          </w:tcPr>
          <w:p w:rsidR="001247BB" w:rsidRPr="001247BB" w:rsidRDefault="00D22D66" w:rsidP="007D4B4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247B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</w:t>
            </w:r>
            <w:r w:rsidR="001247BB" w:rsidRPr="001247B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oložka</w:t>
            </w:r>
          </w:p>
        </w:tc>
        <w:tc>
          <w:tcPr>
            <w:tcW w:w="1750" w:type="dxa"/>
            <w:shd w:val="clear" w:color="auto" w:fill="E6E6E6"/>
          </w:tcPr>
          <w:p w:rsidR="001247BB" w:rsidRPr="001247BB" w:rsidRDefault="001247BB" w:rsidP="007D4B4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247B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Počet/množstvo</w:t>
            </w:r>
          </w:p>
        </w:tc>
        <w:tc>
          <w:tcPr>
            <w:tcW w:w="2329" w:type="dxa"/>
            <w:shd w:val="clear" w:color="auto" w:fill="E6E6E6"/>
          </w:tcPr>
          <w:p w:rsidR="001247BB" w:rsidRPr="001247BB" w:rsidRDefault="001247BB" w:rsidP="007D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247B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Jednotková cena v €  s DPH</w:t>
            </w:r>
          </w:p>
        </w:tc>
        <w:tc>
          <w:tcPr>
            <w:tcW w:w="1559" w:type="dxa"/>
            <w:shd w:val="clear" w:color="auto" w:fill="E6E6E6"/>
          </w:tcPr>
          <w:p w:rsidR="001247BB" w:rsidRPr="001247BB" w:rsidRDefault="001247BB" w:rsidP="007D4B4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247B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Spolu € s DPH</w:t>
            </w:r>
          </w:p>
        </w:tc>
      </w:tr>
      <w:tr w:rsidR="001247BB" w:rsidRPr="007D4B49" w:rsidTr="00D01068">
        <w:trPr>
          <w:trHeight w:hRule="exact" w:val="284"/>
        </w:trPr>
        <w:tc>
          <w:tcPr>
            <w:tcW w:w="3576" w:type="dxa"/>
          </w:tcPr>
          <w:p w:rsidR="001247BB" w:rsidRPr="00D01068" w:rsidRDefault="004740C6" w:rsidP="00D010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Tabu</w:t>
            </w:r>
            <w:r w:rsidR="00CB00C6" w:rsidRPr="00D01068">
              <w:rPr>
                <w:rFonts w:ascii="Times New Roman" w:eastAsia="Times New Roman" w:hAnsi="Times New Roman"/>
                <w:bCs/>
                <w:lang w:eastAsia="sk-SK"/>
              </w:rPr>
              <w:t>ľa kovová 40 x 30</w:t>
            </w: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 xml:space="preserve"> cm</w:t>
            </w:r>
          </w:p>
        </w:tc>
        <w:tc>
          <w:tcPr>
            <w:tcW w:w="1750" w:type="dxa"/>
            <w:shd w:val="clear" w:color="auto" w:fill="auto"/>
          </w:tcPr>
          <w:p w:rsidR="001247BB" w:rsidRPr="00D01068" w:rsidRDefault="00CB00C6" w:rsidP="007D4B4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13</w:t>
            </w:r>
            <w:r w:rsidR="004740C6" w:rsidRPr="00D01068">
              <w:rPr>
                <w:rFonts w:ascii="Times New Roman" w:eastAsia="Times New Roman" w:hAnsi="Times New Roman"/>
                <w:bCs/>
                <w:lang w:eastAsia="sk-SK"/>
              </w:rPr>
              <w:t xml:space="preserve"> </w:t>
            </w:r>
            <w:r w:rsidR="001247BB" w:rsidRPr="00D01068">
              <w:rPr>
                <w:rFonts w:ascii="Times New Roman" w:eastAsia="Times New Roman" w:hAnsi="Times New Roman"/>
                <w:bCs/>
                <w:lang w:eastAsia="sk-SK"/>
              </w:rPr>
              <w:t>ks</w:t>
            </w:r>
          </w:p>
        </w:tc>
        <w:tc>
          <w:tcPr>
            <w:tcW w:w="2329" w:type="dxa"/>
          </w:tcPr>
          <w:p w:rsidR="001247BB" w:rsidRPr="00D01068" w:rsidRDefault="00CB00C6" w:rsidP="007D4B49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4,80</w:t>
            </w:r>
          </w:p>
        </w:tc>
        <w:tc>
          <w:tcPr>
            <w:tcW w:w="1559" w:type="dxa"/>
          </w:tcPr>
          <w:p w:rsidR="001247BB" w:rsidRPr="00D01068" w:rsidRDefault="00CB00C6" w:rsidP="007D4B4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62,40</w:t>
            </w:r>
          </w:p>
        </w:tc>
      </w:tr>
      <w:tr w:rsidR="005705F3" w:rsidRPr="007D4B49" w:rsidTr="00D01068">
        <w:trPr>
          <w:trHeight w:hRule="exact" w:val="606"/>
        </w:trPr>
        <w:tc>
          <w:tcPr>
            <w:tcW w:w="3576" w:type="dxa"/>
          </w:tcPr>
          <w:p w:rsidR="005705F3" w:rsidRPr="00D01068" w:rsidRDefault="00CB00C6" w:rsidP="00D010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 xml:space="preserve">Kotevná pätka osadená v betóne so stĺpom </w:t>
            </w:r>
            <w:r w:rsidR="004740C6" w:rsidRPr="00D01068">
              <w:rPr>
                <w:rFonts w:ascii="Times New Roman" w:eastAsia="Times New Roman" w:hAnsi="Times New Roman"/>
                <w:bCs/>
                <w:lang w:eastAsia="sk-SK"/>
              </w:rPr>
              <w:t>10x10x300</w:t>
            </w: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 xml:space="preserve"> cm</w:t>
            </w:r>
          </w:p>
        </w:tc>
        <w:tc>
          <w:tcPr>
            <w:tcW w:w="1750" w:type="dxa"/>
            <w:shd w:val="clear" w:color="auto" w:fill="auto"/>
          </w:tcPr>
          <w:p w:rsidR="005705F3" w:rsidRPr="00D01068" w:rsidRDefault="00CB00C6" w:rsidP="007D4B4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13</w:t>
            </w:r>
            <w:r w:rsidR="004740C6" w:rsidRPr="00D01068">
              <w:rPr>
                <w:rFonts w:ascii="Times New Roman" w:eastAsia="Times New Roman" w:hAnsi="Times New Roman"/>
                <w:bCs/>
                <w:lang w:eastAsia="sk-SK"/>
              </w:rPr>
              <w:t xml:space="preserve"> </w:t>
            </w:r>
            <w:r w:rsidR="000A46C8" w:rsidRPr="00D01068">
              <w:rPr>
                <w:rFonts w:ascii="Times New Roman" w:eastAsia="Times New Roman" w:hAnsi="Times New Roman"/>
                <w:bCs/>
                <w:lang w:eastAsia="sk-SK"/>
              </w:rPr>
              <w:t>ks</w:t>
            </w:r>
          </w:p>
        </w:tc>
        <w:tc>
          <w:tcPr>
            <w:tcW w:w="2329" w:type="dxa"/>
          </w:tcPr>
          <w:p w:rsidR="005705F3" w:rsidRPr="00D01068" w:rsidRDefault="004740C6" w:rsidP="007D4B49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40</w:t>
            </w:r>
            <w:r w:rsidR="0050465C" w:rsidRPr="00D01068">
              <w:rPr>
                <w:rFonts w:ascii="Times New Roman" w:eastAsia="Times New Roman" w:hAnsi="Times New Roman"/>
                <w:bCs/>
                <w:lang w:eastAsia="sk-SK"/>
              </w:rPr>
              <w:t>,00</w:t>
            </w:r>
          </w:p>
        </w:tc>
        <w:tc>
          <w:tcPr>
            <w:tcW w:w="1559" w:type="dxa"/>
          </w:tcPr>
          <w:p w:rsidR="005705F3" w:rsidRPr="00D01068" w:rsidRDefault="00CB00C6" w:rsidP="007D4B4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52</w:t>
            </w:r>
            <w:r w:rsidR="004740C6"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  <w:r w:rsidR="003C76CD"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,00</w:t>
            </w:r>
          </w:p>
        </w:tc>
      </w:tr>
      <w:tr w:rsidR="0050465C" w:rsidRPr="007D4B49" w:rsidTr="00D01068">
        <w:trPr>
          <w:trHeight w:hRule="exact" w:val="288"/>
        </w:trPr>
        <w:tc>
          <w:tcPr>
            <w:tcW w:w="3576" w:type="dxa"/>
          </w:tcPr>
          <w:p w:rsidR="0050465C" w:rsidRPr="00D01068" w:rsidDel="0050465C" w:rsidRDefault="004740C6" w:rsidP="00D010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Samolepiaca fólia - Štátny znak</w:t>
            </w:r>
          </w:p>
        </w:tc>
        <w:tc>
          <w:tcPr>
            <w:tcW w:w="1750" w:type="dxa"/>
            <w:shd w:val="clear" w:color="auto" w:fill="auto"/>
          </w:tcPr>
          <w:p w:rsidR="0050465C" w:rsidRPr="00D01068" w:rsidDel="0050465C" w:rsidRDefault="00CB00C6" w:rsidP="007D4B4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13</w:t>
            </w:r>
            <w:r w:rsidR="004740C6" w:rsidRPr="00D01068">
              <w:rPr>
                <w:rFonts w:ascii="Times New Roman" w:eastAsia="Times New Roman" w:hAnsi="Times New Roman"/>
                <w:bCs/>
                <w:lang w:eastAsia="sk-SK"/>
              </w:rPr>
              <w:t xml:space="preserve"> </w:t>
            </w:r>
            <w:r w:rsidR="0050465C" w:rsidRPr="00D01068">
              <w:rPr>
                <w:rFonts w:ascii="Times New Roman" w:eastAsia="Times New Roman" w:hAnsi="Times New Roman"/>
                <w:bCs/>
                <w:lang w:eastAsia="sk-SK"/>
              </w:rPr>
              <w:t>ks</w:t>
            </w:r>
          </w:p>
        </w:tc>
        <w:tc>
          <w:tcPr>
            <w:tcW w:w="2329" w:type="dxa"/>
          </w:tcPr>
          <w:p w:rsidR="0050465C" w:rsidRPr="00D01068" w:rsidDel="0050465C" w:rsidRDefault="004740C6" w:rsidP="007D4B49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1</w:t>
            </w:r>
            <w:r w:rsidR="0050465C" w:rsidRPr="00D01068">
              <w:rPr>
                <w:rFonts w:ascii="Times New Roman" w:eastAsia="Times New Roman" w:hAnsi="Times New Roman"/>
                <w:bCs/>
                <w:lang w:eastAsia="sk-SK"/>
              </w:rPr>
              <w:t>,</w:t>
            </w: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07</w:t>
            </w:r>
          </w:p>
        </w:tc>
        <w:tc>
          <w:tcPr>
            <w:tcW w:w="1559" w:type="dxa"/>
          </w:tcPr>
          <w:p w:rsidR="0050465C" w:rsidRPr="00D01068" w:rsidDel="0050465C" w:rsidRDefault="00CB00C6" w:rsidP="007D4B4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13,91</w:t>
            </w:r>
          </w:p>
        </w:tc>
      </w:tr>
      <w:tr w:rsidR="0050465C" w:rsidRPr="007D4B49" w:rsidTr="00D01068">
        <w:trPr>
          <w:trHeight w:hRule="exact" w:val="562"/>
        </w:trPr>
        <w:tc>
          <w:tcPr>
            <w:tcW w:w="3576" w:type="dxa"/>
          </w:tcPr>
          <w:p w:rsidR="0050465C" w:rsidRPr="00D01068" w:rsidRDefault="004740C6" w:rsidP="00D010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Samolepiaca fólia s označením kategórie CHÚ</w:t>
            </w:r>
          </w:p>
        </w:tc>
        <w:tc>
          <w:tcPr>
            <w:tcW w:w="1750" w:type="dxa"/>
            <w:shd w:val="clear" w:color="auto" w:fill="auto"/>
          </w:tcPr>
          <w:p w:rsidR="0050465C" w:rsidRPr="00D01068" w:rsidRDefault="003C76CD" w:rsidP="007D4B4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13</w:t>
            </w:r>
            <w:r w:rsidR="004740C6" w:rsidRPr="00D01068">
              <w:rPr>
                <w:rFonts w:ascii="Times New Roman" w:eastAsia="Times New Roman" w:hAnsi="Times New Roman"/>
                <w:bCs/>
                <w:lang w:eastAsia="sk-SK"/>
              </w:rPr>
              <w:t xml:space="preserve"> </w:t>
            </w:r>
            <w:r w:rsidR="0050465C" w:rsidRPr="00D01068">
              <w:rPr>
                <w:rFonts w:ascii="Times New Roman" w:eastAsia="Times New Roman" w:hAnsi="Times New Roman"/>
                <w:bCs/>
                <w:lang w:eastAsia="sk-SK"/>
              </w:rPr>
              <w:t>ks</w:t>
            </w:r>
          </w:p>
        </w:tc>
        <w:tc>
          <w:tcPr>
            <w:tcW w:w="2329" w:type="dxa"/>
          </w:tcPr>
          <w:p w:rsidR="0050465C" w:rsidRPr="00D01068" w:rsidRDefault="004740C6" w:rsidP="007D4B49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0,71</w:t>
            </w:r>
          </w:p>
        </w:tc>
        <w:tc>
          <w:tcPr>
            <w:tcW w:w="1559" w:type="dxa"/>
          </w:tcPr>
          <w:p w:rsidR="0050465C" w:rsidRPr="00D01068" w:rsidRDefault="003C76CD" w:rsidP="007D4B4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9,23</w:t>
            </w:r>
          </w:p>
        </w:tc>
      </w:tr>
      <w:tr w:rsidR="0050465C" w:rsidRPr="007D4B49" w:rsidTr="00D01068">
        <w:trPr>
          <w:trHeight w:hRule="exact" w:val="288"/>
        </w:trPr>
        <w:tc>
          <w:tcPr>
            <w:tcW w:w="3576" w:type="dxa"/>
          </w:tcPr>
          <w:p w:rsidR="0050465C" w:rsidRPr="00D01068" w:rsidRDefault="003C76CD" w:rsidP="00D010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Výkopové práce</w:t>
            </w:r>
          </w:p>
        </w:tc>
        <w:tc>
          <w:tcPr>
            <w:tcW w:w="1750" w:type="dxa"/>
            <w:shd w:val="clear" w:color="auto" w:fill="auto"/>
          </w:tcPr>
          <w:p w:rsidR="0050465C" w:rsidRPr="00D01068" w:rsidRDefault="00550144" w:rsidP="007D4B4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-</w:t>
            </w:r>
          </w:p>
        </w:tc>
        <w:tc>
          <w:tcPr>
            <w:tcW w:w="2329" w:type="dxa"/>
          </w:tcPr>
          <w:p w:rsidR="0050465C" w:rsidRPr="00D01068" w:rsidRDefault="003C76CD" w:rsidP="007D4B49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250,00</w:t>
            </w:r>
          </w:p>
        </w:tc>
        <w:tc>
          <w:tcPr>
            <w:tcW w:w="1559" w:type="dxa"/>
          </w:tcPr>
          <w:p w:rsidR="0050465C" w:rsidRPr="00D01068" w:rsidRDefault="003C76CD" w:rsidP="007D4B4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250,00</w:t>
            </w:r>
          </w:p>
        </w:tc>
      </w:tr>
      <w:tr w:rsidR="004740C6" w:rsidRPr="007D4B49" w:rsidTr="00D01068">
        <w:trPr>
          <w:trHeight w:hRule="exact" w:val="276"/>
        </w:trPr>
        <w:tc>
          <w:tcPr>
            <w:tcW w:w="3576" w:type="dxa"/>
          </w:tcPr>
          <w:p w:rsidR="004740C6" w:rsidRPr="00D01068" w:rsidRDefault="003C76CD" w:rsidP="00D010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Práca</w:t>
            </w:r>
          </w:p>
        </w:tc>
        <w:tc>
          <w:tcPr>
            <w:tcW w:w="1750" w:type="dxa"/>
            <w:shd w:val="clear" w:color="auto" w:fill="auto"/>
          </w:tcPr>
          <w:p w:rsidR="004740C6" w:rsidRPr="00D01068" w:rsidDel="004740C6" w:rsidRDefault="00550144" w:rsidP="007D4B4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-</w:t>
            </w:r>
          </w:p>
        </w:tc>
        <w:tc>
          <w:tcPr>
            <w:tcW w:w="2329" w:type="dxa"/>
          </w:tcPr>
          <w:p w:rsidR="004740C6" w:rsidRPr="00D01068" w:rsidDel="004740C6" w:rsidRDefault="003C76CD" w:rsidP="007D4B49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150,00</w:t>
            </w:r>
          </w:p>
        </w:tc>
        <w:tc>
          <w:tcPr>
            <w:tcW w:w="1559" w:type="dxa"/>
          </w:tcPr>
          <w:p w:rsidR="004740C6" w:rsidRPr="00D01068" w:rsidDel="004740C6" w:rsidRDefault="003C76CD" w:rsidP="007D4B4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150,00</w:t>
            </w:r>
          </w:p>
        </w:tc>
      </w:tr>
      <w:tr w:rsidR="004740C6" w:rsidRPr="007D4B49" w:rsidTr="00D01068">
        <w:trPr>
          <w:trHeight w:hRule="exact" w:val="445"/>
        </w:trPr>
        <w:tc>
          <w:tcPr>
            <w:tcW w:w="3576" w:type="dxa"/>
          </w:tcPr>
          <w:p w:rsidR="004740C6" w:rsidRPr="00D01068" w:rsidRDefault="002518BB" w:rsidP="007D4B49">
            <w:pPr>
              <w:spacing w:after="0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Farba</w:t>
            </w:r>
          </w:p>
        </w:tc>
        <w:tc>
          <w:tcPr>
            <w:tcW w:w="1750" w:type="dxa"/>
            <w:shd w:val="clear" w:color="auto" w:fill="auto"/>
          </w:tcPr>
          <w:p w:rsidR="004740C6" w:rsidRPr="00D01068" w:rsidDel="004740C6" w:rsidRDefault="003C76CD" w:rsidP="007D4B4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5</w:t>
            </w:r>
            <w:r w:rsidR="00132FF1" w:rsidRPr="00D01068">
              <w:rPr>
                <w:rFonts w:ascii="Times New Roman" w:eastAsia="Times New Roman" w:hAnsi="Times New Roman"/>
                <w:bCs/>
                <w:lang w:eastAsia="sk-SK"/>
              </w:rPr>
              <w:t xml:space="preserve"> </w:t>
            </w:r>
            <w:r w:rsidR="002518BB" w:rsidRPr="00D01068">
              <w:rPr>
                <w:rFonts w:ascii="Times New Roman" w:eastAsia="Times New Roman" w:hAnsi="Times New Roman"/>
                <w:bCs/>
                <w:lang w:eastAsia="sk-SK"/>
              </w:rPr>
              <w:t>l</w:t>
            </w:r>
          </w:p>
        </w:tc>
        <w:tc>
          <w:tcPr>
            <w:tcW w:w="2329" w:type="dxa"/>
          </w:tcPr>
          <w:p w:rsidR="004740C6" w:rsidRPr="00D01068" w:rsidDel="004740C6" w:rsidRDefault="003C76CD" w:rsidP="007D4B49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10</w:t>
            </w:r>
            <w:r w:rsidR="0002243A" w:rsidRPr="00D01068">
              <w:rPr>
                <w:rFonts w:ascii="Times New Roman" w:eastAsia="Times New Roman" w:hAnsi="Times New Roman"/>
                <w:bCs/>
                <w:lang w:eastAsia="sk-SK"/>
              </w:rPr>
              <w:t>,00</w:t>
            </w:r>
          </w:p>
        </w:tc>
        <w:tc>
          <w:tcPr>
            <w:tcW w:w="1559" w:type="dxa"/>
          </w:tcPr>
          <w:p w:rsidR="004740C6" w:rsidRPr="00D01068" w:rsidDel="004740C6" w:rsidRDefault="003C76CD" w:rsidP="007D4B4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5</w:t>
            </w:r>
            <w:r w:rsidR="00132FF1"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0,00</w:t>
            </w:r>
          </w:p>
        </w:tc>
      </w:tr>
      <w:tr w:rsidR="004740C6" w:rsidRPr="007D4B49" w:rsidTr="00D01068">
        <w:trPr>
          <w:trHeight w:hRule="exact" w:val="303"/>
        </w:trPr>
        <w:tc>
          <w:tcPr>
            <w:tcW w:w="3576" w:type="dxa"/>
          </w:tcPr>
          <w:p w:rsidR="004740C6" w:rsidRPr="00D01068" w:rsidRDefault="0002243A" w:rsidP="007D4B49">
            <w:pPr>
              <w:spacing w:after="0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Štetce</w:t>
            </w:r>
          </w:p>
        </w:tc>
        <w:tc>
          <w:tcPr>
            <w:tcW w:w="1750" w:type="dxa"/>
            <w:shd w:val="clear" w:color="auto" w:fill="auto"/>
          </w:tcPr>
          <w:p w:rsidR="004740C6" w:rsidRPr="00D01068" w:rsidDel="004740C6" w:rsidRDefault="003C76CD" w:rsidP="007D4B4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5</w:t>
            </w:r>
            <w:r w:rsidR="00132FF1" w:rsidRPr="00D01068">
              <w:rPr>
                <w:rFonts w:ascii="Times New Roman" w:eastAsia="Times New Roman" w:hAnsi="Times New Roman"/>
                <w:bCs/>
                <w:lang w:eastAsia="sk-SK"/>
              </w:rPr>
              <w:t xml:space="preserve"> ks</w:t>
            </w:r>
          </w:p>
        </w:tc>
        <w:tc>
          <w:tcPr>
            <w:tcW w:w="2329" w:type="dxa"/>
          </w:tcPr>
          <w:p w:rsidR="004740C6" w:rsidRPr="00D01068" w:rsidDel="004740C6" w:rsidRDefault="00132FF1" w:rsidP="007D4B49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2,5</w:t>
            </w:r>
          </w:p>
        </w:tc>
        <w:tc>
          <w:tcPr>
            <w:tcW w:w="1559" w:type="dxa"/>
          </w:tcPr>
          <w:p w:rsidR="004740C6" w:rsidRPr="00D01068" w:rsidDel="004740C6" w:rsidRDefault="003C76CD" w:rsidP="007D4B4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1</w:t>
            </w:r>
            <w:r w:rsidR="00132FF1"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2,5</w:t>
            </w:r>
          </w:p>
        </w:tc>
      </w:tr>
      <w:tr w:rsidR="004740C6" w:rsidRPr="004C0FAD" w:rsidTr="00D01068">
        <w:trPr>
          <w:trHeight w:hRule="exact" w:val="279"/>
        </w:trPr>
        <w:tc>
          <w:tcPr>
            <w:tcW w:w="3576" w:type="dxa"/>
          </w:tcPr>
          <w:p w:rsidR="004740C6" w:rsidRPr="00D01068" w:rsidRDefault="0002243A" w:rsidP="007D4B49">
            <w:pPr>
              <w:spacing w:after="0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lastRenderedPageBreak/>
              <w:t>Riedidlo</w:t>
            </w:r>
          </w:p>
        </w:tc>
        <w:tc>
          <w:tcPr>
            <w:tcW w:w="1750" w:type="dxa"/>
            <w:shd w:val="clear" w:color="auto" w:fill="auto"/>
          </w:tcPr>
          <w:p w:rsidR="004740C6" w:rsidRPr="00D01068" w:rsidDel="004740C6" w:rsidRDefault="00132FF1" w:rsidP="007D4B4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1 ks</w:t>
            </w:r>
          </w:p>
        </w:tc>
        <w:tc>
          <w:tcPr>
            <w:tcW w:w="2329" w:type="dxa"/>
          </w:tcPr>
          <w:p w:rsidR="004740C6" w:rsidRPr="00D01068" w:rsidDel="004740C6" w:rsidRDefault="00132FF1" w:rsidP="007D4B49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5,00</w:t>
            </w:r>
          </w:p>
        </w:tc>
        <w:tc>
          <w:tcPr>
            <w:tcW w:w="1559" w:type="dxa"/>
          </w:tcPr>
          <w:p w:rsidR="004740C6" w:rsidRPr="00D01068" w:rsidDel="004740C6" w:rsidRDefault="00132FF1" w:rsidP="007D4B4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5,00</w:t>
            </w:r>
          </w:p>
        </w:tc>
      </w:tr>
      <w:tr w:rsidR="001247BB" w:rsidRPr="004C0FAD" w:rsidTr="00D01068">
        <w:trPr>
          <w:trHeight w:hRule="exact" w:val="425"/>
        </w:trPr>
        <w:tc>
          <w:tcPr>
            <w:tcW w:w="3576" w:type="dxa"/>
            <w:shd w:val="clear" w:color="auto" w:fill="FFFF99"/>
          </w:tcPr>
          <w:p w:rsidR="001247BB" w:rsidRPr="00D01068" w:rsidRDefault="001247BB" w:rsidP="007D4B49">
            <w:pPr>
              <w:spacing w:after="0"/>
              <w:rPr>
                <w:rFonts w:ascii="Times New Roman" w:eastAsia="Times New Roman" w:hAnsi="Times New Roman"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Cs/>
                <w:lang w:eastAsia="sk-SK"/>
              </w:rPr>
              <w:t>SPOLU</w:t>
            </w:r>
          </w:p>
        </w:tc>
        <w:tc>
          <w:tcPr>
            <w:tcW w:w="5638" w:type="dxa"/>
            <w:gridSpan w:val="3"/>
            <w:shd w:val="clear" w:color="auto" w:fill="FFFF99"/>
          </w:tcPr>
          <w:p w:rsidR="001247BB" w:rsidRPr="00D01068" w:rsidRDefault="00AA1896" w:rsidP="00003F3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1073</w:t>
            </w:r>
            <w:r w:rsidR="00132FF1"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,</w:t>
            </w: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04</w:t>
            </w:r>
            <w:r w:rsidR="00003F3E"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, </w:t>
            </w:r>
            <w:r w:rsidR="00881B1D"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cca </w:t>
            </w: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1073</w:t>
            </w:r>
            <w:r w:rsidR="00881B1D"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EUR</w:t>
            </w:r>
          </w:p>
        </w:tc>
      </w:tr>
    </w:tbl>
    <w:p w:rsidR="00EA0D7E" w:rsidRPr="00EA0D7E" w:rsidRDefault="00EA0D7E" w:rsidP="00EA0D7E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14093" w:rsidRPr="00841310" w:rsidRDefault="00EA0D7E" w:rsidP="0087736F">
      <w:pPr>
        <w:tabs>
          <w:tab w:val="num" w:pos="1080"/>
        </w:tabs>
        <w:spacing w:after="12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/>
          <w:sz w:val="24"/>
          <w:szCs w:val="20"/>
          <w:lang w:eastAsia="sk-SK"/>
        </w:rPr>
        <w:t>Ta</w:t>
      </w:r>
      <w:r w:rsidR="00814093" w:rsidRPr="00841310">
        <w:rPr>
          <w:rFonts w:ascii="Times New Roman" w:eastAsia="Times New Roman" w:hAnsi="Times New Roman"/>
          <w:sz w:val="24"/>
          <w:szCs w:val="20"/>
          <w:lang w:eastAsia="sk-SK"/>
        </w:rPr>
        <w:t xml:space="preserve">buľka č. </w:t>
      </w:r>
      <w:r w:rsidR="00550144">
        <w:rPr>
          <w:rFonts w:ascii="Times New Roman" w:eastAsia="Times New Roman" w:hAnsi="Times New Roman"/>
          <w:sz w:val="24"/>
          <w:szCs w:val="20"/>
          <w:lang w:eastAsia="sk-SK"/>
        </w:rPr>
        <w:t>3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276"/>
        <w:gridCol w:w="1275"/>
      </w:tblGrid>
      <w:tr w:rsidR="00814093" w:rsidRPr="00814093" w:rsidTr="00841310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14093" w:rsidRPr="002E326C" w:rsidRDefault="00814093" w:rsidP="008773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E326C">
              <w:rPr>
                <w:rFonts w:ascii="Times New Roman" w:eastAsia="Times New Roman" w:hAnsi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2E326C" w:rsidRDefault="00814093" w:rsidP="008773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E326C">
              <w:rPr>
                <w:rFonts w:ascii="Times New Roman" w:eastAsia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14093" w:rsidRPr="002E326C" w:rsidRDefault="00814093" w:rsidP="0087736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E326C">
              <w:rPr>
                <w:rFonts w:ascii="Times New Roman" w:eastAsia="Times New Roman" w:hAnsi="Times New Roman"/>
                <w:b/>
                <w:bCs/>
                <w:lang w:eastAsia="sk-SK"/>
              </w:rPr>
              <w:t>poznámka</w:t>
            </w:r>
          </w:p>
        </w:tc>
      </w:tr>
      <w:tr w:rsidR="00814093" w:rsidRPr="00814093" w:rsidTr="00841310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3" w:rsidRPr="00814093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814093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140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814093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140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814093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140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814093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140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 202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3" w:rsidRPr="00814093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14093" w:rsidRPr="00814093" w:rsidTr="00841310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Daňové príjmy (100)</w:t>
            </w:r>
            <w:r w:rsidRPr="00D01068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814093" w:rsidRPr="00814093" w:rsidTr="00841310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Nedaňové príjmy (200)</w:t>
            </w:r>
            <w:r w:rsidRPr="00D01068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814093" w:rsidRPr="00814093" w:rsidTr="00841310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Granty a transfery (300)</w:t>
            </w:r>
            <w:r w:rsidRPr="00D01068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814093" w:rsidRPr="00814093" w:rsidTr="00841310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814093" w:rsidRPr="00814093" w:rsidTr="00841310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814093" w:rsidRPr="00814093" w:rsidTr="00841310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:rsidR="00814093" w:rsidRPr="00814093" w:rsidRDefault="00814093" w:rsidP="00814093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814093">
        <w:rPr>
          <w:rFonts w:ascii="Times New Roman" w:eastAsia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814093" w:rsidRPr="00814093" w:rsidRDefault="00814093" w:rsidP="0081409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  <w:r w:rsidRPr="00814093"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 xml:space="preserve">Poznámka: </w:t>
      </w:r>
      <w:r w:rsidRPr="00814093">
        <w:rPr>
          <w:rFonts w:ascii="Times New Roman" w:eastAsia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14093" w:rsidRPr="00814093" w:rsidRDefault="00814093" w:rsidP="00814093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814093" w:rsidRPr="00841310" w:rsidRDefault="00814093" w:rsidP="00841310">
      <w:pPr>
        <w:pStyle w:val="Popis"/>
        <w:keepNext/>
        <w:spacing w:after="0" w:line="240" w:lineRule="auto"/>
        <w:rPr>
          <w:sz w:val="24"/>
        </w:rPr>
      </w:pPr>
      <w:r w:rsidRPr="00841310">
        <w:rPr>
          <w:rFonts w:ascii="Times New Roman" w:eastAsia="Times New Roman" w:hAnsi="Times New Roman"/>
          <w:b w:val="0"/>
          <w:sz w:val="24"/>
          <w:lang w:eastAsia="sk-SK"/>
        </w:rPr>
        <w:t xml:space="preserve">Tabuľka č. </w:t>
      </w:r>
      <w:r w:rsidR="00550144" w:rsidRPr="00841310">
        <w:rPr>
          <w:rFonts w:ascii="Times New Roman" w:eastAsia="Times New Roman" w:hAnsi="Times New Roman"/>
          <w:b w:val="0"/>
          <w:sz w:val="24"/>
          <w:lang w:eastAsia="sk-SK"/>
        </w:rPr>
        <w:t>4</w:t>
      </w:r>
    </w:p>
    <w:tbl>
      <w:tblPr>
        <w:tblpPr w:leftFromText="141" w:rightFromText="141" w:vertAnchor="text" w:horzAnchor="margin" w:tblpX="68" w:tblpY="123"/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8"/>
        <w:gridCol w:w="1229"/>
        <w:gridCol w:w="1013"/>
        <w:gridCol w:w="1013"/>
        <w:gridCol w:w="1014"/>
        <w:gridCol w:w="1207"/>
      </w:tblGrid>
      <w:tr w:rsidR="0087736F" w:rsidRPr="00814093" w:rsidTr="00550144">
        <w:trPr>
          <w:trHeight w:val="280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14093" w:rsidRPr="002E326C" w:rsidRDefault="00814093" w:rsidP="0084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E3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2E326C" w:rsidRDefault="00814093" w:rsidP="0084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E3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14093" w:rsidRPr="002E326C" w:rsidRDefault="00814093" w:rsidP="0084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E3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14093" w:rsidRPr="00814093" w:rsidTr="00841310">
        <w:trPr>
          <w:trHeight w:val="127"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093" w:rsidRPr="00B33A96" w:rsidRDefault="00814093" w:rsidP="00841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B33A96" w:rsidRDefault="00814093" w:rsidP="0084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B33A96" w:rsidRDefault="00814093" w:rsidP="0084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B33A96" w:rsidRDefault="00814093" w:rsidP="002E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2E326C" w:rsidRDefault="00814093" w:rsidP="0084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3" w:rsidRPr="002E326C" w:rsidRDefault="00814093" w:rsidP="00841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14093" w:rsidRPr="00814093" w:rsidTr="00841310">
        <w:trPr>
          <w:trHeight w:val="2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841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84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b/>
                <w:bCs/>
                <w:lang w:eastAsia="sk-SK"/>
              </w:rPr>
              <w:t>1073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F35D6C" w:rsidP="0084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b/>
                <w:bCs/>
                <w:lang w:eastAsia="sk-SK"/>
              </w:rPr>
              <w:t>7 000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367051" w:rsidP="0084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367051" w:rsidP="0084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EA0D7E" w:rsidRDefault="00814093" w:rsidP="0084131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814093" w:rsidRPr="00814093" w:rsidTr="00841310">
        <w:trPr>
          <w:trHeight w:val="2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EA0D7E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814093" w:rsidRPr="00814093" w:rsidTr="00841310">
        <w:trPr>
          <w:trHeight w:val="2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EA0D7E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814093" w:rsidRPr="00814093" w:rsidTr="00841310">
        <w:trPr>
          <w:trHeight w:val="2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 xml:space="preserve">  Tovary a služby (630)</w:t>
            </w:r>
            <w:r w:rsidRPr="00EA0D7E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EA0D7E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814093" w:rsidRPr="00814093" w:rsidTr="00841310">
        <w:trPr>
          <w:trHeight w:val="2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 xml:space="preserve">  Bežné transfery (640)</w:t>
            </w:r>
            <w:r w:rsidRPr="00EA0D7E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  <w:p w:rsidR="00550144" w:rsidRPr="00EA0D7E" w:rsidRDefault="00550144" w:rsidP="0055014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>641001 – príspevkovej organizácii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84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>1073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F35D6C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>7 000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367051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367051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EA0D7E" w:rsidRDefault="00814093" w:rsidP="0084131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 xml:space="preserve">označenie chráneného areálu </w:t>
            </w:r>
          </w:p>
        </w:tc>
      </w:tr>
      <w:tr w:rsidR="00814093" w:rsidRPr="00814093" w:rsidTr="00841310">
        <w:trPr>
          <w:trHeight w:val="2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3" w:rsidRPr="00EA0D7E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 xml:space="preserve">  Splácanie úrokov a ostatné platby súvisiace s </w:t>
            </w:r>
            <w:r w:rsidRPr="00EA0D7E">
              <w:rPr>
                <w:rFonts w:ascii="Times New Roman" w:hAnsi="Times New Roman"/>
              </w:rPr>
              <w:t xml:space="preserve"> </w:t>
            </w:r>
            <w:r w:rsidRPr="00EA0D7E">
              <w:rPr>
                <w:rFonts w:ascii="Times New Roman" w:eastAsia="Times New Roman" w:hAnsi="Times New Roman"/>
                <w:lang w:eastAsia="sk-SK"/>
              </w:rPr>
              <w:t>úverom, pôžičkou, návratnou finančnou výpomocou a finančným prenájmom (650)</w:t>
            </w:r>
            <w:r w:rsidRPr="00EA0D7E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EA0D7E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814093" w:rsidRPr="00814093" w:rsidTr="00841310">
        <w:trPr>
          <w:trHeight w:val="2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EA0D7E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814093" w:rsidRPr="00814093" w:rsidTr="00841310">
        <w:trPr>
          <w:trHeight w:val="2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 xml:space="preserve">  Obstarávanie kapitálových aktív (710)</w:t>
            </w:r>
            <w:r w:rsidRPr="00EA0D7E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EA0D7E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814093" w:rsidRPr="00814093" w:rsidTr="00841310">
        <w:trPr>
          <w:trHeight w:val="2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 xml:space="preserve">  Kapitálové transfery (720)</w:t>
            </w:r>
            <w:r w:rsidRPr="00EA0D7E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EA0D7E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814093" w:rsidRPr="00814093" w:rsidTr="00841310">
        <w:trPr>
          <w:trHeight w:val="2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EA0D7E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4093" w:rsidRPr="00EA0D7E" w:rsidRDefault="00814093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EA0D7E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0D7E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814093" w:rsidRPr="00814093" w:rsidTr="00841310">
        <w:trPr>
          <w:trHeight w:val="28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2E326C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E3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2E326C" w:rsidRDefault="00814093" w:rsidP="0084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E3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1073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2E326C" w:rsidRDefault="00F35D6C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2E326C" w:rsidRDefault="00367051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2E326C" w:rsidRDefault="00367051" w:rsidP="0055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14093" w:rsidRPr="002E326C" w:rsidRDefault="00814093" w:rsidP="00550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E32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14093" w:rsidRPr="00814093" w:rsidRDefault="00814093" w:rsidP="00841310">
      <w:p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814093">
        <w:rPr>
          <w:rFonts w:ascii="Times New Roman" w:eastAsia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87736F" w:rsidRPr="002E326C" w:rsidRDefault="00814093" w:rsidP="002E326C">
      <w:p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814093"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>Poznámka:</w:t>
      </w:r>
      <w:r w:rsidRPr="00814093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 xml:space="preserve"> </w:t>
      </w:r>
      <w:r w:rsidRPr="00814093">
        <w:rPr>
          <w:rFonts w:ascii="Times New Roman" w:eastAsia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14093" w:rsidRPr="0087736F" w:rsidRDefault="00814093" w:rsidP="007D4B49">
      <w:pPr>
        <w:keepNext/>
        <w:spacing w:after="0"/>
        <w:jc w:val="both"/>
        <w:rPr>
          <w:bCs/>
          <w:sz w:val="24"/>
          <w:szCs w:val="20"/>
        </w:rPr>
      </w:pPr>
      <w:r w:rsidRPr="0087736F">
        <w:rPr>
          <w:rFonts w:ascii="Times New Roman" w:eastAsia="Times New Roman" w:hAnsi="Times New Roman"/>
          <w:bCs/>
          <w:sz w:val="24"/>
          <w:szCs w:val="20"/>
          <w:lang w:eastAsia="sk-SK"/>
        </w:rPr>
        <w:lastRenderedPageBreak/>
        <w:t>Tabuľka č. 6</w:t>
      </w:r>
    </w:p>
    <w:tbl>
      <w:tblPr>
        <w:tblW w:w="921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9"/>
        <w:gridCol w:w="654"/>
        <w:gridCol w:w="682"/>
        <w:gridCol w:w="701"/>
        <w:gridCol w:w="769"/>
        <w:gridCol w:w="1207"/>
      </w:tblGrid>
      <w:tr w:rsidR="00814093" w:rsidRPr="00814093" w:rsidTr="0087736F">
        <w:trPr>
          <w:trHeight w:val="195"/>
        </w:trPr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14093" w:rsidRPr="00814093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140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814093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140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14093" w:rsidRPr="00814093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140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14093" w:rsidRPr="00814093" w:rsidTr="0087736F">
        <w:trPr>
          <w:trHeight w:val="195"/>
        </w:trPr>
        <w:tc>
          <w:tcPr>
            <w:tcW w:w="5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14093" w:rsidRPr="00814093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814093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140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814093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140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814093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140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814093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140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33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14093" w:rsidRPr="00814093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14093" w:rsidRPr="00814093" w:rsidTr="0087736F">
        <w:trPr>
          <w:trHeight w:val="195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814093" w:rsidRPr="00814093" w:rsidTr="0087736F">
        <w:trPr>
          <w:trHeight w:val="19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814093" w:rsidRPr="00814093" w:rsidTr="0087736F">
        <w:trPr>
          <w:trHeight w:val="19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Priemerný mzdový výdavok (v eurách)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814093" w:rsidRPr="00814093" w:rsidTr="0087736F">
        <w:trPr>
          <w:trHeight w:val="195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814093" w:rsidRPr="00814093" w:rsidTr="0087736F">
        <w:trPr>
          <w:trHeight w:val="195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Osobné výdavky celkom (v eurách)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814093" w:rsidRPr="00814093" w:rsidTr="0087736F">
        <w:trPr>
          <w:trHeight w:val="195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Mzdy, platy, služobné príjmy a ostatné osobné vyrovnania (610)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814093" w:rsidRPr="00814093" w:rsidTr="0087736F">
        <w:trPr>
          <w:trHeight w:val="195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814093" w:rsidRPr="00814093" w:rsidTr="0087736F">
        <w:trPr>
          <w:trHeight w:val="195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Poistné a príspevok do poisťovní (620)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814093" w:rsidRPr="00814093" w:rsidTr="0087736F">
        <w:trPr>
          <w:trHeight w:val="195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093" w:rsidRPr="00D01068" w:rsidRDefault="00814093" w:rsidP="0081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93" w:rsidRPr="00D01068" w:rsidRDefault="00814093" w:rsidP="008140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0106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:rsidR="00CB3623" w:rsidRDefault="00CB3623" w:rsidP="007D4B49">
      <w:pPr>
        <w:tabs>
          <w:tab w:val="num" w:pos="1080"/>
        </w:tabs>
        <w:spacing w:after="120" w:line="240" w:lineRule="auto"/>
        <w:jc w:val="both"/>
      </w:pPr>
    </w:p>
    <w:sectPr w:rsidR="00CB3623" w:rsidSect="002E32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7C" w:rsidRDefault="0033527C">
      <w:pPr>
        <w:spacing w:after="0" w:line="240" w:lineRule="auto"/>
      </w:pPr>
      <w:r>
        <w:separator/>
      </w:r>
    </w:p>
  </w:endnote>
  <w:endnote w:type="continuationSeparator" w:id="0">
    <w:p w:rsidR="0033527C" w:rsidRDefault="0033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4B3EB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D407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D407F">
      <w:rPr>
        <w:rStyle w:val="slostrany"/>
        <w:noProof/>
      </w:rPr>
      <w:t>10</w:t>
    </w:r>
    <w:r>
      <w:rPr>
        <w:rStyle w:val="slostrany"/>
      </w:rPr>
      <w:fldChar w:fldCharType="end"/>
    </w:r>
  </w:p>
  <w:p w:rsidR="00CD407F" w:rsidRDefault="00CD40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262519"/>
      <w:docPartObj>
        <w:docPartGallery w:val="Page Numbers (Bottom of Page)"/>
        <w:docPartUnique/>
      </w:docPartObj>
    </w:sdtPr>
    <w:sdtEndPr/>
    <w:sdtContent>
      <w:p w:rsidR="00D271FE" w:rsidRDefault="00D271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E31">
          <w:rPr>
            <w:noProof/>
          </w:rPr>
          <w:t>1</w:t>
        </w:r>
        <w:r>
          <w:fldChar w:fldCharType="end"/>
        </w:r>
      </w:p>
    </w:sdtContent>
  </w:sdt>
  <w:p w:rsidR="00CD407F" w:rsidRDefault="00CD407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4B3EB0">
    <w:pPr>
      <w:pStyle w:val="Pta"/>
      <w:jc w:val="right"/>
    </w:pPr>
    <w:r>
      <w:fldChar w:fldCharType="begin"/>
    </w:r>
    <w:r w:rsidR="00CD407F">
      <w:instrText>PAGE   \* MERGEFORMAT</w:instrText>
    </w:r>
    <w:r>
      <w:fldChar w:fldCharType="separate"/>
    </w:r>
    <w:r w:rsidR="00CD407F">
      <w:rPr>
        <w:noProof/>
      </w:rPr>
      <w:t>0</w:t>
    </w:r>
    <w:r>
      <w:fldChar w:fldCharType="end"/>
    </w:r>
  </w:p>
  <w:p w:rsidR="00CD407F" w:rsidRDefault="00CD40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7C" w:rsidRDefault="0033527C">
      <w:pPr>
        <w:spacing w:after="0" w:line="240" w:lineRule="auto"/>
      </w:pPr>
      <w:r>
        <w:separator/>
      </w:r>
    </w:p>
  </w:footnote>
  <w:footnote w:type="continuationSeparator" w:id="0">
    <w:p w:rsidR="0033527C" w:rsidRDefault="0033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CD407F" w:rsidRPr="00EB59C8" w:rsidRDefault="00CD407F" w:rsidP="007719C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Pr="0024067A" w:rsidRDefault="00CD407F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Pr="000A15AE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3F3E"/>
    <w:rsid w:val="0002243A"/>
    <w:rsid w:val="00035350"/>
    <w:rsid w:val="00035EB6"/>
    <w:rsid w:val="00057135"/>
    <w:rsid w:val="000811FA"/>
    <w:rsid w:val="00092146"/>
    <w:rsid w:val="000A46C8"/>
    <w:rsid w:val="000B2F4F"/>
    <w:rsid w:val="000B3281"/>
    <w:rsid w:val="000D7B7C"/>
    <w:rsid w:val="000F5534"/>
    <w:rsid w:val="000F76BA"/>
    <w:rsid w:val="001127A8"/>
    <w:rsid w:val="001247BB"/>
    <w:rsid w:val="00132FF1"/>
    <w:rsid w:val="00140022"/>
    <w:rsid w:val="00166412"/>
    <w:rsid w:val="00170D2B"/>
    <w:rsid w:val="00171679"/>
    <w:rsid w:val="001E36BC"/>
    <w:rsid w:val="001F5DB3"/>
    <w:rsid w:val="00200898"/>
    <w:rsid w:val="00212894"/>
    <w:rsid w:val="002518BB"/>
    <w:rsid w:val="002932AC"/>
    <w:rsid w:val="002A14FF"/>
    <w:rsid w:val="002B5C08"/>
    <w:rsid w:val="002E326C"/>
    <w:rsid w:val="002F715A"/>
    <w:rsid w:val="00317B90"/>
    <w:rsid w:val="0033527C"/>
    <w:rsid w:val="00335974"/>
    <w:rsid w:val="0034417A"/>
    <w:rsid w:val="00350240"/>
    <w:rsid w:val="00357988"/>
    <w:rsid w:val="00367051"/>
    <w:rsid w:val="0036766D"/>
    <w:rsid w:val="0037485A"/>
    <w:rsid w:val="00390FDB"/>
    <w:rsid w:val="00391C2B"/>
    <w:rsid w:val="003A01D9"/>
    <w:rsid w:val="003A2247"/>
    <w:rsid w:val="003C4F41"/>
    <w:rsid w:val="003C76CD"/>
    <w:rsid w:val="003D0513"/>
    <w:rsid w:val="003D253F"/>
    <w:rsid w:val="00421326"/>
    <w:rsid w:val="00430DDA"/>
    <w:rsid w:val="004740C6"/>
    <w:rsid w:val="00484341"/>
    <w:rsid w:val="00487203"/>
    <w:rsid w:val="004B3EB0"/>
    <w:rsid w:val="004B479F"/>
    <w:rsid w:val="004C0FAD"/>
    <w:rsid w:val="004C27D7"/>
    <w:rsid w:val="004D0948"/>
    <w:rsid w:val="005005EC"/>
    <w:rsid w:val="00502B65"/>
    <w:rsid w:val="0050465C"/>
    <w:rsid w:val="005138F2"/>
    <w:rsid w:val="00550144"/>
    <w:rsid w:val="005705F3"/>
    <w:rsid w:val="005B053F"/>
    <w:rsid w:val="005C68EE"/>
    <w:rsid w:val="0063671B"/>
    <w:rsid w:val="00642987"/>
    <w:rsid w:val="00647E31"/>
    <w:rsid w:val="006501F2"/>
    <w:rsid w:val="00660F26"/>
    <w:rsid w:val="0067371E"/>
    <w:rsid w:val="00693348"/>
    <w:rsid w:val="006D57EC"/>
    <w:rsid w:val="006F3962"/>
    <w:rsid w:val="00722900"/>
    <w:rsid w:val="00723AA3"/>
    <w:rsid w:val="007246BD"/>
    <w:rsid w:val="00743FFB"/>
    <w:rsid w:val="00770D36"/>
    <w:rsid w:val="007719C9"/>
    <w:rsid w:val="00793100"/>
    <w:rsid w:val="007D4B49"/>
    <w:rsid w:val="007D5748"/>
    <w:rsid w:val="00803C5A"/>
    <w:rsid w:val="00814093"/>
    <w:rsid w:val="0082033E"/>
    <w:rsid w:val="00841310"/>
    <w:rsid w:val="00853A20"/>
    <w:rsid w:val="00857D1D"/>
    <w:rsid w:val="008718BD"/>
    <w:rsid w:val="00875B0B"/>
    <w:rsid w:val="0087736F"/>
    <w:rsid w:val="00877F9D"/>
    <w:rsid w:val="00881B1D"/>
    <w:rsid w:val="008830DC"/>
    <w:rsid w:val="00897DD7"/>
    <w:rsid w:val="008A2EEF"/>
    <w:rsid w:val="008B1A74"/>
    <w:rsid w:val="008B5F39"/>
    <w:rsid w:val="008D339D"/>
    <w:rsid w:val="008E0730"/>
    <w:rsid w:val="008E2736"/>
    <w:rsid w:val="008F09E8"/>
    <w:rsid w:val="00956B56"/>
    <w:rsid w:val="009706B7"/>
    <w:rsid w:val="009828A9"/>
    <w:rsid w:val="00A4772D"/>
    <w:rsid w:val="00A50679"/>
    <w:rsid w:val="00A57F89"/>
    <w:rsid w:val="00A71FC8"/>
    <w:rsid w:val="00A73C4C"/>
    <w:rsid w:val="00A7427C"/>
    <w:rsid w:val="00AA1896"/>
    <w:rsid w:val="00AD2EDB"/>
    <w:rsid w:val="00AD711E"/>
    <w:rsid w:val="00B33A96"/>
    <w:rsid w:val="00B5535C"/>
    <w:rsid w:val="00B66549"/>
    <w:rsid w:val="00B80F72"/>
    <w:rsid w:val="00B8490E"/>
    <w:rsid w:val="00B932CF"/>
    <w:rsid w:val="00BA76A8"/>
    <w:rsid w:val="00BB4B0E"/>
    <w:rsid w:val="00BD7A81"/>
    <w:rsid w:val="00BF675A"/>
    <w:rsid w:val="00C10C77"/>
    <w:rsid w:val="00C13899"/>
    <w:rsid w:val="00C14CBA"/>
    <w:rsid w:val="00C15212"/>
    <w:rsid w:val="00C1568E"/>
    <w:rsid w:val="00C32392"/>
    <w:rsid w:val="00C51FD4"/>
    <w:rsid w:val="00C54CEA"/>
    <w:rsid w:val="00C61706"/>
    <w:rsid w:val="00CA03F8"/>
    <w:rsid w:val="00CA093B"/>
    <w:rsid w:val="00CA4322"/>
    <w:rsid w:val="00CA4695"/>
    <w:rsid w:val="00CA49FC"/>
    <w:rsid w:val="00CB00C6"/>
    <w:rsid w:val="00CB3623"/>
    <w:rsid w:val="00CD407F"/>
    <w:rsid w:val="00CE299A"/>
    <w:rsid w:val="00CF4C88"/>
    <w:rsid w:val="00D01068"/>
    <w:rsid w:val="00D13C0E"/>
    <w:rsid w:val="00D1491D"/>
    <w:rsid w:val="00D14D0D"/>
    <w:rsid w:val="00D22D66"/>
    <w:rsid w:val="00D271FE"/>
    <w:rsid w:val="00D53670"/>
    <w:rsid w:val="00D82BCF"/>
    <w:rsid w:val="00DB4611"/>
    <w:rsid w:val="00DE5BF1"/>
    <w:rsid w:val="00DF696A"/>
    <w:rsid w:val="00E07CE9"/>
    <w:rsid w:val="00E41982"/>
    <w:rsid w:val="00E632FD"/>
    <w:rsid w:val="00E63BD8"/>
    <w:rsid w:val="00E84681"/>
    <w:rsid w:val="00E963A3"/>
    <w:rsid w:val="00E97594"/>
    <w:rsid w:val="00EA0D7E"/>
    <w:rsid w:val="00EA1E90"/>
    <w:rsid w:val="00EB333E"/>
    <w:rsid w:val="00EC5E93"/>
    <w:rsid w:val="00EC6D2E"/>
    <w:rsid w:val="00ED5189"/>
    <w:rsid w:val="00EE6F05"/>
    <w:rsid w:val="00F225D1"/>
    <w:rsid w:val="00F35D6C"/>
    <w:rsid w:val="00F40136"/>
    <w:rsid w:val="00F45F8A"/>
    <w:rsid w:val="00F652E7"/>
    <w:rsid w:val="00F74CD2"/>
    <w:rsid w:val="00F9589A"/>
    <w:rsid w:val="00F95CB6"/>
    <w:rsid w:val="00FB48D1"/>
    <w:rsid w:val="00FD3AEE"/>
    <w:rsid w:val="00FE23E4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B6CDB-67B8-4A2A-BE08-F6243303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90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4B47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7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B47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7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B479F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A46C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0A46C8"/>
    <w:rPr>
      <w:rFonts w:ascii="Calibri" w:eastAsia="Calibri" w:hAnsi="Calibri" w:cs="Times New Roman"/>
    </w:rPr>
  </w:style>
  <w:style w:type="paragraph" w:styleId="Popis">
    <w:name w:val="caption"/>
    <w:basedOn w:val="Normlny"/>
    <w:next w:val="Normlny"/>
    <w:uiPriority w:val="35"/>
    <w:unhideWhenUsed/>
    <w:qFormat/>
    <w:rsid w:val="00335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vplyvy-rozpocet-verejnej-spravy"/>
    <f:field ref="objsubject" par="" edit="true" text=""/>
    <f:field ref="objcreatedby" par="" text="Kozlíková, Barbora, Mgr."/>
    <f:field ref="objcreatedat" par="" text="31.7.2017 12:50:08"/>
    <f:field ref="objchangedby" par="" text="Administrator, System"/>
    <f:field ref="objmodifiedat" par="" text="31.7.2017 12:50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CD2FB-DA5C-473E-90A9-6CC1A1BFC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41242AD-696B-438C-9D21-E6FA7A7F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Lojková Silvia</cp:lastModifiedBy>
  <cp:revision>2</cp:revision>
  <cp:lastPrinted>2020-06-25T12:37:00Z</cp:lastPrinted>
  <dcterms:created xsi:type="dcterms:W3CDTF">2020-08-13T08:38:00Z</dcterms:created>
  <dcterms:modified xsi:type="dcterms:W3CDTF">2020-08-13T08:38:00Z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Bradlo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Bradlo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7149/2017-9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LP/2017/573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17. 7. 2017</vt:lpwstr>
  </property>
  <property fmtid="{D5CDD505-2E9C-101B-9397-08002B2CF9AE}" pid="59" name="FSC#SKEDITIONSLOVLEX@103.510:AttrDateDocPropUkonceniePKK">
    <vt:lpwstr>19. 7. 2017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66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6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50" name="FSC#SKEDITIONSLOVLEX@103.510:vytvorenedna">
    <vt:lpwstr>31. 7. 2017</vt:lpwstr>
  </property>
  <property fmtid="{D5CDD505-2E9C-101B-9397-08002B2CF9AE}" pid="151" name="FSC#COOSYSTEM@1.1:Container">
    <vt:lpwstr>COO.2145.1000.3.2102898</vt:lpwstr>
  </property>
  <property fmtid="{D5CDD505-2E9C-101B-9397-08002B2CF9AE}" pid="152" name="FSC#FSCFOLIO@1.1001:docpropproject">
    <vt:lpwstr/>
  </property>
</Properties>
</file>