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1B" w:rsidRPr="00F9528E" w:rsidRDefault="00F1081B" w:rsidP="00F1081B">
      <w:pPr>
        <w:widowControl/>
        <w:jc w:val="center"/>
        <w:rPr>
          <w:b/>
          <w:caps/>
          <w:color w:val="000000"/>
          <w:spacing w:val="30"/>
        </w:rPr>
      </w:pPr>
      <w:r>
        <w:rPr>
          <w:b/>
          <w:caps/>
          <w:color w:val="000000"/>
          <w:spacing w:val="30"/>
        </w:rPr>
        <w:t xml:space="preserve">SPrÁva o Účasti verejnosti na Tvorbe právnych Predpisov </w:t>
      </w:r>
    </w:p>
    <w:p w:rsidR="00F1081B" w:rsidRPr="00F9528E" w:rsidRDefault="00F1081B" w:rsidP="00F1081B">
      <w:pPr>
        <w:widowControl/>
        <w:jc w:val="both"/>
        <w:rPr>
          <w:color w:val="000000"/>
        </w:rPr>
      </w:pPr>
    </w:p>
    <w:p w:rsidR="00F1081B" w:rsidRDefault="00F1081B" w:rsidP="00F1081B">
      <w:pPr>
        <w:widowControl/>
        <w:jc w:val="center"/>
        <w:rPr>
          <w:color w:val="000000"/>
          <w:lang w:val="en-US"/>
        </w:rPr>
      </w:pPr>
    </w:p>
    <w:p w:rsidR="00D64699" w:rsidRDefault="00F1081B" w:rsidP="00F1081B">
      <w:pPr>
        <w:jc w:val="both"/>
      </w:pPr>
      <w:r w:rsidRPr="00427F13">
        <w:t xml:space="preserve">Verejnosť bola o príprave </w:t>
      </w:r>
      <w:r w:rsidR="005A716B" w:rsidRPr="00C90A00">
        <w:t>návrh</w:t>
      </w:r>
      <w:r w:rsidR="005A716B">
        <w:t>u</w:t>
      </w:r>
      <w:r w:rsidR="005A716B" w:rsidRPr="00C90A00">
        <w:t xml:space="preserve"> nariadenia vlády Slovenskej republiky, </w:t>
      </w:r>
      <w:r w:rsidR="005A716B" w:rsidRPr="00DA5584">
        <w:t>ktorým sa dopĺňa</w:t>
      </w:r>
      <w:r w:rsidR="00EC6F38">
        <w:t xml:space="preserve"> </w:t>
      </w:r>
      <w:r w:rsidR="005A716B" w:rsidRPr="00DA5584">
        <w:t>nariadenie vlády Slovenskej republiky č. 140/2009 Z. z., ktorým sa ustanovujú</w:t>
      </w:r>
      <w:r w:rsidR="005A716B" w:rsidRPr="00C90A00">
        <w:t xml:space="preserve"> podrobnosti o</w:t>
      </w:r>
      <w:r w:rsidR="00053127">
        <w:t> </w:t>
      </w:r>
      <w:r w:rsidR="005A716B" w:rsidRPr="00C90A00">
        <w:t>typovom</w:t>
      </w:r>
      <w:r w:rsidR="00053127">
        <w:t xml:space="preserve"> </w:t>
      </w:r>
      <w:r w:rsidR="005A716B" w:rsidRPr="00C90A00">
        <w:t>schvaľovaní motorových vozidiel a ich prípojných vozidiel, systémov, komponentov a samostatných technických jednotiek určených pre tieto vozidlá v znení neskorších predpisov</w:t>
      </w:r>
      <w:r w:rsidR="005A716B">
        <w:t xml:space="preserve"> </w:t>
      </w:r>
      <w:r w:rsidRPr="00427F13">
        <w:t xml:space="preserve">informovaná prostredníctvom predbežnej informácie </w:t>
      </w:r>
      <w:r>
        <w:t>z</w:t>
      </w:r>
      <w:r w:rsidRPr="00427F13">
        <w:t>verejnenej v</w:t>
      </w:r>
      <w:r w:rsidR="00C56AE6">
        <w:t> </w:t>
      </w:r>
      <w:r w:rsidRPr="006C1996">
        <w:t>informačnom</w:t>
      </w:r>
      <w:r w:rsidR="00C56AE6">
        <w:t xml:space="preserve"> </w:t>
      </w:r>
      <w:r w:rsidRPr="006C1996">
        <w:t xml:space="preserve">systéme </w:t>
      </w:r>
      <w:r w:rsidRPr="001B223D">
        <w:t>verejnej správy Slov-Lex (</w:t>
      </w:r>
      <w:r w:rsidRPr="003A7B0D">
        <w:t>PI/20</w:t>
      </w:r>
      <w:r w:rsidR="00274326" w:rsidRPr="003A7B0D">
        <w:t>20</w:t>
      </w:r>
      <w:r w:rsidRPr="003A7B0D">
        <w:t>/</w:t>
      </w:r>
      <w:r w:rsidR="003A7B0D" w:rsidRPr="003A7B0D">
        <w:t>57</w:t>
      </w:r>
      <w:r w:rsidRPr="003A7B0D">
        <w:t xml:space="preserve">) od </w:t>
      </w:r>
      <w:r w:rsidR="003A7B0D" w:rsidRPr="003A7B0D">
        <w:t>14 apríla</w:t>
      </w:r>
      <w:r w:rsidRPr="003A7B0D">
        <w:t xml:space="preserve"> 20</w:t>
      </w:r>
      <w:r w:rsidR="00274326" w:rsidRPr="003A7B0D">
        <w:t>20</w:t>
      </w:r>
      <w:r w:rsidRPr="003A7B0D">
        <w:t xml:space="preserve"> do</w:t>
      </w:r>
      <w:r w:rsidR="00121097" w:rsidRPr="003A7B0D">
        <w:t> </w:t>
      </w:r>
      <w:r w:rsidR="003A7B0D" w:rsidRPr="003A7B0D">
        <w:t>27 apríla</w:t>
      </w:r>
      <w:r w:rsidRPr="003A7B0D">
        <w:t xml:space="preserve"> 20</w:t>
      </w:r>
      <w:r w:rsidR="00274326" w:rsidRPr="003A7B0D">
        <w:t>20</w:t>
      </w:r>
      <w:r w:rsidRPr="001B223D">
        <w:t xml:space="preserve">. </w:t>
      </w:r>
    </w:p>
    <w:p w:rsidR="00D64699" w:rsidRDefault="00D64699" w:rsidP="00D64699">
      <w:pPr>
        <w:jc w:val="both"/>
      </w:pPr>
    </w:p>
    <w:p w:rsidR="00D64699" w:rsidRDefault="00D64699" w:rsidP="00D64699">
      <w:pPr>
        <w:jc w:val="both"/>
      </w:pPr>
      <w:r w:rsidRPr="006C1996">
        <w:t>K</w:t>
      </w:r>
      <w:r>
        <w:t> </w:t>
      </w:r>
      <w:r w:rsidRPr="006C1996">
        <w:t>predbežnej informácii o</w:t>
      </w:r>
      <w:r>
        <w:t> </w:t>
      </w:r>
      <w:r w:rsidRPr="006C1996">
        <w:t>predmetnom</w:t>
      </w:r>
      <w:r>
        <w:t xml:space="preserve"> návrhu vyhlášky verejnosť </w:t>
      </w:r>
      <w:r w:rsidRPr="006C1996">
        <w:t xml:space="preserve">vzniesla </w:t>
      </w:r>
      <w:r>
        <w:t>tri (rovnaké) vyjadrenia</w:t>
      </w:r>
      <w:r w:rsidRPr="006C1996">
        <w:t>.</w:t>
      </w:r>
    </w:p>
    <w:p w:rsidR="00D64699" w:rsidRDefault="00D64699" w:rsidP="00D64699">
      <w:pPr>
        <w:jc w:val="both"/>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5"/>
        <w:gridCol w:w="3523"/>
        <w:gridCol w:w="503"/>
        <w:gridCol w:w="3385"/>
      </w:tblGrid>
      <w:tr w:rsidR="00D64699" w:rsidRPr="00B87384" w:rsidTr="0015409A">
        <w:trPr>
          <w:jc w:val="center"/>
        </w:trPr>
        <w:tc>
          <w:tcPr>
            <w:tcW w:w="1048" w:type="pct"/>
            <w:tcBorders>
              <w:top w:val="outset" w:sz="6" w:space="0" w:color="000000"/>
              <w:left w:val="outset" w:sz="6" w:space="0" w:color="000000"/>
              <w:bottom w:val="outset" w:sz="6" w:space="0" w:color="000000"/>
              <w:right w:val="outset" w:sz="6" w:space="0" w:color="000000"/>
            </w:tcBorders>
            <w:vAlign w:val="center"/>
            <w:hideMark/>
          </w:tcPr>
          <w:p w:rsidR="00D64699" w:rsidRPr="00B87384" w:rsidRDefault="00D64699" w:rsidP="00204B84">
            <w:pPr>
              <w:jc w:val="center"/>
              <w:rPr>
                <w:b/>
                <w:bCs/>
              </w:rPr>
            </w:pPr>
            <w:r w:rsidRPr="00B87384">
              <w:rPr>
                <w:b/>
                <w:bCs/>
              </w:rPr>
              <w:t>Subjekt</w:t>
            </w:r>
          </w:p>
        </w:tc>
        <w:tc>
          <w:tcPr>
            <w:tcW w:w="1879" w:type="pct"/>
            <w:tcBorders>
              <w:top w:val="outset" w:sz="6" w:space="0" w:color="000000"/>
              <w:left w:val="outset" w:sz="6" w:space="0" w:color="000000"/>
              <w:bottom w:val="outset" w:sz="6" w:space="0" w:color="000000"/>
              <w:right w:val="outset" w:sz="6" w:space="0" w:color="000000"/>
            </w:tcBorders>
            <w:vAlign w:val="center"/>
            <w:hideMark/>
          </w:tcPr>
          <w:p w:rsidR="00D64699" w:rsidRPr="00B87384" w:rsidRDefault="00D64699" w:rsidP="00204B84">
            <w:pPr>
              <w:jc w:val="center"/>
              <w:rPr>
                <w:b/>
                <w:bCs/>
              </w:rPr>
            </w:pPr>
            <w:r w:rsidRPr="00B87384">
              <w:rPr>
                <w:b/>
                <w:bCs/>
              </w:rPr>
              <w:t>Vyjadrenia</w:t>
            </w:r>
          </w:p>
        </w:tc>
        <w:tc>
          <w:tcPr>
            <w:tcW w:w="268" w:type="pct"/>
            <w:tcBorders>
              <w:top w:val="outset" w:sz="6" w:space="0" w:color="000000"/>
              <w:left w:val="outset" w:sz="6" w:space="0" w:color="000000"/>
              <w:bottom w:val="outset" w:sz="6" w:space="0" w:color="000000"/>
              <w:right w:val="outset" w:sz="6" w:space="0" w:color="000000"/>
            </w:tcBorders>
          </w:tcPr>
          <w:p w:rsidR="00D64699" w:rsidRPr="00B87384" w:rsidRDefault="00D64699" w:rsidP="00204B84">
            <w:pPr>
              <w:jc w:val="center"/>
              <w:rPr>
                <w:b/>
                <w:bCs/>
              </w:rPr>
            </w:pPr>
            <w:r w:rsidRPr="00B87384">
              <w:rPr>
                <w:b/>
                <w:bCs/>
              </w:rPr>
              <w:t>Vyh.</w:t>
            </w:r>
          </w:p>
        </w:tc>
        <w:tc>
          <w:tcPr>
            <w:tcW w:w="1806" w:type="pct"/>
            <w:tcBorders>
              <w:top w:val="outset" w:sz="6" w:space="0" w:color="000000"/>
              <w:left w:val="outset" w:sz="6" w:space="0" w:color="000000"/>
              <w:bottom w:val="outset" w:sz="6" w:space="0" w:color="000000"/>
              <w:right w:val="outset" w:sz="6" w:space="0" w:color="000000"/>
            </w:tcBorders>
          </w:tcPr>
          <w:p w:rsidR="00D64699" w:rsidRPr="00B87384" w:rsidRDefault="00D64699" w:rsidP="00204B84">
            <w:pPr>
              <w:jc w:val="center"/>
              <w:rPr>
                <w:b/>
                <w:bCs/>
              </w:rPr>
            </w:pPr>
            <w:r w:rsidRPr="00B87384">
              <w:rPr>
                <w:b/>
                <w:bCs/>
              </w:rPr>
              <w:t>Spôsob vyhodnotenia</w:t>
            </w:r>
          </w:p>
        </w:tc>
      </w:tr>
      <w:tr w:rsidR="0015409A" w:rsidRPr="00B87384" w:rsidTr="0015409A">
        <w:trPr>
          <w:jc w:val="center"/>
        </w:trPr>
        <w:tc>
          <w:tcPr>
            <w:tcW w:w="1048" w:type="pct"/>
            <w:tcBorders>
              <w:top w:val="outset" w:sz="6" w:space="0" w:color="000000"/>
              <w:left w:val="outset" w:sz="6" w:space="0" w:color="000000"/>
              <w:bottom w:val="outset" w:sz="6" w:space="0" w:color="000000"/>
              <w:right w:val="outset" w:sz="6" w:space="0" w:color="000000"/>
            </w:tcBorders>
            <w:hideMark/>
          </w:tcPr>
          <w:p w:rsidR="0015409A" w:rsidRPr="00B87384" w:rsidRDefault="0015409A" w:rsidP="00204B84">
            <w:pPr>
              <w:jc w:val="center"/>
              <w:rPr>
                <w:b/>
                <w:bCs/>
              </w:rPr>
            </w:pPr>
            <w:r w:rsidRPr="00D64699">
              <w:rPr>
                <w:b/>
                <w:bCs/>
              </w:rPr>
              <w:t xml:space="preserve">AZZZ SR </w:t>
            </w:r>
            <w:r w:rsidRPr="00D64699">
              <w:rPr>
                <w:bCs/>
              </w:rPr>
              <w:t>(Asociácia zamestnávateľských zväzov a združení Slovenskej republiky)</w:t>
            </w:r>
          </w:p>
        </w:tc>
        <w:tc>
          <w:tcPr>
            <w:tcW w:w="1879" w:type="pct"/>
            <w:tcBorders>
              <w:top w:val="outset" w:sz="6" w:space="0" w:color="000000"/>
              <w:left w:val="outset" w:sz="6" w:space="0" w:color="000000"/>
              <w:bottom w:val="outset" w:sz="6" w:space="0" w:color="000000"/>
              <w:right w:val="outset" w:sz="6" w:space="0" w:color="000000"/>
            </w:tcBorders>
            <w:hideMark/>
          </w:tcPr>
          <w:p w:rsidR="0015409A" w:rsidRPr="00B87384" w:rsidRDefault="0015409A" w:rsidP="00D64699">
            <w:r w:rsidRPr="00D64699">
              <w:t>Navrhujeme zapracovať do dokumentu nasledovné: Navrhujeme nastaviť systém doplnkových zariadení k vozidlu, ktoré využíva osoba s obmedzenou mobilitou tak, aby boli schvaľované navijáky, lyžiny a plošinky k nájazdu elektrickým a mechanickych kompenzačných zariadeniam do vozidiel s osobami so zdravotným postihnutím podľa ich potrieb. Ide o to, že zariadenie musí splňovať technické podmienky z hľadiska rozmerov, nosnosti, bezpečnosti a prípadne aj pravideľnej technickej prehliadky s</w:t>
            </w:r>
            <w:r>
              <w:t> </w:t>
            </w:r>
            <w:r w:rsidRPr="00D64699">
              <w:t>tým, že jej výber je výhradne na zvážení osoby využívajúce toto zariadenie. Samozrejme, je jedno, či</w:t>
            </w:r>
            <w:r>
              <w:t> </w:t>
            </w:r>
            <w:r w:rsidRPr="00D64699">
              <w:t xml:space="preserve"> a jedná o zariadenie prenosné z</w:t>
            </w:r>
            <w:r>
              <w:t> </w:t>
            </w:r>
            <w:r w:rsidRPr="00D64699">
              <w:t>vozidla do vozidla, alebo zariadenie inštalované do</w:t>
            </w:r>
            <w:r>
              <w:t> </w:t>
            </w:r>
            <w:r w:rsidRPr="00D64699">
              <w:t>konkrétneho vozidla, ktorého sa</w:t>
            </w:r>
            <w:r>
              <w:t> </w:t>
            </w:r>
            <w:r w:rsidRPr="00D64699">
              <w:t>stane súčasťou.</w:t>
            </w:r>
          </w:p>
        </w:tc>
        <w:tc>
          <w:tcPr>
            <w:tcW w:w="268" w:type="pct"/>
            <w:tcBorders>
              <w:top w:val="outset" w:sz="6" w:space="0" w:color="000000"/>
              <w:left w:val="outset" w:sz="6" w:space="0" w:color="000000"/>
              <w:bottom w:val="outset" w:sz="6" w:space="0" w:color="000000"/>
              <w:right w:val="outset" w:sz="6" w:space="0" w:color="000000"/>
            </w:tcBorders>
            <w:vAlign w:val="center"/>
          </w:tcPr>
          <w:p w:rsidR="0015409A" w:rsidRPr="00D64699" w:rsidRDefault="0015409A" w:rsidP="00204B84">
            <w:pPr>
              <w:jc w:val="center"/>
            </w:pPr>
            <w:r w:rsidRPr="00D64699">
              <w:t>N</w:t>
            </w:r>
          </w:p>
        </w:tc>
        <w:tc>
          <w:tcPr>
            <w:tcW w:w="1806" w:type="pct"/>
            <w:vMerge w:val="restart"/>
            <w:tcBorders>
              <w:top w:val="outset" w:sz="6" w:space="0" w:color="000000"/>
              <w:left w:val="outset" w:sz="6" w:space="0" w:color="000000"/>
              <w:right w:val="outset" w:sz="6" w:space="0" w:color="000000"/>
            </w:tcBorders>
          </w:tcPr>
          <w:p w:rsidR="0015409A" w:rsidRDefault="0015409A" w:rsidP="00D64699">
            <w:r>
              <w:t>Všetky tri vyjadrenia sú zhodné, preto je ku všetkým trom vyjadreniam spracované jedno spoločné vyhodnotenie.</w:t>
            </w:r>
          </w:p>
          <w:p w:rsidR="0015409A" w:rsidRDefault="0015409A" w:rsidP="00D64699"/>
          <w:p w:rsidR="0015409A" w:rsidRDefault="0015409A" w:rsidP="00D64699">
            <w:r>
              <w:t>N</w:t>
            </w:r>
            <w:r w:rsidRPr="00DA5584">
              <w:t>ariadenie vlády Slovenskej republiky č. 140/2009 Z. z., ktorým sa ustanovujú</w:t>
            </w:r>
            <w:r w:rsidRPr="00C90A00">
              <w:t xml:space="preserve"> podrobnosti o</w:t>
            </w:r>
            <w:r>
              <w:t> </w:t>
            </w:r>
            <w:r w:rsidRPr="00C90A00">
              <w:t>typovom</w:t>
            </w:r>
            <w:r>
              <w:t xml:space="preserve"> </w:t>
            </w:r>
            <w:r w:rsidRPr="00C90A00">
              <w:t>schvaľovaní motorových vozidiel a ich prípojných vozidiel, systémov, komponentov a</w:t>
            </w:r>
            <w:r>
              <w:t> </w:t>
            </w:r>
            <w:r w:rsidRPr="00C90A00">
              <w:t>samostatných</w:t>
            </w:r>
            <w:r>
              <w:t xml:space="preserve"> </w:t>
            </w:r>
            <w:r w:rsidRPr="00C90A00">
              <w:t>technických jednotiek určených pre tieto vozidlá v znení neskorších predpisov</w:t>
            </w:r>
            <w:r>
              <w:t xml:space="preserve"> je aproximačným nariadením vlády </w:t>
            </w:r>
            <w:r w:rsidRPr="00DA5584">
              <w:t>Slovenskej republiky</w:t>
            </w:r>
            <w:r>
              <w:t xml:space="preserve">, ktorým je možné vykonať iba nevyhnutnú transpozíciu smernice </w:t>
            </w:r>
            <w:r w:rsidRPr="00C27D18">
              <w:t>Európskeho parlamentu a Rady 2007/46/ES z 5. septembra 2007, ktorou sa</w:t>
            </w:r>
            <w:r>
              <w:t> </w:t>
            </w:r>
            <w:r w:rsidRPr="00C27D18">
              <w:t>zriaďuje rámec pre typové schválenie motorových vozidiel a ich prípojných vozidiel, systémov, komponentov a samostatných technických jednotiek určených pre tieto vozidlá</w:t>
            </w:r>
            <w:r>
              <w:t xml:space="preserve">. Nie je možné do aproximačného nariadenia vlády Slovenskej republiky dopĺňať </w:t>
            </w:r>
            <w:r>
              <w:lastRenderedPageBreak/>
              <w:t>národné špecifikácie, ktoré smernica Európskej únie neobsahuje.</w:t>
            </w:r>
          </w:p>
          <w:p w:rsidR="0015409A" w:rsidRPr="00D64699" w:rsidRDefault="0015409A" w:rsidP="0015409A">
            <w:r>
              <w:t>To čo musí zariadenie na prepravu osoby so zdravotným postihnutím spĺňať (technické parametre ako rozmery, užitočná hmotnosť a ovládanie zariadenia), je na dohode výrobcu tohto zariadenia a samotnej osoby so zdravotným postihnutím, pre ktorú je toto zariadenie určené. MDV SR zastáva názor, že tieto technické parametre nemajú byť stanovené legislatívou, keďže takéto zariadenie sa musí prispôsobiť parametrom osoby, ktorá bude toto zariadenie používať.</w:t>
            </w:r>
          </w:p>
        </w:tc>
      </w:tr>
      <w:tr w:rsidR="0015409A" w:rsidRPr="00B87384" w:rsidTr="0015409A">
        <w:trPr>
          <w:jc w:val="center"/>
        </w:trPr>
        <w:tc>
          <w:tcPr>
            <w:tcW w:w="1048" w:type="pct"/>
            <w:tcBorders>
              <w:top w:val="outset" w:sz="6" w:space="0" w:color="000000"/>
              <w:left w:val="outset" w:sz="6" w:space="0" w:color="000000"/>
              <w:bottom w:val="outset" w:sz="6" w:space="0" w:color="000000"/>
              <w:right w:val="outset" w:sz="6" w:space="0" w:color="000000"/>
            </w:tcBorders>
          </w:tcPr>
          <w:p w:rsidR="0015409A" w:rsidRPr="00D64699" w:rsidRDefault="0015409A" w:rsidP="00204B84">
            <w:pPr>
              <w:jc w:val="center"/>
              <w:rPr>
                <w:b/>
                <w:bCs/>
              </w:rPr>
            </w:pPr>
            <w:r w:rsidRPr="00D64699">
              <w:rPr>
                <w:b/>
                <w:bCs/>
              </w:rPr>
              <w:t xml:space="preserve">AZZZ SR </w:t>
            </w:r>
            <w:r w:rsidRPr="00D64699">
              <w:rPr>
                <w:bCs/>
              </w:rPr>
              <w:t xml:space="preserve">(Asociácia </w:t>
            </w:r>
            <w:bookmarkStart w:id="0" w:name="_GoBack"/>
            <w:bookmarkEnd w:id="0"/>
            <w:r w:rsidRPr="00D64699">
              <w:rPr>
                <w:bCs/>
              </w:rPr>
              <w:t>zamestnávateľských zväzov a združení Slovenskej republiky)</w:t>
            </w:r>
          </w:p>
        </w:tc>
        <w:tc>
          <w:tcPr>
            <w:tcW w:w="1879" w:type="pct"/>
            <w:tcBorders>
              <w:top w:val="outset" w:sz="6" w:space="0" w:color="000000"/>
              <w:left w:val="outset" w:sz="6" w:space="0" w:color="000000"/>
              <w:bottom w:val="outset" w:sz="6" w:space="0" w:color="000000"/>
              <w:right w:val="outset" w:sz="6" w:space="0" w:color="000000"/>
            </w:tcBorders>
          </w:tcPr>
          <w:p w:rsidR="0015409A" w:rsidRPr="00D64699" w:rsidRDefault="0015409A" w:rsidP="00D64699">
            <w:r>
              <w:t xml:space="preserve">Navrhujeme zapracovať do dokumentu nasledovné: Navrhujeme nastaviť systém doplnkových zariadení k vozidlu, ktoré využíva osoba s obmedzenou mobilitou tak, aby boli schvaľované navijáky, lyžiny a plošinky k </w:t>
            </w:r>
            <w:r>
              <w:lastRenderedPageBreak/>
              <w:t>nájazdu elektrickým a mechanickych kompenzačných zariadeniam do vozidiel s osobami so zdravotným postihnutím podľa ich potrieb. Ide o to, že zariadenie musí splňovať technické podmienky z hľadiska rozmerov, nosnosti, bezpečnosti a prípadne aj pravideľnej technickej prehliadky s tým, že jej výber je výhradne na zvážení osoby využívajúce toto zariadenie. Samozrejme, je jedno, či a jedná o zariadenie prenosné z vozidla do vozidla, alebo zariadenie inštalované do konkrétneho vozidla, ktorého sa stane súčasťou.</w:t>
            </w:r>
          </w:p>
        </w:tc>
        <w:tc>
          <w:tcPr>
            <w:tcW w:w="268" w:type="pct"/>
            <w:tcBorders>
              <w:top w:val="outset" w:sz="6" w:space="0" w:color="000000"/>
              <w:left w:val="outset" w:sz="6" w:space="0" w:color="000000"/>
              <w:bottom w:val="outset" w:sz="6" w:space="0" w:color="000000"/>
              <w:right w:val="outset" w:sz="6" w:space="0" w:color="000000"/>
            </w:tcBorders>
            <w:vAlign w:val="center"/>
          </w:tcPr>
          <w:p w:rsidR="0015409A" w:rsidRDefault="0015409A" w:rsidP="00204B84">
            <w:pPr>
              <w:jc w:val="center"/>
            </w:pPr>
            <w:r>
              <w:lastRenderedPageBreak/>
              <w:t>N</w:t>
            </w:r>
          </w:p>
        </w:tc>
        <w:tc>
          <w:tcPr>
            <w:tcW w:w="1806" w:type="pct"/>
            <w:vMerge/>
            <w:tcBorders>
              <w:left w:val="outset" w:sz="6" w:space="0" w:color="000000"/>
              <w:right w:val="outset" w:sz="6" w:space="0" w:color="000000"/>
            </w:tcBorders>
          </w:tcPr>
          <w:p w:rsidR="0015409A" w:rsidRDefault="0015409A" w:rsidP="00204B84"/>
        </w:tc>
      </w:tr>
      <w:tr w:rsidR="0015409A" w:rsidRPr="00B87384" w:rsidTr="0015409A">
        <w:trPr>
          <w:jc w:val="center"/>
        </w:trPr>
        <w:tc>
          <w:tcPr>
            <w:tcW w:w="1048" w:type="pct"/>
            <w:tcBorders>
              <w:top w:val="outset" w:sz="6" w:space="0" w:color="000000"/>
              <w:left w:val="outset" w:sz="6" w:space="0" w:color="000000"/>
              <w:bottom w:val="outset" w:sz="6" w:space="0" w:color="000000"/>
              <w:right w:val="outset" w:sz="6" w:space="0" w:color="000000"/>
            </w:tcBorders>
          </w:tcPr>
          <w:p w:rsidR="0015409A" w:rsidRDefault="0015409A" w:rsidP="00204B84">
            <w:pPr>
              <w:jc w:val="center"/>
            </w:pPr>
            <w:r w:rsidRPr="00D64699">
              <w:rPr>
                <w:b/>
              </w:rPr>
              <w:t>OZ BB</w:t>
            </w:r>
            <w:r>
              <w:t xml:space="preserve"> </w:t>
            </w:r>
          </w:p>
          <w:p w:rsidR="0015409A" w:rsidRPr="00D64699" w:rsidRDefault="0015409A" w:rsidP="00204B84">
            <w:pPr>
              <w:jc w:val="center"/>
              <w:rPr>
                <w:b/>
                <w:bCs/>
              </w:rPr>
            </w:pPr>
            <w:r>
              <w:t>(OZ Bez bariéry - Národná platforma proti bariéram)</w:t>
            </w:r>
          </w:p>
        </w:tc>
        <w:tc>
          <w:tcPr>
            <w:tcW w:w="1879" w:type="pct"/>
            <w:tcBorders>
              <w:top w:val="outset" w:sz="6" w:space="0" w:color="000000"/>
              <w:left w:val="outset" w:sz="6" w:space="0" w:color="000000"/>
              <w:bottom w:val="outset" w:sz="6" w:space="0" w:color="000000"/>
              <w:right w:val="outset" w:sz="6" w:space="0" w:color="000000"/>
            </w:tcBorders>
          </w:tcPr>
          <w:p w:rsidR="0015409A" w:rsidRDefault="0015409A" w:rsidP="00D64699">
            <w:r>
              <w:t>Navrhujeme zapracovať do dokumentu nasledovné: Navrhujeme nastaviť systém doplnkových zariadení k vozidlu, ktoré využíva osoba s obmedzenou mobilitou tak, aby boli schvaľované navijáky, lyžiny a plošinky k nájazdu elektrickým a mechanickych kompenzačných zariadeniam do vozidiel s osobami so zdravotným postihnutím podľa ich potrieb. Ide o to, že zariadenie musí splňovať technické podmienky z hľadiska rozmerov, nosnosti, bezpečnosti a prípadne aj pravideľnej technickej prehliadky s tým, že jej výber je výhradne na zvážení osoby využívajúce toto zariadenie. Samozrejme, je jedno, či a jedná o zariadenie prenosné z vozidla do vozidla, alebo zariadenie inštalované do konkrétneho vozidla, ktorého sa stane súčasťou.</w:t>
            </w:r>
          </w:p>
        </w:tc>
        <w:tc>
          <w:tcPr>
            <w:tcW w:w="268" w:type="pct"/>
            <w:tcBorders>
              <w:top w:val="outset" w:sz="6" w:space="0" w:color="000000"/>
              <w:left w:val="outset" w:sz="6" w:space="0" w:color="000000"/>
              <w:bottom w:val="outset" w:sz="6" w:space="0" w:color="000000"/>
              <w:right w:val="outset" w:sz="6" w:space="0" w:color="000000"/>
            </w:tcBorders>
            <w:vAlign w:val="center"/>
          </w:tcPr>
          <w:p w:rsidR="0015409A" w:rsidRDefault="0015409A" w:rsidP="00204B84">
            <w:pPr>
              <w:jc w:val="center"/>
            </w:pPr>
            <w:r>
              <w:t>N</w:t>
            </w:r>
          </w:p>
        </w:tc>
        <w:tc>
          <w:tcPr>
            <w:tcW w:w="1806" w:type="pct"/>
            <w:vMerge/>
            <w:tcBorders>
              <w:left w:val="outset" w:sz="6" w:space="0" w:color="000000"/>
              <w:bottom w:val="outset" w:sz="6" w:space="0" w:color="000000"/>
              <w:right w:val="outset" w:sz="6" w:space="0" w:color="000000"/>
            </w:tcBorders>
          </w:tcPr>
          <w:p w:rsidR="0015409A" w:rsidRDefault="0015409A" w:rsidP="00204B84"/>
        </w:tc>
      </w:tr>
    </w:tbl>
    <w:p w:rsidR="00446A9F" w:rsidRDefault="00446A9F"/>
    <w:sectPr w:rsidR="00446A9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D0" w:rsidRDefault="009C36D0" w:rsidP="00E47F55">
      <w:r>
        <w:separator/>
      </w:r>
    </w:p>
  </w:endnote>
  <w:endnote w:type="continuationSeparator" w:id="0">
    <w:p w:rsidR="009C36D0" w:rsidRDefault="009C36D0" w:rsidP="00E4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8818"/>
      <w:docPartObj>
        <w:docPartGallery w:val="Page Numbers (Bottom of Page)"/>
        <w:docPartUnique/>
      </w:docPartObj>
    </w:sdtPr>
    <w:sdtEndPr>
      <w:rPr>
        <w:sz w:val="22"/>
        <w:szCs w:val="22"/>
      </w:rPr>
    </w:sdtEndPr>
    <w:sdtContent>
      <w:p w:rsidR="00E47F55" w:rsidRPr="00E47F55" w:rsidRDefault="00E47F55">
        <w:pPr>
          <w:pStyle w:val="Pta"/>
          <w:jc w:val="center"/>
          <w:rPr>
            <w:sz w:val="22"/>
            <w:szCs w:val="22"/>
          </w:rPr>
        </w:pPr>
        <w:r w:rsidRPr="00E47F55">
          <w:rPr>
            <w:sz w:val="22"/>
            <w:szCs w:val="22"/>
          </w:rPr>
          <w:fldChar w:fldCharType="begin"/>
        </w:r>
        <w:r w:rsidRPr="00E47F55">
          <w:rPr>
            <w:sz w:val="22"/>
            <w:szCs w:val="22"/>
          </w:rPr>
          <w:instrText>PAGE   \* MERGEFORMAT</w:instrText>
        </w:r>
        <w:r w:rsidRPr="00E47F55">
          <w:rPr>
            <w:sz w:val="22"/>
            <w:szCs w:val="22"/>
          </w:rPr>
          <w:fldChar w:fldCharType="separate"/>
        </w:r>
        <w:r>
          <w:rPr>
            <w:noProof/>
            <w:sz w:val="22"/>
            <w:szCs w:val="22"/>
          </w:rPr>
          <w:t>1</w:t>
        </w:r>
        <w:r w:rsidRPr="00E47F55">
          <w:rPr>
            <w:sz w:val="22"/>
            <w:szCs w:val="22"/>
          </w:rPr>
          <w:fldChar w:fldCharType="end"/>
        </w:r>
      </w:p>
    </w:sdtContent>
  </w:sdt>
  <w:p w:rsidR="00E47F55" w:rsidRDefault="00E47F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D0" w:rsidRDefault="009C36D0" w:rsidP="00E47F55">
      <w:r>
        <w:separator/>
      </w:r>
    </w:p>
  </w:footnote>
  <w:footnote w:type="continuationSeparator" w:id="0">
    <w:p w:rsidR="009C36D0" w:rsidRDefault="009C36D0" w:rsidP="00E47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B"/>
    <w:rsid w:val="00041339"/>
    <w:rsid w:val="00053127"/>
    <w:rsid w:val="00121097"/>
    <w:rsid w:val="0015409A"/>
    <w:rsid w:val="001B223D"/>
    <w:rsid w:val="001E20F6"/>
    <w:rsid w:val="00274326"/>
    <w:rsid w:val="003A7B0D"/>
    <w:rsid w:val="003C7973"/>
    <w:rsid w:val="00427F13"/>
    <w:rsid w:val="00446A9F"/>
    <w:rsid w:val="004B6033"/>
    <w:rsid w:val="005A716B"/>
    <w:rsid w:val="005F429E"/>
    <w:rsid w:val="00603E89"/>
    <w:rsid w:val="006C1996"/>
    <w:rsid w:val="00724A2B"/>
    <w:rsid w:val="007C6878"/>
    <w:rsid w:val="0080165F"/>
    <w:rsid w:val="009C36D0"/>
    <w:rsid w:val="00A73AA4"/>
    <w:rsid w:val="00A843BF"/>
    <w:rsid w:val="00B82873"/>
    <w:rsid w:val="00C56AE6"/>
    <w:rsid w:val="00C90A00"/>
    <w:rsid w:val="00D64699"/>
    <w:rsid w:val="00DA5584"/>
    <w:rsid w:val="00DC485D"/>
    <w:rsid w:val="00E47F55"/>
    <w:rsid w:val="00EC6F38"/>
    <w:rsid w:val="00F1081B"/>
    <w:rsid w:val="00F6468E"/>
    <w:rsid w:val="00F9528E"/>
    <w:rsid w:val="00FA65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22BD62-CE1D-4B2A-9A81-67C8AEBE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81B"/>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1E20F6"/>
    <w:rPr>
      <w:sz w:val="16"/>
      <w:szCs w:val="16"/>
    </w:rPr>
  </w:style>
  <w:style w:type="paragraph" w:styleId="Textkomentra">
    <w:name w:val="annotation text"/>
    <w:basedOn w:val="Normlny"/>
    <w:link w:val="TextkomentraChar"/>
    <w:uiPriority w:val="99"/>
    <w:semiHidden/>
    <w:unhideWhenUsed/>
    <w:rsid w:val="001E20F6"/>
    <w:rPr>
      <w:sz w:val="20"/>
      <w:szCs w:val="20"/>
    </w:rPr>
  </w:style>
  <w:style w:type="character" w:customStyle="1" w:styleId="TextkomentraChar">
    <w:name w:val="Text komentára Char"/>
    <w:basedOn w:val="Predvolenpsmoodseku"/>
    <w:link w:val="Textkomentra"/>
    <w:uiPriority w:val="99"/>
    <w:semiHidden/>
    <w:rsid w:val="001E20F6"/>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E20F6"/>
    <w:rPr>
      <w:b/>
      <w:bCs/>
    </w:rPr>
  </w:style>
  <w:style w:type="character" w:customStyle="1" w:styleId="PredmetkomentraChar">
    <w:name w:val="Predmet komentára Char"/>
    <w:basedOn w:val="TextkomentraChar"/>
    <w:link w:val="Predmetkomentra"/>
    <w:uiPriority w:val="99"/>
    <w:semiHidden/>
    <w:rsid w:val="001E20F6"/>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1E20F6"/>
    <w:rPr>
      <w:rFonts w:ascii="Tahoma" w:hAnsi="Tahoma" w:cs="Tahoma"/>
      <w:sz w:val="16"/>
      <w:szCs w:val="16"/>
    </w:rPr>
  </w:style>
  <w:style w:type="character" w:customStyle="1" w:styleId="TextbublinyChar">
    <w:name w:val="Text bubliny Char"/>
    <w:basedOn w:val="Predvolenpsmoodseku"/>
    <w:link w:val="Textbubliny"/>
    <w:uiPriority w:val="99"/>
    <w:semiHidden/>
    <w:rsid w:val="001E20F6"/>
    <w:rPr>
      <w:rFonts w:ascii="Tahoma" w:hAnsi="Tahoma" w:cs="Tahoma"/>
      <w:sz w:val="16"/>
      <w:szCs w:val="16"/>
      <w:lang w:eastAsia="sk-SK"/>
    </w:rPr>
  </w:style>
  <w:style w:type="paragraph" w:styleId="Hlavika">
    <w:name w:val="header"/>
    <w:basedOn w:val="Normlny"/>
    <w:link w:val="HlavikaChar"/>
    <w:uiPriority w:val="99"/>
    <w:unhideWhenUsed/>
    <w:rsid w:val="00E47F55"/>
    <w:pPr>
      <w:tabs>
        <w:tab w:val="center" w:pos="4536"/>
        <w:tab w:val="right" w:pos="9072"/>
      </w:tabs>
    </w:pPr>
  </w:style>
  <w:style w:type="character" w:customStyle="1" w:styleId="HlavikaChar">
    <w:name w:val="Hlavička Char"/>
    <w:basedOn w:val="Predvolenpsmoodseku"/>
    <w:link w:val="Hlavika"/>
    <w:uiPriority w:val="99"/>
    <w:rsid w:val="00E47F55"/>
    <w:rPr>
      <w:rFonts w:ascii="Times New Roman" w:hAnsi="Times New Roman" w:cs="Times New Roman"/>
      <w:sz w:val="24"/>
      <w:szCs w:val="24"/>
      <w:lang w:eastAsia="sk-SK"/>
    </w:rPr>
  </w:style>
  <w:style w:type="paragraph" w:styleId="Pta">
    <w:name w:val="footer"/>
    <w:basedOn w:val="Normlny"/>
    <w:link w:val="PtaChar"/>
    <w:uiPriority w:val="99"/>
    <w:unhideWhenUsed/>
    <w:rsid w:val="00E47F55"/>
    <w:pPr>
      <w:tabs>
        <w:tab w:val="center" w:pos="4536"/>
        <w:tab w:val="right" w:pos="9072"/>
      </w:tabs>
    </w:pPr>
  </w:style>
  <w:style w:type="character" w:customStyle="1" w:styleId="PtaChar">
    <w:name w:val="Päta Char"/>
    <w:basedOn w:val="Predvolenpsmoodseku"/>
    <w:link w:val="Pta"/>
    <w:uiPriority w:val="99"/>
    <w:rsid w:val="00E47F55"/>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663</Words>
  <Characters>3783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12</cp:revision>
  <dcterms:created xsi:type="dcterms:W3CDTF">2018-09-26T16:48:00Z</dcterms:created>
  <dcterms:modified xsi:type="dcterms:W3CDTF">2020-08-12T15:19:00Z</dcterms:modified>
</cp:coreProperties>
</file>