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EC6989" w:rsidRDefault="007D5748" w:rsidP="00CD2466">
      <w:pPr>
        <w:spacing w:after="0" w:line="240" w:lineRule="auto"/>
        <w:jc w:val="center"/>
        <w:rPr>
          <w:rFonts w:ascii="Times New Roman" w:eastAsia="Times New Roman" w:hAnsi="Times New Roman" w:cs="Times New Roman"/>
          <w:b/>
          <w:bCs/>
          <w:sz w:val="28"/>
          <w:szCs w:val="28"/>
        </w:rPr>
      </w:pPr>
      <w:r w:rsidRPr="00EC6989">
        <w:rPr>
          <w:rFonts w:ascii="Times New Roman" w:eastAsia="Times New Roman" w:hAnsi="Times New Roman" w:cs="Times New Roman"/>
          <w:b/>
          <w:bCs/>
          <w:sz w:val="28"/>
          <w:szCs w:val="28"/>
        </w:rPr>
        <w:t>Analýza vplyvov na rozpočet verejnej správy,</w:t>
      </w:r>
    </w:p>
    <w:p w:rsidR="007D5748" w:rsidRPr="00EC6989" w:rsidRDefault="007D5748" w:rsidP="00CD2466">
      <w:pPr>
        <w:spacing w:after="0" w:line="240" w:lineRule="auto"/>
        <w:jc w:val="center"/>
        <w:rPr>
          <w:rFonts w:ascii="Times New Roman" w:eastAsia="Times New Roman" w:hAnsi="Times New Roman" w:cs="Times New Roman"/>
          <w:b/>
          <w:bCs/>
          <w:sz w:val="28"/>
          <w:szCs w:val="28"/>
        </w:rPr>
      </w:pPr>
      <w:r w:rsidRPr="00EC6989">
        <w:rPr>
          <w:rFonts w:ascii="Times New Roman" w:eastAsia="Times New Roman" w:hAnsi="Times New Roman" w:cs="Times New Roman"/>
          <w:b/>
          <w:bCs/>
          <w:sz w:val="28"/>
          <w:szCs w:val="28"/>
        </w:rPr>
        <w:t>na zamestnanosť vo verejnej správe a financovanie návrhu</w:t>
      </w:r>
    </w:p>
    <w:p w:rsidR="00E963A3" w:rsidRPr="00EC6989" w:rsidRDefault="00E963A3" w:rsidP="00CD2466">
      <w:pPr>
        <w:spacing w:after="0" w:line="240" w:lineRule="auto"/>
        <w:rPr>
          <w:rFonts w:ascii="Times New Roman" w:eastAsia="Times New Roman" w:hAnsi="Times New Roman" w:cs="Times New Roman"/>
          <w:b/>
          <w:bCs/>
          <w:sz w:val="24"/>
          <w:szCs w:val="24"/>
        </w:rPr>
      </w:pPr>
    </w:p>
    <w:p w:rsidR="0051724E" w:rsidRPr="00EC6989" w:rsidRDefault="00E963A3"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2.1 Zhrnutie vplyvov na rozpočet verejnej správy v</w:t>
      </w:r>
      <w:r w:rsidR="0051724E" w:rsidRPr="00EC6989">
        <w:rPr>
          <w:rFonts w:ascii="Times New Roman" w:eastAsia="Times New Roman" w:hAnsi="Times New Roman" w:cs="Times New Roman"/>
          <w:b/>
          <w:bCs/>
          <w:sz w:val="24"/>
          <w:szCs w:val="24"/>
        </w:rPr>
        <w:t> </w:t>
      </w:r>
      <w:r w:rsidRPr="00EC6989">
        <w:rPr>
          <w:rFonts w:ascii="Times New Roman" w:eastAsia="Times New Roman" w:hAnsi="Times New Roman" w:cs="Times New Roman"/>
          <w:b/>
          <w:bCs/>
          <w:sz w:val="24"/>
          <w:szCs w:val="24"/>
        </w:rPr>
        <w:t>návrhu</w:t>
      </w:r>
    </w:p>
    <w:p w:rsidR="0081789C" w:rsidRPr="00EC6989" w:rsidRDefault="0081789C" w:rsidP="00CD2466">
      <w:pPr>
        <w:spacing w:after="0" w:line="240" w:lineRule="auto"/>
        <w:jc w:val="right"/>
        <w:rPr>
          <w:rFonts w:ascii="Times New Roman" w:eastAsia="Times New Roman" w:hAnsi="Times New Roman" w:cs="Times New Roman"/>
          <w:sz w:val="20"/>
          <w:szCs w:val="20"/>
        </w:rPr>
      </w:pPr>
    </w:p>
    <w:p w:rsidR="0030440F" w:rsidRDefault="000203A1" w:rsidP="000203A1">
      <w:pPr>
        <w:pStyle w:val="Normlnywebov"/>
        <w:spacing w:before="0" w:beforeAutospacing="0" w:after="0" w:afterAutospacing="0"/>
        <w:ind w:firstLine="708"/>
        <w:jc w:val="both"/>
      </w:pPr>
      <w:r w:rsidRPr="00EC6989">
        <w:t>Cieľom návrhu</w:t>
      </w:r>
      <w:r>
        <w:t xml:space="preserve"> novely</w:t>
      </w:r>
      <w:r w:rsidRPr="00EC6989">
        <w:t xml:space="preserve"> zákon</w:t>
      </w:r>
      <w:r>
        <w:t>a</w:t>
      </w:r>
      <w:r w:rsidRPr="00EC6989">
        <w:t xml:space="preserve"> o minimálnej mzde je osobitne riešiť ustanovenie sumy minimálnej mzdy na rok 2021 vzhľadom na nepredvídateľný vývoj v roku 2020</w:t>
      </w:r>
      <w:r>
        <w:t>, pre ktorý je problematické ponechať nárast minimálnej mzdy vo väzbe na tzv. automat ustanovený v zákone a</w:t>
      </w:r>
      <w:r w:rsidR="0030440F">
        <w:t xml:space="preserve"> trvalé </w:t>
      </w:r>
      <w:r w:rsidRPr="00EC6989">
        <w:t>zav</w:t>
      </w:r>
      <w:r>
        <w:t>edenie</w:t>
      </w:r>
      <w:r w:rsidRPr="00EC6989">
        <w:t xml:space="preserve"> samostatn</w:t>
      </w:r>
      <w:r w:rsidR="002637EF">
        <w:t>ej sumy</w:t>
      </w:r>
      <w:r w:rsidRPr="00EC6989">
        <w:t xml:space="preserve"> </w:t>
      </w:r>
      <w:r w:rsidR="002637EF">
        <w:t xml:space="preserve">tzv. štartovacej </w:t>
      </w:r>
      <w:r w:rsidRPr="00EC6989">
        <w:t>minimálnej mzdy pre zamestnancov, ktorí boli najmenej 12 mesiacov vedení v evidencii uchádzačov o</w:t>
      </w:r>
      <w:r w:rsidR="002637EF">
        <w:t> </w:t>
      </w:r>
      <w:r w:rsidRPr="00EC6989">
        <w:t>zamestnanie</w:t>
      </w:r>
      <w:r w:rsidR="002637EF">
        <w:t xml:space="preserve">. </w:t>
      </w:r>
    </w:p>
    <w:p w:rsidR="0030440F" w:rsidRDefault="0030440F" w:rsidP="000203A1">
      <w:pPr>
        <w:pStyle w:val="Normlnywebov"/>
        <w:spacing w:before="0" w:beforeAutospacing="0" w:after="0" w:afterAutospacing="0"/>
        <w:ind w:firstLine="708"/>
        <w:jc w:val="both"/>
      </w:pPr>
    </w:p>
    <w:p w:rsidR="000203A1" w:rsidRPr="00EC6989" w:rsidRDefault="000203A1" w:rsidP="000203A1">
      <w:pPr>
        <w:pStyle w:val="Normlnywebov"/>
        <w:spacing w:before="0" w:beforeAutospacing="0" w:after="0" w:afterAutospacing="0"/>
        <w:ind w:firstLine="708"/>
        <w:jc w:val="both"/>
      </w:pPr>
      <w:r w:rsidRPr="00EC6989">
        <w:t xml:space="preserve">V čl. II, ktorým sa novelizuje Zákonník práce, sa v nadväznosti na zavedenie novej sumy </w:t>
      </w:r>
      <w:r w:rsidR="002637EF">
        <w:t xml:space="preserve">štartovacej </w:t>
      </w:r>
      <w:r w:rsidRPr="00EC6989">
        <w:t>minimálnej mzdy špecifikuje</w:t>
      </w:r>
      <w:r w:rsidR="0030440F">
        <w:t>,</w:t>
      </w:r>
      <w:r w:rsidRPr="00EC6989">
        <w:t xml:space="preserve"> </w:t>
      </w:r>
      <w:r w:rsidR="002637EF">
        <w:t>o akú sumu minimálnej mzdy ide, ak Zákonník práce viaže plnenie na minimálnu mzdu (% z nej).</w:t>
      </w:r>
    </w:p>
    <w:p w:rsidR="000203A1" w:rsidRDefault="000203A1" w:rsidP="000203A1">
      <w:pPr>
        <w:spacing w:after="0" w:line="240" w:lineRule="auto"/>
        <w:jc w:val="both"/>
        <w:rPr>
          <w:rFonts w:ascii="Times New Roman" w:eastAsia="Times New Roman" w:hAnsi="Times New Roman" w:cs="Times New Roman"/>
          <w:sz w:val="24"/>
          <w:szCs w:val="24"/>
        </w:rPr>
      </w:pP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Novela zákona, ktorou sa ustanovil tzv. automat pri úprave minimálnej mzdy je účinná od 1.1.2020, a teda v prípade, ak by predkladateľ novely zákona nenavrhoval zmenu právnej úpravy, minimálna mzda by od 1.1.2021 stúpla na 656</w:t>
      </w:r>
      <w:r w:rsidR="00FA36A7">
        <w:rPr>
          <w:rFonts w:ascii="Times New Roman" w:eastAsia="Times New Roman" w:hAnsi="Times New Roman" w:cs="Times New Roman"/>
          <w:sz w:val="24"/>
          <w:szCs w:val="24"/>
        </w:rPr>
        <w:t xml:space="preserve"> </w:t>
      </w:r>
      <w:r w:rsidRPr="00EC6989">
        <w:rPr>
          <w:rFonts w:ascii="Times New Roman" w:eastAsia="Times New Roman" w:hAnsi="Times New Roman" w:cs="Times New Roman"/>
          <w:sz w:val="24"/>
          <w:szCs w:val="24"/>
        </w:rPr>
        <w:t>eur (zo sumy 580 eur). Otázka dopadov automatu na rozpočet verejnej správy bola riešená už v poslaneckej novele zákona, ktorá od 1.1.2020 zmenila existujúci systém úpravy minimálnej mzdy.</w:t>
      </w: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Vzhľadom na to, že ide o právnu úpravu, ktorá umožňuje predvídať minimálnu mzdu na príslušný rok (vo väzbe na odhady priemernej mesačnej mzdy) vplyvy na rozpočet verejnej správy je možné vopred odhadovať a počítať s nimi v rozpočte verejnej správy.</w:t>
      </w: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Reálny dopad navrhovanej novely je teda možné vnímať v kontexte toho, že namiesto predvídanej sumy minimálnej mzdy na rok 2021 – 656 eur dô</w:t>
      </w:r>
      <w:r w:rsidR="0030440F">
        <w:rPr>
          <w:rFonts w:ascii="Times New Roman" w:eastAsia="Times New Roman" w:hAnsi="Times New Roman" w:cs="Times New Roman"/>
          <w:sz w:val="24"/>
          <w:szCs w:val="24"/>
        </w:rPr>
        <w:t>jde k jej redukcii na sumu 620</w:t>
      </w:r>
      <w:r w:rsidRPr="00EC6989">
        <w:rPr>
          <w:rFonts w:ascii="Times New Roman" w:eastAsia="Times New Roman" w:hAnsi="Times New Roman" w:cs="Times New Roman"/>
          <w:sz w:val="24"/>
          <w:szCs w:val="24"/>
        </w:rPr>
        <w:t xml:space="preserve"> eur.</w:t>
      </w:r>
      <w:r w:rsidR="00AE0997" w:rsidRPr="00EC6989">
        <w:rPr>
          <w:rFonts w:ascii="Times New Roman" w:eastAsia="Times New Roman" w:hAnsi="Times New Roman" w:cs="Times New Roman"/>
          <w:sz w:val="24"/>
          <w:szCs w:val="24"/>
        </w:rPr>
        <w:t xml:space="preserve"> Predmetný návrh sumy 620 eur na rok 2021 je jednorazovým zásahom, pretože navrhovanou novelou sa nemení samotné automatické stanovovanie minimálnej mzdy na príslušný kalendárny rok</w:t>
      </w:r>
      <w:r w:rsidR="00304B65">
        <w:rPr>
          <w:rFonts w:ascii="Times New Roman" w:eastAsia="Times New Roman" w:hAnsi="Times New Roman" w:cs="Times New Roman"/>
          <w:sz w:val="24"/>
          <w:szCs w:val="24"/>
        </w:rPr>
        <w:t xml:space="preserve"> – to je dané vzorcom upraveným v zákone (</w:t>
      </w:r>
      <w:r w:rsidR="00AE0997" w:rsidRPr="00EC6989">
        <w:rPr>
          <w:rFonts w:ascii="Times New Roman" w:eastAsia="Times New Roman" w:hAnsi="Times New Roman" w:cs="Times New Roman"/>
          <w:sz w:val="24"/>
          <w:szCs w:val="24"/>
        </w:rPr>
        <w:t>ak nedôjde k dohod</w:t>
      </w:r>
      <w:r w:rsidR="00304B65">
        <w:rPr>
          <w:rFonts w:ascii="Times New Roman" w:eastAsia="Times New Roman" w:hAnsi="Times New Roman" w:cs="Times New Roman"/>
          <w:sz w:val="24"/>
          <w:szCs w:val="24"/>
        </w:rPr>
        <w:t>e</w:t>
      </w:r>
      <w:r w:rsidR="00AE0997" w:rsidRPr="00EC6989">
        <w:rPr>
          <w:rFonts w:ascii="Times New Roman" w:eastAsia="Times New Roman" w:hAnsi="Times New Roman" w:cs="Times New Roman"/>
          <w:sz w:val="24"/>
          <w:szCs w:val="24"/>
        </w:rPr>
        <w:t xml:space="preserve"> sociálnych partnerov</w:t>
      </w:r>
      <w:r w:rsidR="00304B65">
        <w:rPr>
          <w:rFonts w:ascii="Times New Roman" w:eastAsia="Times New Roman" w:hAnsi="Times New Roman" w:cs="Times New Roman"/>
          <w:sz w:val="24"/>
          <w:szCs w:val="24"/>
        </w:rPr>
        <w:t>)</w:t>
      </w:r>
      <w:r w:rsidR="00AE0997" w:rsidRPr="00EC6989">
        <w:rPr>
          <w:rFonts w:ascii="Times New Roman" w:eastAsia="Times New Roman" w:hAnsi="Times New Roman" w:cs="Times New Roman"/>
          <w:sz w:val="24"/>
          <w:szCs w:val="24"/>
        </w:rPr>
        <w:t xml:space="preserve">. Z tohto </w:t>
      </w:r>
      <w:r w:rsidR="000203A1">
        <w:rPr>
          <w:rFonts w:ascii="Times New Roman" w:eastAsia="Times New Roman" w:hAnsi="Times New Roman" w:cs="Times New Roman"/>
          <w:sz w:val="24"/>
          <w:szCs w:val="24"/>
        </w:rPr>
        <w:t>dôvodu predkladaný materiál neobsahuje kvantifikáciu príjmov</w:t>
      </w:r>
      <w:r w:rsidR="00AE0997" w:rsidRPr="00EC6989">
        <w:rPr>
          <w:rFonts w:ascii="Times New Roman" w:eastAsia="Times New Roman" w:hAnsi="Times New Roman" w:cs="Times New Roman"/>
          <w:sz w:val="24"/>
          <w:szCs w:val="24"/>
        </w:rPr>
        <w:t xml:space="preserve"> a </w:t>
      </w:r>
      <w:r w:rsidR="000203A1">
        <w:rPr>
          <w:rFonts w:ascii="Times New Roman" w:eastAsia="Times New Roman" w:hAnsi="Times New Roman" w:cs="Times New Roman"/>
          <w:sz w:val="24"/>
          <w:szCs w:val="24"/>
        </w:rPr>
        <w:t>výdavkov</w:t>
      </w:r>
      <w:r w:rsidR="00AE0997" w:rsidRPr="00EC6989">
        <w:rPr>
          <w:rFonts w:ascii="Times New Roman" w:eastAsia="Times New Roman" w:hAnsi="Times New Roman" w:cs="Times New Roman"/>
          <w:sz w:val="24"/>
          <w:szCs w:val="24"/>
        </w:rPr>
        <w:t xml:space="preserve"> rozpočtu verejnej správy na roky 2022 a</w:t>
      </w:r>
      <w:r w:rsidR="000203A1">
        <w:rPr>
          <w:rFonts w:ascii="Times New Roman" w:eastAsia="Times New Roman" w:hAnsi="Times New Roman" w:cs="Times New Roman"/>
          <w:sz w:val="24"/>
          <w:szCs w:val="24"/>
        </w:rPr>
        <w:t> </w:t>
      </w:r>
      <w:r w:rsidR="00AE0997" w:rsidRPr="00EC6989">
        <w:rPr>
          <w:rFonts w:ascii="Times New Roman" w:eastAsia="Times New Roman" w:hAnsi="Times New Roman" w:cs="Times New Roman"/>
          <w:sz w:val="24"/>
          <w:szCs w:val="24"/>
        </w:rPr>
        <w:t>2023</w:t>
      </w:r>
      <w:r w:rsidR="000203A1">
        <w:rPr>
          <w:rFonts w:ascii="Times New Roman" w:eastAsia="Times New Roman" w:hAnsi="Times New Roman" w:cs="Times New Roman"/>
          <w:sz w:val="24"/>
          <w:szCs w:val="24"/>
        </w:rPr>
        <w:t xml:space="preserve"> (</w:t>
      </w:r>
      <w:r w:rsidR="00AE0997" w:rsidRPr="00EC6989">
        <w:rPr>
          <w:rFonts w:ascii="Times New Roman" w:eastAsia="Times New Roman" w:hAnsi="Times New Roman" w:cs="Times New Roman"/>
          <w:sz w:val="24"/>
          <w:szCs w:val="24"/>
        </w:rPr>
        <w:t>navrhovaná novela zákona sa sumy minimálnej mzdy na roky 2022 a 2023 nedotýka</w:t>
      </w:r>
      <w:r w:rsidR="000203A1">
        <w:rPr>
          <w:rFonts w:ascii="Times New Roman" w:eastAsia="Times New Roman" w:hAnsi="Times New Roman" w:cs="Times New Roman"/>
          <w:sz w:val="24"/>
          <w:szCs w:val="24"/>
        </w:rPr>
        <w:t>)</w:t>
      </w:r>
      <w:r w:rsidR="00AE0997" w:rsidRPr="00EC6989">
        <w:rPr>
          <w:rFonts w:ascii="Times New Roman" w:eastAsia="Times New Roman" w:hAnsi="Times New Roman" w:cs="Times New Roman"/>
          <w:sz w:val="24"/>
          <w:szCs w:val="24"/>
        </w:rPr>
        <w:t>.</w:t>
      </w: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 xml:space="preserve">Vzhľadom na zmeny v oblasti </w:t>
      </w:r>
      <w:r w:rsidR="000203A1">
        <w:rPr>
          <w:rFonts w:ascii="Times New Roman" w:eastAsia="Times New Roman" w:hAnsi="Times New Roman" w:cs="Times New Roman"/>
          <w:sz w:val="24"/>
          <w:szCs w:val="24"/>
        </w:rPr>
        <w:t xml:space="preserve">zisťovania údajov </w:t>
      </w:r>
      <w:r w:rsidRPr="00EC6989">
        <w:rPr>
          <w:rFonts w:ascii="Times New Roman" w:eastAsia="Times New Roman" w:hAnsi="Times New Roman" w:cs="Times New Roman"/>
          <w:sz w:val="24"/>
          <w:szCs w:val="24"/>
        </w:rPr>
        <w:t>disponuje predkladateľ len obmedzeným rozsahom údajov, ktoré vie z hľadiska doložky vplyvov na rozpočet verejnej správy spracovať.</w:t>
      </w: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Kvantifikácia vplyvov je uvedená v ďalšej časti textu.</w:t>
      </w:r>
    </w:p>
    <w:p w:rsidR="0081789C" w:rsidRDefault="0081789C" w:rsidP="00285F21">
      <w:pPr>
        <w:spacing w:after="0" w:line="240" w:lineRule="auto"/>
        <w:rPr>
          <w:rFonts w:ascii="Times New Roman" w:eastAsia="Times New Roman" w:hAnsi="Times New Roman" w:cs="Times New Roman"/>
          <w:sz w:val="24"/>
          <w:szCs w:val="24"/>
        </w:rPr>
      </w:pPr>
    </w:p>
    <w:p w:rsidR="00304B65" w:rsidRPr="00EC6989" w:rsidRDefault="00304B65" w:rsidP="00285F21">
      <w:pPr>
        <w:spacing w:after="0" w:line="240" w:lineRule="auto"/>
        <w:rPr>
          <w:rFonts w:ascii="Times New Roman" w:eastAsia="Times New Roman" w:hAnsi="Times New Roman" w:cs="Times New Roman"/>
          <w:sz w:val="24"/>
          <w:szCs w:val="24"/>
        </w:rPr>
      </w:pPr>
    </w:p>
    <w:p w:rsidR="007D5748" w:rsidRPr="00EC6989" w:rsidRDefault="007D5748" w:rsidP="00CD2466">
      <w:pPr>
        <w:spacing w:after="0" w:line="240" w:lineRule="auto"/>
        <w:jc w:val="both"/>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2.1.1. Financovanie návrhu - Návrh na riešenie úbytku príjmov alebo zvýšených výdavkov podľa § 33 ods. 1 zákona č. 523/2004 Z. z. o rozpočtových pravidlách verejnej správy:</w:t>
      </w:r>
    </w:p>
    <w:p w:rsidR="007D64A4" w:rsidRPr="00EC6989" w:rsidRDefault="007D64A4" w:rsidP="00CD2466">
      <w:pPr>
        <w:spacing w:after="0" w:line="240" w:lineRule="auto"/>
        <w:rPr>
          <w:rFonts w:ascii="Times New Roman" w:eastAsia="Times New Roman" w:hAnsi="Times New Roman" w:cs="Times New Roman"/>
          <w:b/>
          <w:bCs/>
          <w:sz w:val="24"/>
          <w:szCs w:val="24"/>
        </w:rPr>
      </w:pPr>
    </w:p>
    <w:p w:rsidR="000203A1" w:rsidRDefault="000203A1" w:rsidP="001C4C3E">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Vzhľadom na právnu úpravu účinnú od 1.1.2020, kedy výšku minimálnej mzdy možno vopred predvídať, už pri plánovaní rozpočtu musí subjekt počítať s tým, že predvídaná minimálna mzda na rok 2021 bola 656 eur. Vzhľadom na navrhovanú jednorazovú úpravu sumy na 620 eur dochádza ku korekcii odhadovaných výdavkov smerom dole.</w:t>
      </w:r>
    </w:p>
    <w:p w:rsidR="00307164" w:rsidRPr="00EC6989" w:rsidRDefault="00307164" w:rsidP="00CD2466">
      <w:pPr>
        <w:spacing w:after="0" w:line="240" w:lineRule="auto"/>
        <w:rPr>
          <w:rFonts w:ascii="Times New Roman" w:eastAsia="Times New Roman" w:hAnsi="Times New Roman" w:cs="Times New Roman"/>
          <w:b/>
          <w:bCs/>
          <w:sz w:val="24"/>
          <w:szCs w:val="24"/>
        </w:rPr>
      </w:pPr>
    </w:p>
    <w:p w:rsidR="007D5748" w:rsidRPr="00EC6989" w:rsidRDefault="007D5748"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lastRenderedPageBreak/>
        <w:t>2.2. Popis a charakteristika návrhu</w:t>
      </w:r>
    </w:p>
    <w:p w:rsidR="00307164" w:rsidRPr="00EC6989" w:rsidRDefault="00307164" w:rsidP="00CD2466">
      <w:pPr>
        <w:spacing w:after="0" w:line="240" w:lineRule="auto"/>
        <w:rPr>
          <w:rFonts w:ascii="Times New Roman" w:eastAsia="Times New Roman" w:hAnsi="Times New Roman" w:cs="Times New Roman"/>
          <w:sz w:val="24"/>
          <w:szCs w:val="24"/>
        </w:rPr>
      </w:pPr>
    </w:p>
    <w:p w:rsidR="002439B0" w:rsidRPr="00EC6989" w:rsidRDefault="00176F52" w:rsidP="00CD2466">
      <w:pPr>
        <w:spacing w:after="0" w:line="240" w:lineRule="auto"/>
        <w:jc w:val="both"/>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2.2.1. Popis návrhu:</w:t>
      </w:r>
    </w:p>
    <w:p w:rsidR="00307164" w:rsidRPr="00EC6989" w:rsidRDefault="00307164" w:rsidP="00307164">
      <w:pPr>
        <w:spacing w:after="0" w:line="240" w:lineRule="auto"/>
        <w:jc w:val="both"/>
        <w:rPr>
          <w:rFonts w:ascii="Times New Roman" w:eastAsia="Times New Roman" w:hAnsi="Times New Roman" w:cs="Times New Roman"/>
          <w:sz w:val="24"/>
          <w:szCs w:val="24"/>
        </w:rPr>
      </w:pPr>
    </w:p>
    <w:p w:rsidR="00304B65" w:rsidRDefault="00307164" w:rsidP="001C4C3E">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 xml:space="preserve">V návrhu je </w:t>
      </w:r>
      <w:r w:rsidR="00AE0997" w:rsidRPr="00EC6989">
        <w:rPr>
          <w:rFonts w:ascii="Times New Roman" w:eastAsia="Times New Roman" w:hAnsi="Times New Roman" w:cs="Times New Roman"/>
          <w:sz w:val="24"/>
          <w:szCs w:val="24"/>
        </w:rPr>
        <w:t xml:space="preserve">sa navrhuje </w:t>
      </w:r>
      <w:r w:rsidR="00304B65">
        <w:rPr>
          <w:rFonts w:ascii="Times New Roman" w:eastAsia="Times New Roman" w:hAnsi="Times New Roman" w:cs="Times New Roman"/>
          <w:sz w:val="24"/>
          <w:szCs w:val="24"/>
        </w:rPr>
        <w:t xml:space="preserve">osobitne </w:t>
      </w:r>
      <w:r w:rsidR="00AE0997" w:rsidRPr="00EC6989">
        <w:rPr>
          <w:rFonts w:ascii="Times New Roman" w:eastAsia="Times New Roman" w:hAnsi="Times New Roman" w:cs="Times New Roman"/>
          <w:sz w:val="24"/>
          <w:szCs w:val="24"/>
        </w:rPr>
        <w:t xml:space="preserve">ustanoviť sumu minimálnej mzdy na rok 2021 na </w:t>
      </w:r>
      <w:r w:rsidRPr="00EC6989">
        <w:rPr>
          <w:rFonts w:ascii="Times New Roman" w:eastAsia="Times New Roman" w:hAnsi="Times New Roman" w:cs="Times New Roman"/>
          <w:sz w:val="24"/>
          <w:szCs w:val="24"/>
        </w:rPr>
        <w:t>620</w:t>
      </w:r>
      <w:r w:rsidR="00304B65">
        <w:rPr>
          <w:rFonts w:ascii="Times New Roman" w:eastAsia="Times New Roman" w:hAnsi="Times New Roman" w:cs="Times New Roman"/>
          <w:sz w:val="24"/>
          <w:szCs w:val="24"/>
        </w:rPr>
        <w:t>,-</w:t>
      </w:r>
      <w:r w:rsidRPr="00EC6989">
        <w:rPr>
          <w:rFonts w:ascii="Times New Roman" w:eastAsia="Times New Roman" w:hAnsi="Times New Roman" w:cs="Times New Roman"/>
          <w:sz w:val="24"/>
          <w:szCs w:val="24"/>
        </w:rPr>
        <w:t xml:space="preserve"> eur, čo </w:t>
      </w:r>
      <w:r w:rsidR="000203A1">
        <w:rPr>
          <w:rFonts w:ascii="Times New Roman" w:eastAsia="Times New Roman" w:hAnsi="Times New Roman" w:cs="Times New Roman"/>
          <w:sz w:val="24"/>
          <w:szCs w:val="24"/>
        </w:rPr>
        <w:t xml:space="preserve">predstavuje síce </w:t>
      </w:r>
      <w:r w:rsidRPr="00EC6989">
        <w:rPr>
          <w:rFonts w:ascii="Times New Roman" w:eastAsia="Times New Roman" w:hAnsi="Times New Roman" w:cs="Times New Roman"/>
          <w:sz w:val="24"/>
          <w:szCs w:val="24"/>
        </w:rPr>
        <w:t>nárast o cca 6,89 %</w:t>
      </w:r>
      <w:r w:rsidR="00AE0997" w:rsidRPr="00EC6989">
        <w:rPr>
          <w:rFonts w:ascii="Times New Roman" w:eastAsia="Times New Roman" w:hAnsi="Times New Roman" w:cs="Times New Roman"/>
          <w:sz w:val="24"/>
          <w:szCs w:val="24"/>
        </w:rPr>
        <w:t xml:space="preserve"> oproti roku 2020, avšak v kontexte sumy predvídanej tzv. automatom – 656 eur ide </w:t>
      </w:r>
      <w:r w:rsidR="000203A1">
        <w:rPr>
          <w:rFonts w:ascii="Times New Roman" w:eastAsia="Times New Roman" w:hAnsi="Times New Roman" w:cs="Times New Roman"/>
          <w:sz w:val="24"/>
          <w:szCs w:val="24"/>
        </w:rPr>
        <w:t>jednorazovú úpravu smerom dole</w:t>
      </w:r>
      <w:r w:rsidR="00AE0997" w:rsidRPr="00EC6989">
        <w:rPr>
          <w:rFonts w:ascii="Times New Roman" w:eastAsia="Times New Roman" w:hAnsi="Times New Roman" w:cs="Times New Roman"/>
          <w:sz w:val="24"/>
          <w:szCs w:val="24"/>
        </w:rPr>
        <w:t xml:space="preserve"> oproti predvídanému nárastu 13,1%</w:t>
      </w:r>
      <w:r w:rsidRPr="00EC6989">
        <w:rPr>
          <w:rFonts w:ascii="Times New Roman" w:eastAsia="Times New Roman" w:hAnsi="Times New Roman" w:cs="Times New Roman"/>
          <w:sz w:val="24"/>
          <w:szCs w:val="24"/>
        </w:rPr>
        <w:t>.</w:t>
      </w:r>
      <w:r w:rsidR="00AE0997" w:rsidRPr="00EC6989">
        <w:rPr>
          <w:rFonts w:ascii="Times New Roman" w:eastAsia="Times New Roman" w:hAnsi="Times New Roman" w:cs="Times New Roman"/>
          <w:sz w:val="24"/>
          <w:szCs w:val="24"/>
        </w:rPr>
        <w:t xml:space="preserve"> Návrh sa netýka ďalších</w:t>
      </w:r>
      <w:r w:rsidR="00304B65">
        <w:rPr>
          <w:rFonts w:ascii="Times New Roman" w:eastAsia="Times New Roman" w:hAnsi="Times New Roman" w:cs="Times New Roman"/>
          <w:sz w:val="24"/>
          <w:szCs w:val="24"/>
        </w:rPr>
        <w:t xml:space="preserve"> kalendárnych</w:t>
      </w:r>
      <w:r w:rsidR="00AE0997" w:rsidRPr="00EC6989">
        <w:rPr>
          <w:rFonts w:ascii="Times New Roman" w:eastAsia="Times New Roman" w:hAnsi="Times New Roman" w:cs="Times New Roman"/>
          <w:sz w:val="24"/>
          <w:szCs w:val="24"/>
        </w:rPr>
        <w:t xml:space="preserve"> rokov, t.j. neruší sa tzv. automat </w:t>
      </w:r>
      <w:r w:rsidR="00304B65">
        <w:rPr>
          <w:rFonts w:ascii="Times New Roman" w:eastAsia="Times New Roman" w:hAnsi="Times New Roman" w:cs="Times New Roman"/>
          <w:sz w:val="24"/>
          <w:szCs w:val="24"/>
        </w:rPr>
        <w:t xml:space="preserve">určenia minimálnej mzdy </w:t>
      </w:r>
      <w:r w:rsidR="00AE0997" w:rsidRPr="00EC6989">
        <w:rPr>
          <w:rFonts w:ascii="Times New Roman" w:eastAsia="Times New Roman" w:hAnsi="Times New Roman" w:cs="Times New Roman"/>
          <w:sz w:val="24"/>
          <w:szCs w:val="24"/>
        </w:rPr>
        <w:t>predvídaný zákonom</w:t>
      </w:r>
      <w:r w:rsidR="000203A1">
        <w:rPr>
          <w:rFonts w:ascii="Times New Roman" w:eastAsia="Times New Roman" w:hAnsi="Times New Roman" w:cs="Times New Roman"/>
          <w:sz w:val="24"/>
          <w:szCs w:val="24"/>
        </w:rPr>
        <w:t xml:space="preserve"> na ďalšie kalendárne roky</w:t>
      </w:r>
      <w:r w:rsidR="00AE0997" w:rsidRPr="00EC6989">
        <w:rPr>
          <w:rFonts w:ascii="Times New Roman" w:eastAsia="Times New Roman" w:hAnsi="Times New Roman" w:cs="Times New Roman"/>
          <w:sz w:val="24"/>
          <w:szCs w:val="24"/>
        </w:rPr>
        <w:t>.</w:t>
      </w:r>
      <w:r w:rsidRPr="00EC6989">
        <w:rPr>
          <w:rFonts w:ascii="Times New Roman" w:eastAsia="Times New Roman" w:hAnsi="Times New Roman" w:cs="Times New Roman"/>
          <w:sz w:val="24"/>
          <w:szCs w:val="24"/>
        </w:rPr>
        <w:t xml:space="preserve"> </w:t>
      </w:r>
    </w:p>
    <w:p w:rsidR="00304B65" w:rsidRDefault="00304B65" w:rsidP="001C4C3E">
      <w:pPr>
        <w:spacing w:after="0" w:line="240" w:lineRule="auto"/>
        <w:ind w:firstLine="708"/>
        <w:jc w:val="both"/>
        <w:rPr>
          <w:rFonts w:ascii="Times New Roman" w:eastAsia="Times New Roman" w:hAnsi="Times New Roman" w:cs="Times New Roman"/>
          <w:sz w:val="24"/>
          <w:szCs w:val="24"/>
        </w:rPr>
      </w:pPr>
    </w:p>
    <w:p w:rsidR="00307164" w:rsidRPr="00EC6989" w:rsidRDefault="00304B65" w:rsidP="001C4C3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07164" w:rsidRPr="00EC6989">
        <w:rPr>
          <w:rFonts w:ascii="Times New Roman" w:eastAsia="Times New Roman" w:hAnsi="Times New Roman" w:cs="Times New Roman"/>
          <w:sz w:val="24"/>
          <w:szCs w:val="24"/>
        </w:rPr>
        <w:t> prípade osobitnej minimálnej mzdy pre zamestnanca, ktorý bezprostredne pred vznikom pracovného pomeru alebo obdobného pracovného vzťahu bol znevýhodneným uchádzačom o zamestnanie vedeným v evidencii uchádzačov o zamestnanie najmenej 12 po sebe nasledujúcich mesiacov (ďalej len „dlhodobo nezamestnaný zamestnanec“) je to 75% z tejto hodnoty.</w:t>
      </w:r>
    </w:p>
    <w:p w:rsidR="00307164" w:rsidRPr="00EC6989" w:rsidRDefault="00307164" w:rsidP="00307164">
      <w:pPr>
        <w:spacing w:after="0" w:line="240" w:lineRule="auto"/>
        <w:jc w:val="both"/>
        <w:rPr>
          <w:rFonts w:ascii="Times New Roman" w:eastAsia="Times New Roman" w:hAnsi="Times New Roman" w:cs="Times New Roman"/>
          <w:sz w:val="24"/>
          <w:szCs w:val="24"/>
        </w:rPr>
      </w:pPr>
    </w:p>
    <w:p w:rsidR="00307164" w:rsidRPr="00EC6989" w:rsidRDefault="00307164" w:rsidP="001C4C3E">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 xml:space="preserve">Navrhovaná minimálna mzda je záväzná pre všetkých zamestnávateľov, ktorí zamestnávajú zamestnancov v pracovnoprávnom vzťahu, t.j. v pracovnom pomere, obdobnom pracovnom vzťahu alebo na základe niektorej z dohôd o prácach vykonávaných mimo pracovného pomeru. Ak výška mzdy, platu alebo poskytnutej odmeny nedosiahne sumu minimálnej mzdy, zamestnávateľ </w:t>
      </w:r>
      <w:r w:rsidR="000203A1">
        <w:rPr>
          <w:rFonts w:ascii="Times New Roman" w:eastAsia="Times New Roman" w:hAnsi="Times New Roman" w:cs="Times New Roman"/>
          <w:sz w:val="24"/>
          <w:szCs w:val="24"/>
        </w:rPr>
        <w:t>je</w:t>
      </w:r>
      <w:r w:rsidRPr="00EC6989">
        <w:rPr>
          <w:rFonts w:ascii="Times New Roman" w:eastAsia="Times New Roman" w:hAnsi="Times New Roman" w:cs="Times New Roman"/>
          <w:sz w:val="24"/>
          <w:szCs w:val="24"/>
        </w:rPr>
        <w:t xml:space="preserve"> povinný poskytnúť doplatok vo výške rozdielu. Táto povinnosť sa týka ako zamestnávateľov podnikateľskej sféry, tak aj zamestnávateľov napojených na verejné rozpočty.</w:t>
      </w:r>
    </w:p>
    <w:p w:rsidR="009E2092" w:rsidRPr="00EC6989" w:rsidRDefault="009E2092" w:rsidP="00CD2466">
      <w:pPr>
        <w:spacing w:after="0" w:line="240" w:lineRule="auto"/>
        <w:jc w:val="both"/>
        <w:rPr>
          <w:rFonts w:ascii="Times New Roman" w:eastAsia="Times New Roman" w:hAnsi="Times New Roman" w:cs="Times New Roman"/>
          <w:sz w:val="24"/>
          <w:szCs w:val="24"/>
        </w:rPr>
      </w:pPr>
    </w:p>
    <w:p w:rsidR="00285F21" w:rsidRPr="00EC6989" w:rsidRDefault="00285F21" w:rsidP="00285F21">
      <w:pPr>
        <w:pStyle w:val="Normlnywebov"/>
        <w:spacing w:before="0" w:beforeAutospacing="0" w:after="0" w:afterAutospacing="0"/>
        <w:jc w:val="both"/>
      </w:pPr>
    </w:p>
    <w:p w:rsidR="00544A66" w:rsidRPr="00EC6989" w:rsidRDefault="00544A66" w:rsidP="00CD2466">
      <w:pPr>
        <w:spacing w:after="0" w:line="240" w:lineRule="auto"/>
        <w:rPr>
          <w:rFonts w:ascii="Times New Roman" w:eastAsia="Times New Roman" w:hAnsi="Times New Roman" w:cs="Times New Roman"/>
          <w:b/>
          <w:bCs/>
          <w:sz w:val="24"/>
          <w:szCs w:val="24"/>
        </w:rPr>
      </w:pPr>
    </w:p>
    <w:p w:rsidR="007D5748" w:rsidRPr="00EC6989" w:rsidRDefault="007D5748"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2.2.2. Charakteristika návrhu:</w:t>
      </w:r>
    </w:p>
    <w:p w:rsidR="007D5748" w:rsidRPr="00EC6989" w:rsidRDefault="007D5748" w:rsidP="00CD2466">
      <w:pPr>
        <w:spacing w:after="0" w:line="240" w:lineRule="auto"/>
        <w:rPr>
          <w:rFonts w:ascii="Times New Roman" w:eastAsia="Times New Roman" w:hAnsi="Times New Roman" w:cs="Times New Roman"/>
          <w:sz w:val="24"/>
          <w:szCs w:val="24"/>
        </w:rPr>
      </w:pPr>
    </w:p>
    <w:p w:rsidR="007D5748" w:rsidRPr="00EC6989" w:rsidRDefault="00285F21"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b/>
          <w:sz w:val="24"/>
          <w:szCs w:val="24"/>
          <w:bdr w:val="single" w:sz="4" w:space="0" w:color="auto"/>
        </w:rPr>
        <w:t xml:space="preserve"> X</w:t>
      </w:r>
      <w:r w:rsidR="00F632EF" w:rsidRPr="00EC6989">
        <w:rPr>
          <w:rFonts w:ascii="Times New Roman" w:eastAsia="Times New Roman" w:hAnsi="Times New Roman" w:cs="Times New Roman"/>
          <w:b/>
          <w:sz w:val="24"/>
          <w:szCs w:val="24"/>
          <w:bdr w:val="single" w:sz="4" w:space="0" w:color="auto"/>
        </w:rPr>
        <w:t xml:space="preserve"> </w:t>
      </w:r>
      <w:r w:rsidR="007D5748" w:rsidRPr="00EC6989">
        <w:rPr>
          <w:rFonts w:ascii="Times New Roman" w:eastAsia="Times New Roman" w:hAnsi="Times New Roman" w:cs="Times New Roman"/>
          <w:b/>
          <w:sz w:val="24"/>
          <w:szCs w:val="24"/>
        </w:rPr>
        <w:t xml:space="preserve">  </w:t>
      </w:r>
      <w:r w:rsidR="007D5748" w:rsidRPr="00EC6989">
        <w:rPr>
          <w:rFonts w:ascii="Times New Roman" w:eastAsia="Times New Roman" w:hAnsi="Times New Roman" w:cs="Times New Roman"/>
          <w:sz w:val="24"/>
          <w:szCs w:val="24"/>
        </w:rPr>
        <w:t>zmena sadzby</w:t>
      </w:r>
    </w:p>
    <w:p w:rsidR="007D5748" w:rsidRPr="00EC6989" w:rsidRDefault="00011952"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bdr w:val="single" w:sz="4" w:space="0" w:color="auto"/>
        </w:rPr>
        <w:t xml:space="preserve"> </w:t>
      </w:r>
      <w:r w:rsidR="00285F21" w:rsidRPr="00EC6989">
        <w:rPr>
          <w:rFonts w:ascii="Times New Roman" w:eastAsia="Times New Roman" w:hAnsi="Times New Roman" w:cs="Times New Roman"/>
          <w:b/>
          <w:sz w:val="24"/>
          <w:szCs w:val="24"/>
          <w:bdr w:val="single" w:sz="4" w:space="0" w:color="auto"/>
        </w:rPr>
        <w:t xml:space="preserve">   </w:t>
      </w:r>
      <w:r w:rsidRPr="00EC6989">
        <w:rPr>
          <w:rFonts w:ascii="Times New Roman" w:eastAsia="Times New Roman" w:hAnsi="Times New Roman" w:cs="Times New Roman"/>
          <w:b/>
          <w:sz w:val="24"/>
          <w:szCs w:val="24"/>
          <w:bdr w:val="single" w:sz="4" w:space="0" w:color="auto"/>
        </w:rPr>
        <w:t xml:space="preserve"> </w:t>
      </w:r>
      <w:r w:rsidR="007D5748" w:rsidRPr="00EC6989">
        <w:rPr>
          <w:rFonts w:ascii="Times New Roman" w:eastAsia="Times New Roman" w:hAnsi="Times New Roman" w:cs="Times New Roman"/>
          <w:sz w:val="24"/>
          <w:szCs w:val="24"/>
        </w:rPr>
        <w:t xml:space="preserve">  zmena v nároku</w:t>
      </w:r>
    </w:p>
    <w:p w:rsidR="007D5748" w:rsidRPr="00EC6989" w:rsidRDefault="007D5748"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bdr w:val="single" w:sz="4" w:space="0" w:color="auto"/>
        </w:rPr>
        <w:t xml:space="preserve">     </w:t>
      </w:r>
      <w:r w:rsidRPr="00EC6989">
        <w:rPr>
          <w:rFonts w:ascii="Times New Roman" w:eastAsia="Times New Roman" w:hAnsi="Times New Roman" w:cs="Times New Roman"/>
          <w:sz w:val="24"/>
          <w:szCs w:val="24"/>
        </w:rPr>
        <w:t xml:space="preserve">  nová služba alebo nariadenie (alebo ich zrušenie)</w:t>
      </w:r>
    </w:p>
    <w:p w:rsidR="007D5748" w:rsidRPr="00EC6989" w:rsidRDefault="007D5748"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bdr w:val="single" w:sz="4" w:space="0" w:color="auto"/>
        </w:rPr>
        <w:t xml:space="preserve">     </w:t>
      </w:r>
      <w:r w:rsidRPr="00EC6989">
        <w:rPr>
          <w:rFonts w:ascii="Times New Roman" w:eastAsia="Times New Roman" w:hAnsi="Times New Roman" w:cs="Times New Roman"/>
          <w:sz w:val="24"/>
          <w:szCs w:val="24"/>
        </w:rPr>
        <w:t xml:space="preserve">  kombinovaný návrh</w:t>
      </w:r>
    </w:p>
    <w:p w:rsidR="007D5748" w:rsidRPr="00EC6989" w:rsidRDefault="007D5748"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bdr w:val="single" w:sz="4" w:space="0" w:color="auto"/>
        </w:rPr>
        <w:t xml:space="preserve">     </w:t>
      </w:r>
      <w:r w:rsidRPr="00EC6989">
        <w:rPr>
          <w:rFonts w:ascii="Times New Roman" w:eastAsia="Times New Roman" w:hAnsi="Times New Roman" w:cs="Times New Roman"/>
          <w:sz w:val="24"/>
          <w:szCs w:val="24"/>
        </w:rPr>
        <w:t xml:space="preserve">  iné </w:t>
      </w:r>
    </w:p>
    <w:p w:rsidR="007D5748" w:rsidRPr="00EC6989" w:rsidRDefault="007D5748" w:rsidP="00CD2466">
      <w:pPr>
        <w:spacing w:after="0" w:line="240" w:lineRule="auto"/>
        <w:rPr>
          <w:rFonts w:ascii="Times New Roman" w:eastAsia="Times New Roman" w:hAnsi="Times New Roman" w:cs="Times New Roman"/>
          <w:sz w:val="24"/>
          <w:szCs w:val="24"/>
        </w:rPr>
      </w:pPr>
    </w:p>
    <w:p w:rsidR="00544A66" w:rsidRPr="00EC6989" w:rsidRDefault="00544A66" w:rsidP="00CD2466">
      <w:pPr>
        <w:spacing w:after="0" w:line="240" w:lineRule="auto"/>
        <w:rPr>
          <w:rFonts w:ascii="Times New Roman" w:eastAsia="Times New Roman" w:hAnsi="Times New Roman" w:cs="Times New Roman"/>
          <w:sz w:val="24"/>
          <w:szCs w:val="24"/>
        </w:rPr>
      </w:pPr>
    </w:p>
    <w:p w:rsidR="007D5748" w:rsidRPr="00EC6989" w:rsidRDefault="007D5748"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b/>
          <w:bCs/>
          <w:sz w:val="24"/>
          <w:szCs w:val="24"/>
        </w:rPr>
        <w:t>2.2.3. Predpoklady vývoja objemu aktivít:</w:t>
      </w:r>
    </w:p>
    <w:p w:rsidR="00307164" w:rsidRPr="00EC6989" w:rsidRDefault="00307164" w:rsidP="00CD2466">
      <w:pPr>
        <w:spacing w:after="0" w:line="240" w:lineRule="auto"/>
        <w:rPr>
          <w:rFonts w:ascii="Times New Roman" w:eastAsia="Times New Roman" w:hAnsi="Times New Roman" w:cs="Times New Roman"/>
          <w:b/>
          <w:bCs/>
          <w:sz w:val="24"/>
          <w:szCs w:val="24"/>
        </w:rPr>
      </w:pPr>
    </w:p>
    <w:p w:rsidR="007D5748" w:rsidRPr="00EC6989" w:rsidRDefault="007D5748"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2.2.4. Výpočty vplyvov na verejné financie</w:t>
      </w:r>
    </w:p>
    <w:p w:rsidR="00AE0997" w:rsidRDefault="00AE0997"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Default="00EC6989" w:rsidP="00CD2466">
      <w:pPr>
        <w:spacing w:after="0" w:line="240" w:lineRule="auto"/>
        <w:jc w:val="both"/>
        <w:rPr>
          <w:rFonts w:ascii="Times New Roman" w:eastAsia="Times New Roman" w:hAnsi="Times New Roman" w:cs="Times New Roman"/>
          <w:sz w:val="24"/>
          <w:szCs w:val="24"/>
        </w:rPr>
      </w:pPr>
    </w:p>
    <w:p w:rsidR="00EC6989" w:rsidRPr="00EC6989" w:rsidRDefault="00EC6989" w:rsidP="00CD2466">
      <w:pPr>
        <w:spacing w:after="0" w:line="240" w:lineRule="auto"/>
        <w:jc w:val="both"/>
        <w:rPr>
          <w:rFonts w:ascii="Times New Roman" w:eastAsia="Times New Roman" w:hAnsi="Times New Roman" w:cs="Times New Roman"/>
          <w:sz w:val="24"/>
          <w:szCs w:val="24"/>
        </w:rPr>
      </w:pPr>
    </w:p>
    <w:p w:rsidR="00631D94" w:rsidRDefault="00631D94" w:rsidP="00CD2466">
      <w:pPr>
        <w:spacing w:after="0" w:line="240" w:lineRule="auto"/>
        <w:rPr>
          <w:rFonts w:ascii="Times New Roman" w:eastAsia="Times New Roman" w:hAnsi="Times New Roman" w:cs="Times New Roman"/>
          <w:b/>
          <w:bCs/>
          <w:iCs/>
          <w:sz w:val="24"/>
          <w:szCs w:val="24"/>
        </w:rPr>
      </w:pPr>
      <w:r w:rsidRPr="00EC6989">
        <w:rPr>
          <w:rFonts w:ascii="Times New Roman" w:eastAsia="Times New Roman" w:hAnsi="Times New Roman" w:cs="Times New Roman"/>
          <w:b/>
          <w:bCs/>
          <w:iCs/>
          <w:sz w:val="24"/>
          <w:szCs w:val="24"/>
        </w:rPr>
        <w:t>2.2.4.1 Kvantifikácia príjmov</w:t>
      </w:r>
    </w:p>
    <w:p w:rsidR="008919A0" w:rsidRDefault="008919A0" w:rsidP="00CD2466">
      <w:pPr>
        <w:spacing w:after="0" w:line="240" w:lineRule="auto"/>
        <w:rPr>
          <w:rFonts w:ascii="Times New Roman" w:eastAsia="Times New Roman" w:hAnsi="Times New Roman" w:cs="Times New Roman"/>
          <w:b/>
          <w:bCs/>
          <w:iCs/>
          <w:sz w:val="24"/>
          <w:szCs w:val="24"/>
        </w:rPr>
      </w:pPr>
    </w:p>
    <w:p w:rsidR="002637EF" w:rsidRPr="0030440F" w:rsidRDefault="002637EF" w:rsidP="00CD2466">
      <w:pPr>
        <w:spacing w:after="0" w:line="240" w:lineRule="auto"/>
        <w:rPr>
          <w:rFonts w:ascii="Times New Roman" w:eastAsia="Times New Roman" w:hAnsi="Times New Roman" w:cs="Times New Roman"/>
          <w:bCs/>
          <w:iCs/>
          <w:sz w:val="24"/>
          <w:szCs w:val="24"/>
        </w:rPr>
      </w:pPr>
      <w:r w:rsidRPr="0030440F">
        <w:rPr>
          <w:rFonts w:ascii="Times New Roman" w:eastAsia="Times New Roman" w:hAnsi="Times New Roman" w:cs="Times New Roman"/>
          <w:bCs/>
          <w:iCs/>
          <w:sz w:val="24"/>
          <w:szCs w:val="24"/>
        </w:rPr>
        <w:t>Ide o kvantifikáciu príjmov na rok 2021 (roky 2022 a 2023 návrhom nie sú dotknuté).</w:t>
      </w:r>
    </w:p>
    <w:p w:rsidR="002637EF" w:rsidRPr="00EC6989" w:rsidRDefault="002637EF" w:rsidP="00CD2466">
      <w:pPr>
        <w:spacing w:after="0" w:line="240" w:lineRule="auto"/>
        <w:rPr>
          <w:rFonts w:ascii="Times New Roman" w:eastAsia="Times New Roman" w:hAnsi="Times New Roman" w:cs="Times New Roman"/>
          <w:b/>
          <w:bCs/>
          <w:iCs/>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5400"/>
        <w:gridCol w:w="3971"/>
      </w:tblGrid>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Vplyvy na rozpočet verejnej správy</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2021</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b/>
                <w:bCs/>
                <w:sz w:val="24"/>
                <w:szCs w:val="24"/>
                <w:lang w:eastAsia="en-US"/>
              </w:rPr>
            </w:pPr>
            <w:r w:rsidRPr="00A23BBD">
              <w:rPr>
                <w:rFonts w:ascii="Times New Roman" w:eastAsia="Times New Roman" w:hAnsi="Times New Roman" w:cs="Times New Roman"/>
                <w:b/>
                <w:bCs/>
                <w:sz w:val="24"/>
                <w:szCs w:val="24"/>
                <w:lang w:eastAsia="en-US"/>
              </w:rPr>
              <w:t>Príjmy verejnej správy celkom</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b/>
                <w:bCs/>
                <w:sz w:val="24"/>
                <w:szCs w:val="24"/>
                <w:lang w:eastAsia="en-US"/>
              </w:rPr>
            </w:pPr>
            <w:r w:rsidRPr="00A23BBD">
              <w:rPr>
                <w:rFonts w:ascii="Times New Roman" w:eastAsia="Times New Roman" w:hAnsi="Times New Roman" w:cs="Times New Roman"/>
                <w:b/>
                <w:bCs/>
                <w:sz w:val="24"/>
                <w:szCs w:val="24"/>
                <w:lang w:eastAsia="en-US"/>
              </w:rPr>
              <w:t xml:space="preserve">   23 672 986,28 €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v tom:</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Sociálna poisťovňa</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14 960 828,77 €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zdravotné poisťovne</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6 059 686,48 €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štátny rozpočet v položke 111</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štátny rozpočet v položke 131</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4 775 726,74 €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štátny rozpočet v položke 112 - DPPO</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8 858 359,20 €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rozpočet obcí v položke 111</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4 698 437,81 €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rozpočet VÚC v položke 111</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2 013 616,21 €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rozpočet obcí (transfer z MV SR)</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23 049,47 €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z toho: </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vplyv na ŠR</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4 105 681,92 €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vplyv na územnú samosprávu</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6 735 103,49 €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 v tom vplyv na príjmy VÚC</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2 013 616,21 €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 v tom vplyv na príjmy obcí</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4 721 487,28 € </w:t>
            </w:r>
          </w:p>
        </w:tc>
      </w:tr>
    </w:tbl>
    <w:p w:rsidR="00307164" w:rsidRPr="006A4036" w:rsidRDefault="00307164" w:rsidP="00EC6989">
      <w:pPr>
        <w:spacing w:after="0" w:line="240" w:lineRule="auto"/>
        <w:rPr>
          <w:rFonts w:ascii="Times New Roman" w:hAnsi="Times New Roman" w:cs="Times New Roman"/>
          <w:sz w:val="24"/>
          <w:szCs w:val="24"/>
        </w:rPr>
      </w:pPr>
    </w:p>
    <w:p w:rsidR="00631D94" w:rsidRPr="00EC6989" w:rsidRDefault="00631D94" w:rsidP="00EC6989">
      <w:pPr>
        <w:spacing w:after="0" w:line="240" w:lineRule="auto"/>
        <w:rPr>
          <w:rFonts w:ascii="Times New Roman" w:eastAsia="Times New Roman" w:hAnsi="Times New Roman" w:cs="Times New Roman"/>
          <w:b/>
          <w:bCs/>
          <w:iCs/>
          <w:sz w:val="24"/>
          <w:szCs w:val="24"/>
        </w:rPr>
      </w:pPr>
      <w:r w:rsidRPr="00EC6989">
        <w:rPr>
          <w:rFonts w:ascii="Times New Roman" w:eastAsia="Times New Roman" w:hAnsi="Times New Roman" w:cs="Times New Roman"/>
          <w:b/>
          <w:bCs/>
          <w:iCs/>
          <w:sz w:val="24"/>
          <w:szCs w:val="24"/>
        </w:rPr>
        <w:t>2.2.4.2 Kvantifikácia výdavkov</w:t>
      </w:r>
    </w:p>
    <w:p w:rsidR="006F1358" w:rsidRDefault="006F1358" w:rsidP="00EC6989">
      <w:pPr>
        <w:spacing w:after="0" w:line="240" w:lineRule="auto"/>
        <w:rPr>
          <w:rFonts w:ascii="Times New Roman" w:eastAsia="Times New Roman" w:hAnsi="Times New Roman" w:cs="Times New Roman"/>
          <w:b/>
          <w:bCs/>
          <w:iCs/>
          <w:sz w:val="24"/>
          <w:szCs w:val="24"/>
        </w:rPr>
      </w:pPr>
    </w:p>
    <w:p w:rsidR="002743B8" w:rsidRPr="0030440F" w:rsidRDefault="002637EF" w:rsidP="00A23BBD">
      <w:pPr>
        <w:spacing w:after="0" w:line="240" w:lineRule="auto"/>
        <w:rPr>
          <w:rFonts w:ascii="Times New Roman" w:eastAsia="Times New Roman" w:hAnsi="Times New Roman" w:cs="Times New Roman"/>
          <w:bCs/>
          <w:iCs/>
          <w:sz w:val="24"/>
          <w:szCs w:val="24"/>
        </w:rPr>
      </w:pPr>
      <w:r w:rsidRPr="0030440F">
        <w:rPr>
          <w:rFonts w:ascii="Times New Roman" w:eastAsia="Times New Roman" w:hAnsi="Times New Roman" w:cs="Times New Roman"/>
          <w:bCs/>
          <w:iCs/>
          <w:sz w:val="24"/>
          <w:szCs w:val="24"/>
        </w:rPr>
        <w:t>Ide o kvantifikáciu výdavkov na rok 2021 (roky 2022 a 2023 návrhom nie sú dotknuté).</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5400"/>
        <w:gridCol w:w="3971"/>
      </w:tblGrid>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b/>
                <w:bCs/>
                <w:sz w:val="24"/>
                <w:szCs w:val="24"/>
                <w:lang w:eastAsia="en-US"/>
              </w:rPr>
            </w:pPr>
            <w:r w:rsidRPr="00A23BBD">
              <w:rPr>
                <w:rFonts w:ascii="Times New Roman" w:eastAsia="Times New Roman" w:hAnsi="Times New Roman" w:cs="Times New Roman"/>
                <w:b/>
                <w:bCs/>
                <w:sz w:val="24"/>
                <w:szCs w:val="24"/>
                <w:lang w:eastAsia="en-US"/>
              </w:rPr>
              <w:t>Výdavky verejnej správy celkom</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b/>
                <w:bCs/>
                <w:sz w:val="24"/>
                <w:szCs w:val="24"/>
                <w:lang w:eastAsia="en-US"/>
              </w:rPr>
            </w:pPr>
            <w:r w:rsidRPr="00A23BBD">
              <w:rPr>
                <w:rFonts w:ascii="Times New Roman" w:eastAsia="Times New Roman" w:hAnsi="Times New Roman" w:cs="Times New Roman"/>
                <w:b/>
                <w:bCs/>
                <w:sz w:val="24"/>
                <w:szCs w:val="24"/>
                <w:lang w:eastAsia="en-US"/>
              </w:rPr>
              <w:t xml:space="preserve">   14 316 590,67 €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v tom:</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Nárast výdavkov na mzdy a mzdové zvýhodnenia vo VS</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6 101 411,43 €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Odvod zdravotného poistenia v prospech ZP</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610 141,14 €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Odvod sociálneho poistenia v prospech SP</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1 522 302,15 €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Ministerstvo vnútra SR, transfer obciam</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23 049,47 €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Výdavky zdravotných poisťovní</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6 059 686,48 €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z toho: </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vplyv na ŠR</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4 179 085,53 €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vplyv na územnú samosprávu</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4 039 537,32 €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 v tom vplyv na výdavky VÚC</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888 138,89 €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 v tom vplyv na výdavky obcí </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3 151 398,44 €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Vplyv na mzdové výdavky fondov soc. a zdrav. Poistenia</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15 231,87 €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Celková zamestnanosť </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A23BBD">
              <w:rPr>
                <w:rFonts w:ascii="Times New Roman" w:eastAsia="Times New Roman" w:hAnsi="Times New Roman" w:cs="Times New Roman"/>
                <w:sz w:val="24"/>
                <w:szCs w:val="24"/>
                <w:lang w:eastAsia="en-US"/>
              </w:rPr>
              <w:t xml:space="preserve">0,00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z toho vplyv na ŠR</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A23BBD">
              <w:rPr>
                <w:rFonts w:ascii="Times New Roman" w:eastAsia="Times New Roman" w:hAnsi="Times New Roman" w:cs="Times New Roman"/>
                <w:sz w:val="24"/>
                <w:szCs w:val="24"/>
                <w:lang w:eastAsia="en-US"/>
              </w:rPr>
              <w:t xml:space="preserve">0,00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Financovanie zabezpečené v rozpočte</w:t>
            </w:r>
          </w:p>
        </w:tc>
        <w:tc>
          <w:tcPr>
            <w:tcW w:w="3971"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     9 356 395,61 € </w:t>
            </w:r>
          </w:p>
        </w:tc>
      </w:tr>
      <w:tr w:rsidR="00A23BBD" w:rsidRPr="00A23BBD" w:rsidTr="00A23BBD">
        <w:trPr>
          <w:trHeight w:val="300"/>
        </w:trPr>
        <w:tc>
          <w:tcPr>
            <w:tcW w:w="5400" w:type="dxa"/>
            <w:shd w:val="clear" w:color="000000"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v tom: za každý subjekt verejnej správy / program zvlášť</w:t>
            </w:r>
          </w:p>
        </w:tc>
        <w:tc>
          <w:tcPr>
            <w:tcW w:w="3971" w:type="dxa"/>
            <w:shd w:val="clear" w:color="000000" w:fill="FFFFFF" w:themeFill="background1"/>
            <w:noWrap/>
            <w:vAlign w:val="bottom"/>
            <w:hideMark/>
          </w:tcPr>
          <w:p w:rsidR="00A23BBD" w:rsidRPr="00A23BBD" w:rsidRDefault="00A23BBD" w:rsidP="00A23BBD">
            <w:pPr>
              <w:spacing w:after="0" w:line="240" w:lineRule="auto"/>
              <w:jc w:val="right"/>
              <w:rPr>
                <w:rFonts w:ascii="Times New Roman" w:eastAsia="Times New Roman" w:hAnsi="Times New Roman" w:cs="Times New Roman"/>
                <w:sz w:val="24"/>
                <w:szCs w:val="24"/>
                <w:lang w:eastAsia="en-US"/>
              </w:rPr>
            </w:pPr>
            <w:r w:rsidRPr="00A23BBD">
              <w:rPr>
                <w:rFonts w:ascii="Times New Roman" w:eastAsia="Times New Roman" w:hAnsi="Times New Roman" w:cs="Times New Roman"/>
                <w:sz w:val="24"/>
                <w:szCs w:val="24"/>
                <w:lang w:eastAsia="en-US"/>
              </w:rPr>
              <w:t xml:space="preserve">0,00 </w:t>
            </w:r>
          </w:p>
        </w:tc>
      </w:tr>
    </w:tbl>
    <w:p w:rsidR="00A23BBD" w:rsidRDefault="00A23BBD" w:rsidP="008919A0">
      <w:pPr>
        <w:spacing w:after="0" w:line="240" w:lineRule="auto"/>
        <w:jc w:val="both"/>
        <w:rPr>
          <w:rFonts w:ascii="Times New Roman" w:eastAsia="Times New Roman" w:hAnsi="Times New Roman" w:cs="Times New Roman"/>
          <w:sz w:val="24"/>
          <w:szCs w:val="24"/>
        </w:rPr>
        <w:sectPr w:rsidR="00A23BBD" w:rsidSect="00A23BBD">
          <w:headerReference w:type="even"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tbl>
      <w:tblPr>
        <w:tblW w:w="13907" w:type="dxa"/>
        <w:tblInd w:w="93" w:type="dxa"/>
        <w:shd w:val="clear" w:color="auto" w:fill="FFFFFF" w:themeFill="background1"/>
        <w:tblLook w:val="04A0" w:firstRow="1" w:lastRow="0" w:firstColumn="1" w:lastColumn="0" w:noHBand="0" w:noVBand="1"/>
      </w:tblPr>
      <w:tblGrid>
        <w:gridCol w:w="3559"/>
        <w:gridCol w:w="2552"/>
        <w:gridCol w:w="3260"/>
        <w:gridCol w:w="4536"/>
      </w:tblGrid>
      <w:tr w:rsidR="00A23BBD" w:rsidRPr="00A23BBD" w:rsidTr="00A23BBD">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lastRenderedPageBreak/>
              <w:t>Subsektory VS</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Celkový počet zamestnancov*</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rPr>
                <w:rFonts w:ascii="Times New Roman" w:hAnsi="Times New Roman" w:cs="Times New Roman"/>
                <w:sz w:val="28"/>
                <w:szCs w:val="28"/>
              </w:rPr>
            </w:pPr>
            <w:r w:rsidRPr="00A23BBD">
              <w:rPr>
                <w:rFonts w:ascii="Times New Roman" w:hAnsi="Times New Roman" w:cs="Times New Roman"/>
                <w:sz w:val="28"/>
                <w:szCs w:val="28"/>
              </w:rPr>
              <w:t xml:space="preserve">Percentuálny podiel pod MM </w:t>
            </w:r>
            <w:r>
              <w:rPr>
                <w:rFonts w:ascii="Times New Roman" w:hAnsi="Times New Roman" w:cs="Times New Roman"/>
                <w:sz w:val="28"/>
                <w:szCs w:val="28"/>
              </w:rPr>
              <w:t>–</w:t>
            </w:r>
            <w:r w:rsidRPr="00A23BBD">
              <w:rPr>
                <w:rFonts w:ascii="Times New Roman" w:hAnsi="Times New Roman" w:cs="Times New Roman"/>
                <w:sz w:val="28"/>
                <w:szCs w:val="28"/>
              </w:rPr>
              <w:t xml:space="preserve"> 620</w:t>
            </w:r>
            <w:r>
              <w:rPr>
                <w:rFonts w:ascii="Times New Roman" w:hAnsi="Times New Roman" w:cs="Times New Roman"/>
                <w:sz w:val="28"/>
                <w:szCs w:val="28"/>
              </w:rPr>
              <w:t xml:space="preserve"> eur</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rPr>
                <w:rFonts w:ascii="Times New Roman" w:hAnsi="Times New Roman" w:cs="Times New Roman"/>
                <w:sz w:val="28"/>
                <w:szCs w:val="28"/>
              </w:rPr>
            </w:pPr>
            <w:r w:rsidRPr="00A23BBD">
              <w:rPr>
                <w:rFonts w:ascii="Times New Roman" w:hAnsi="Times New Roman" w:cs="Times New Roman"/>
                <w:sz w:val="28"/>
                <w:szCs w:val="28"/>
              </w:rPr>
              <w:t>Celkový počet zamestnancov priamo dotknutých novou MM</w:t>
            </w:r>
          </w:p>
        </w:tc>
      </w:tr>
      <w:tr w:rsidR="00A23BBD" w:rsidRPr="00A23BBD" w:rsidTr="00A23BBD">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VS celkom</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422243</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2,294%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rPr>
                <w:rFonts w:ascii="Times New Roman" w:hAnsi="Times New Roman" w:cs="Times New Roman"/>
                <w:sz w:val="28"/>
                <w:szCs w:val="28"/>
              </w:rPr>
            </w:pPr>
            <w:r w:rsidRPr="00A23BBD">
              <w:rPr>
                <w:rFonts w:ascii="Times New Roman" w:hAnsi="Times New Roman" w:cs="Times New Roman"/>
                <w:sz w:val="28"/>
                <w:szCs w:val="28"/>
              </w:rPr>
              <w:t> </w:t>
            </w:r>
          </w:p>
        </w:tc>
      </w:tr>
      <w:tr w:rsidR="00A23BBD" w:rsidRPr="00A23BBD" w:rsidTr="00A23BBD">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VS ú</w:t>
            </w:r>
            <w:r w:rsidRPr="00A23BBD">
              <w:rPr>
                <w:rFonts w:ascii="Times New Roman" w:eastAsia="Times New Roman" w:hAnsi="Times New Roman" w:cs="Times New Roman"/>
                <w:sz w:val="28"/>
                <w:szCs w:val="28"/>
                <w:lang w:eastAsia="en-US"/>
              </w:rPr>
              <w:t>stredn</w:t>
            </w:r>
            <w:r>
              <w:rPr>
                <w:rFonts w:ascii="Times New Roman" w:eastAsia="Times New Roman" w:hAnsi="Times New Roman" w:cs="Times New Roman"/>
                <w:sz w:val="28"/>
                <w:szCs w:val="28"/>
                <w:lang w:eastAsia="en-US"/>
              </w:rPr>
              <w:t>á vlá</w:t>
            </w:r>
            <w:r w:rsidRPr="00A23BBD">
              <w:rPr>
                <w:rFonts w:ascii="Times New Roman" w:eastAsia="Times New Roman" w:hAnsi="Times New Roman" w:cs="Times New Roman"/>
                <w:sz w:val="28"/>
                <w:szCs w:val="28"/>
                <w:lang w:eastAsia="en-US"/>
              </w:rPr>
              <w:t>da S.1311</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220834</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0,556%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1228,909314</w:t>
            </w:r>
          </w:p>
        </w:tc>
      </w:tr>
      <w:tr w:rsidR="00A23BBD" w:rsidRPr="00A23BBD" w:rsidTr="00A23BBD">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VS samosprá</w:t>
            </w:r>
            <w:r w:rsidRPr="00A23BBD">
              <w:rPr>
                <w:rFonts w:ascii="Times New Roman" w:eastAsia="Times New Roman" w:hAnsi="Times New Roman" w:cs="Times New Roman"/>
                <w:sz w:val="28"/>
                <w:szCs w:val="28"/>
                <w:lang w:eastAsia="en-US"/>
              </w:rPr>
              <w:t>va celkom S.1313</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193988</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3,749%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7273,016063</w:t>
            </w:r>
          </w:p>
        </w:tc>
      </w:tr>
      <w:tr w:rsidR="00A23BBD" w:rsidRPr="00A23BBD" w:rsidTr="00A23BBD">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VS VUC</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42650,5</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3,749%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1599,056496</w:t>
            </w:r>
          </w:p>
        </w:tc>
      </w:tr>
      <w:tr w:rsidR="00A23BBD" w:rsidRPr="00A23BBD" w:rsidTr="00A23BBD">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VS miestna samosprá</w:t>
            </w:r>
            <w:r w:rsidRPr="00A23BBD">
              <w:rPr>
                <w:rFonts w:ascii="Times New Roman" w:eastAsia="Times New Roman" w:hAnsi="Times New Roman" w:cs="Times New Roman"/>
                <w:sz w:val="28"/>
                <w:szCs w:val="28"/>
                <w:lang w:eastAsia="en-US"/>
              </w:rPr>
              <w:t>va (okrem VUC)</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151337,5</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3,749%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5673,959567</w:t>
            </w:r>
          </w:p>
        </w:tc>
      </w:tr>
      <w:tr w:rsidR="00A23BBD" w:rsidRPr="00A23BBD" w:rsidTr="00A23BBD">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VS Soc</w:t>
            </w:r>
            <w:r>
              <w:rPr>
                <w:rFonts w:ascii="Times New Roman" w:eastAsia="Times New Roman" w:hAnsi="Times New Roman" w:cs="Times New Roman"/>
                <w:sz w:val="28"/>
                <w:szCs w:val="28"/>
                <w:lang w:eastAsia="en-US"/>
              </w:rPr>
              <w:t xml:space="preserve">. </w:t>
            </w:r>
            <w:proofErr w:type="spellStart"/>
            <w:r w:rsidRPr="00A23BBD">
              <w:rPr>
                <w:rFonts w:ascii="Times New Roman" w:eastAsia="Times New Roman" w:hAnsi="Times New Roman" w:cs="Times New Roman"/>
                <w:sz w:val="28"/>
                <w:szCs w:val="28"/>
                <w:lang w:eastAsia="en-US"/>
              </w:rPr>
              <w:t>poist</w:t>
            </w:r>
            <w:proofErr w:type="spellEnd"/>
            <w:r>
              <w:rPr>
                <w:rFonts w:ascii="Times New Roman" w:eastAsia="Times New Roman" w:hAnsi="Times New Roman" w:cs="Times New Roman"/>
                <w:sz w:val="28"/>
                <w:szCs w:val="28"/>
                <w:lang w:eastAsia="en-US"/>
              </w:rPr>
              <w:t>.</w:t>
            </w:r>
            <w:r w:rsidRPr="00A23BBD">
              <w:rPr>
                <w:rFonts w:ascii="Times New Roman" w:eastAsia="Times New Roman" w:hAnsi="Times New Roman" w:cs="Times New Roman"/>
                <w:sz w:val="28"/>
                <w:szCs w:val="28"/>
                <w:lang w:eastAsia="en-US"/>
              </w:rPr>
              <w:t xml:space="preserve"> a</w:t>
            </w:r>
            <w:r>
              <w:rPr>
                <w:rFonts w:ascii="Times New Roman" w:eastAsia="Times New Roman" w:hAnsi="Times New Roman" w:cs="Times New Roman"/>
                <w:sz w:val="28"/>
                <w:szCs w:val="28"/>
                <w:lang w:eastAsia="en-US"/>
              </w:rPr>
              <w:t> </w:t>
            </w:r>
            <w:r w:rsidRPr="00A23BBD">
              <w:rPr>
                <w:rFonts w:ascii="Times New Roman" w:eastAsia="Times New Roman" w:hAnsi="Times New Roman" w:cs="Times New Roman"/>
                <w:sz w:val="28"/>
                <w:szCs w:val="28"/>
                <w:lang w:eastAsia="en-US"/>
              </w:rPr>
              <w:t>zdrav</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p</w:t>
            </w:r>
            <w:r w:rsidRPr="00A23BBD">
              <w:rPr>
                <w:rFonts w:ascii="Times New Roman" w:eastAsia="Times New Roman" w:hAnsi="Times New Roman" w:cs="Times New Roman"/>
                <w:sz w:val="28"/>
                <w:szCs w:val="28"/>
                <w:lang w:eastAsia="en-US"/>
              </w:rPr>
              <w:t>oist</w:t>
            </w:r>
            <w:proofErr w:type="spellEnd"/>
            <w:r>
              <w:rPr>
                <w:rFonts w:ascii="Times New Roman" w:eastAsia="Times New Roman" w:hAnsi="Times New Roman" w:cs="Times New Roman"/>
                <w:sz w:val="28"/>
                <w:szCs w:val="28"/>
                <w:lang w:eastAsia="en-US"/>
              </w:rPr>
              <w:t>.</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7421</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0,000%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sz w:val="28"/>
                <w:szCs w:val="28"/>
              </w:rPr>
            </w:pPr>
            <w:r w:rsidRPr="00A23BBD">
              <w:rPr>
                <w:rFonts w:ascii="Times New Roman" w:hAnsi="Times New Roman" w:cs="Times New Roman"/>
                <w:sz w:val="28"/>
                <w:szCs w:val="28"/>
              </w:rPr>
              <w:t>0</w:t>
            </w:r>
          </w:p>
        </w:tc>
      </w:tr>
      <w:tr w:rsidR="00A23BBD" w:rsidRPr="00A23BBD" w:rsidTr="00A23BBD">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 </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A23BBD">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 </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rPr>
                <w:rFonts w:ascii="Times New Roman" w:hAnsi="Times New Roman" w:cs="Times New Roman"/>
                <w:b/>
                <w:bCs/>
                <w:sz w:val="28"/>
                <w:szCs w:val="28"/>
              </w:rPr>
            </w:pPr>
            <w:r w:rsidRPr="00A23BBD">
              <w:rPr>
                <w:rFonts w:ascii="Times New Roman" w:hAnsi="Times New Roman" w:cs="Times New Roman"/>
                <w:b/>
                <w:bCs/>
                <w:sz w:val="28"/>
                <w:szCs w:val="28"/>
              </w:rPr>
              <w:t>SUM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pPr>
              <w:jc w:val="right"/>
              <w:rPr>
                <w:rFonts w:ascii="Times New Roman" w:hAnsi="Times New Roman" w:cs="Times New Roman"/>
                <w:b/>
                <w:bCs/>
                <w:sz w:val="28"/>
                <w:szCs w:val="28"/>
              </w:rPr>
            </w:pPr>
            <w:r w:rsidRPr="00A23BBD">
              <w:rPr>
                <w:rFonts w:ascii="Times New Roman" w:hAnsi="Times New Roman" w:cs="Times New Roman"/>
                <w:b/>
                <w:bCs/>
                <w:sz w:val="28"/>
                <w:szCs w:val="28"/>
              </w:rPr>
              <w:t>13047,10764</w:t>
            </w:r>
          </w:p>
        </w:tc>
      </w:tr>
    </w:tbl>
    <w:p w:rsidR="00A23BBD" w:rsidRDefault="00A23BBD" w:rsidP="008919A0">
      <w:pPr>
        <w:spacing w:after="0" w:line="240" w:lineRule="auto"/>
        <w:jc w:val="both"/>
        <w:rPr>
          <w:rFonts w:ascii="Times New Roman" w:eastAsia="Times New Roman" w:hAnsi="Times New Roman" w:cs="Times New Roman"/>
          <w:color w:val="000000"/>
          <w:lang w:eastAsia="en-US"/>
        </w:rPr>
      </w:pPr>
    </w:p>
    <w:p w:rsidR="002637EF" w:rsidRDefault="002637EF" w:rsidP="008919A0">
      <w:pPr>
        <w:spacing w:after="0" w:line="240" w:lineRule="auto"/>
        <w:jc w:val="both"/>
        <w:rPr>
          <w:rFonts w:ascii="Times New Roman" w:eastAsia="Times New Roman" w:hAnsi="Times New Roman" w:cs="Times New Roman"/>
          <w:color w:val="000000"/>
          <w:lang w:eastAsia="en-US"/>
        </w:rPr>
      </w:pPr>
      <w:r w:rsidRPr="00EC6989">
        <w:rPr>
          <w:rFonts w:ascii="Times New Roman" w:eastAsia="Times New Roman" w:hAnsi="Times New Roman" w:cs="Times New Roman"/>
          <w:color w:val="000000"/>
          <w:lang w:eastAsia="en-US"/>
        </w:rPr>
        <w:t>*Údaje za 4. kvartál 2019 od SRP MF SR.</w:t>
      </w:r>
    </w:p>
    <w:p w:rsidR="002637EF" w:rsidRDefault="002637EF" w:rsidP="008919A0">
      <w:pPr>
        <w:spacing w:after="0" w:line="240" w:lineRule="auto"/>
        <w:jc w:val="both"/>
        <w:rPr>
          <w:rFonts w:ascii="Times New Roman" w:eastAsia="Times New Roman" w:hAnsi="Times New Roman" w:cs="Times New Roman"/>
          <w:sz w:val="24"/>
          <w:szCs w:val="24"/>
        </w:rPr>
        <w:sectPr w:rsidR="002637EF" w:rsidSect="00A23BBD">
          <w:pgSz w:w="16838" w:h="11906" w:orient="landscape"/>
          <w:pgMar w:top="1418" w:right="1418" w:bottom="1418" w:left="1418" w:header="709" w:footer="709" w:gutter="0"/>
          <w:cols w:space="708"/>
          <w:docGrid w:linePitch="360"/>
        </w:sectPr>
      </w:pPr>
    </w:p>
    <w:p w:rsidR="002637EF" w:rsidRPr="00EC6989" w:rsidRDefault="002637EF" w:rsidP="002637EF">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Vo </w:t>
      </w:r>
      <w:r w:rsidRPr="00EC6989">
        <w:rPr>
          <w:rFonts w:ascii="Times New Roman" w:eastAsia="Times New Roman" w:hAnsi="Times New Roman" w:cs="Times New Roman"/>
          <w:sz w:val="24"/>
          <w:szCs w:val="24"/>
        </w:rPr>
        <w:t>viacerých zákonoch je suma minimálnej mzdy použitá ako referenčná veličina pre určenie výšky určitého nárokového plnenia. Možný vplyv úpravy minimálnej mzdy na potreby prostriedkov zo štátneho rozpočtu závisí od počtu vzniknutých prípadov, zakladajúcich nárok na príslušné plnenie. Kvantifikovať je preto možné len dopad na jeden vzniknutý prípad. Vzhľadom</w:t>
      </w:r>
      <w:r>
        <w:rPr>
          <w:rFonts w:ascii="Times New Roman" w:eastAsia="Times New Roman" w:hAnsi="Times New Roman" w:cs="Times New Roman"/>
          <w:sz w:val="24"/>
          <w:szCs w:val="24"/>
        </w:rPr>
        <w:t xml:space="preserve"> na to</w:t>
      </w:r>
      <w:r w:rsidRPr="00EC6989">
        <w:rPr>
          <w:rFonts w:ascii="Times New Roman" w:eastAsia="Times New Roman" w:hAnsi="Times New Roman" w:cs="Times New Roman"/>
          <w:sz w:val="24"/>
          <w:szCs w:val="24"/>
        </w:rPr>
        <w:t>, že návrhom sa nezvyšuje minimálna mzda na rok 2021, ale dochádza k jej zmene</w:t>
      </w:r>
      <w:r>
        <w:rPr>
          <w:rFonts w:ascii="Times New Roman" w:eastAsia="Times New Roman" w:hAnsi="Times New Roman" w:cs="Times New Roman"/>
          <w:sz w:val="24"/>
          <w:szCs w:val="24"/>
        </w:rPr>
        <w:t xml:space="preserve"> oproti zákonom predvídanej sume</w:t>
      </w:r>
      <w:r w:rsidRPr="00EC6989">
        <w:rPr>
          <w:rFonts w:ascii="Times New Roman" w:eastAsia="Times New Roman" w:hAnsi="Times New Roman" w:cs="Times New Roman"/>
          <w:sz w:val="24"/>
          <w:szCs w:val="24"/>
        </w:rPr>
        <w:t xml:space="preserve">, oproti roku 2020 síce dochádza k nárastu výdavkov ale v porovnaní s nákladmi pri sume 656 eur dochádza k ich redukcii </w:t>
      </w:r>
    </w:p>
    <w:p w:rsidR="002637EF" w:rsidRPr="00EC6989" w:rsidRDefault="002637EF" w:rsidP="002637EF">
      <w:pPr>
        <w:spacing w:after="0" w:line="240" w:lineRule="auto"/>
        <w:jc w:val="both"/>
        <w:rPr>
          <w:rFonts w:ascii="Times New Roman" w:eastAsia="Times New Roman" w:hAnsi="Times New Roman" w:cs="Times New Roman"/>
          <w:sz w:val="24"/>
          <w:szCs w:val="24"/>
        </w:rPr>
      </w:pPr>
    </w:p>
    <w:p w:rsidR="002637EF" w:rsidRPr="00EC6989" w:rsidRDefault="002637EF" w:rsidP="002637EF">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Ide najmä o nasledujúce právne predpisy:</w:t>
      </w:r>
    </w:p>
    <w:p w:rsidR="002637EF" w:rsidRPr="00EC6989" w:rsidRDefault="002637EF" w:rsidP="002637EF">
      <w:pPr>
        <w:spacing w:after="0" w:line="240" w:lineRule="auto"/>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gridCol w:w="1418"/>
      </w:tblGrid>
      <w:tr w:rsidR="002637EF" w:rsidRPr="00EC6989" w:rsidTr="002E20AB">
        <w:trPr>
          <w:trHeight w:val="285"/>
        </w:trPr>
        <w:tc>
          <w:tcPr>
            <w:tcW w:w="8188" w:type="dxa"/>
            <w:noWrap/>
          </w:tcPr>
          <w:p w:rsidR="002637EF" w:rsidRPr="00EC6989" w:rsidRDefault="002637EF" w:rsidP="002E20AB">
            <w:pPr>
              <w:spacing w:after="0" w:line="240" w:lineRule="auto"/>
              <w:ind w:left="-18"/>
              <w:rPr>
                <w:rFonts w:ascii="Times New Roman" w:hAnsi="Times New Roman" w:cs="Times New Roman"/>
                <w:b/>
                <w:sz w:val="24"/>
                <w:szCs w:val="24"/>
              </w:rPr>
            </w:pPr>
            <w:r w:rsidRPr="00EC6989">
              <w:rPr>
                <w:rFonts w:ascii="Times New Roman" w:hAnsi="Times New Roman" w:cs="Times New Roman"/>
                <w:b/>
                <w:sz w:val="24"/>
                <w:szCs w:val="24"/>
              </w:rPr>
              <w:t>Zmena vyčísliteľná v e</w:t>
            </w:r>
            <w:r w:rsidR="0030440F">
              <w:rPr>
                <w:rFonts w:ascii="Times New Roman" w:hAnsi="Times New Roman" w:cs="Times New Roman"/>
                <w:b/>
                <w:sz w:val="24"/>
                <w:szCs w:val="24"/>
              </w:rPr>
              <w:t>urách v porovnaní so sumou 580</w:t>
            </w:r>
            <w:r w:rsidRPr="00EC6989">
              <w:rPr>
                <w:rFonts w:ascii="Times New Roman" w:hAnsi="Times New Roman" w:cs="Times New Roman"/>
                <w:b/>
                <w:sz w:val="24"/>
                <w:szCs w:val="24"/>
              </w:rPr>
              <w:t xml:space="preserve"> eur</w:t>
            </w:r>
          </w:p>
        </w:tc>
        <w:tc>
          <w:tcPr>
            <w:tcW w:w="1418" w:type="dxa"/>
            <w:noWrap/>
            <w:vAlign w:val="center"/>
          </w:tcPr>
          <w:p w:rsidR="002637EF" w:rsidRPr="00EC6989" w:rsidRDefault="002637EF" w:rsidP="002E20AB">
            <w:pPr>
              <w:spacing w:after="0" w:line="240" w:lineRule="auto"/>
              <w:ind w:right="-70"/>
              <w:rPr>
                <w:rFonts w:ascii="Times New Roman" w:hAnsi="Times New Roman" w:cs="Times New Roman"/>
                <w:b/>
                <w:sz w:val="24"/>
                <w:szCs w:val="24"/>
              </w:rPr>
            </w:pPr>
            <w:r w:rsidRPr="00EC6989">
              <w:rPr>
                <w:rFonts w:ascii="Times New Roman" w:hAnsi="Times New Roman" w:cs="Times New Roman"/>
                <w:b/>
                <w:sz w:val="24"/>
                <w:szCs w:val="24"/>
              </w:rPr>
              <w:t>Zmena v eurách</w:t>
            </w:r>
          </w:p>
        </w:tc>
      </w:tr>
      <w:tr w:rsidR="002637EF" w:rsidRPr="00EC6989" w:rsidTr="002E20AB">
        <w:trPr>
          <w:trHeight w:val="285"/>
        </w:trPr>
        <w:tc>
          <w:tcPr>
            <w:tcW w:w="9606" w:type="dxa"/>
            <w:gridSpan w:val="2"/>
            <w:noWrap/>
            <w:vAlign w:val="center"/>
          </w:tcPr>
          <w:p w:rsidR="002637EF" w:rsidRPr="00EC6989" w:rsidRDefault="002637EF" w:rsidP="002E20AB">
            <w:pPr>
              <w:spacing w:after="0" w:line="240" w:lineRule="auto"/>
              <w:ind w:right="-270"/>
              <w:rPr>
                <w:rFonts w:ascii="Times New Roman" w:hAnsi="Times New Roman" w:cs="Times New Roman"/>
                <w:b/>
                <w:bCs/>
                <w:sz w:val="24"/>
                <w:szCs w:val="24"/>
              </w:rPr>
            </w:pPr>
            <w:r w:rsidRPr="00EC6989">
              <w:rPr>
                <w:rFonts w:ascii="Times New Roman" w:hAnsi="Times New Roman" w:cs="Times New Roman"/>
                <w:b/>
                <w:bCs/>
                <w:sz w:val="24"/>
                <w:szCs w:val="24"/>
              </w:rPr>
              <w:t>Jednorazové odškodnenie prokurátora podľa zákona č. 154/2001 Z. z.</w:t>
            </w:r>
            <w:r w:rsidRPr="00EC6989">
              <w:rPr>
                <w:rFonts w:ascii="Times New Roman" w:hAnsi="Times New Roman" w:cs="Times New Roman"/>
                <w:b/>
                <w:bCs/>
                <w:sz w:val="24"/>
                <w:szCs w:val="24"/>
                <w:vertAlign w:val="superscript"/>
              </w:rPr>
              <w:t xml:space="preserve"> </w:t>
            </w:r>
            <w:r w:rsidRPr="00EC6989">
              <w:rPr>
                <w:rFonts w:ascii="Times New Roman" w:hAnsi="Times New Roman" w:cs="Times New Roman"/>
                <w:b/>
                <w:bCs/>
                <w:sz w:val="24"/>
                <w:szCs w:val="24"/>
              </w:rPr>
              <w:t xml:space="preserve">o prokurátoroch a právnych čakateľoch prokuratúry v znení neskorších predpisov </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z w:val="24"/>
                <w:szCs w:val="24"/>
              </w:rPr>
            </w:pPr>
            <w:r w:rsidRPr="00EC6989">
              <w:rPr>
                <w:rFonts w:ascii="Times New Roman" w:hAnsi="Times New Roman" w:cs="Times New Roman"/>
                <w:i/>
                <w:iCs/>
                <w:sz w:val="24"/>
                <w:szCs w:val="24"/>
              </w:rPr>
              <w:t xml:space="preserve"> - </w:t>
            </w:r>
            <w:r w:rsidRPr="00EC6989">
              <w:rPr>
                <w:rFonts w:ascii="Times New Roman" w:hAnsi="Times New Roman" w:cs="Times New Roman"/>
                <w:bCs/>
                <w:i/>
                <w:iCs/>
                <w:sz w:val="24"/>
                <w:szCs w:val="24"/>
              </w:rPr>
              <w:t>v prípade</w:t>
            </w:r>
            <w:r w:rsidRPr="00EC6989">
              <w:rPr>
                <w:rFonts w:ascii="Times New Roman" w:hAnsi="Times New Roman" w:cs="Times New Roman"/>
                <w:i/>
                <w:iCs/>
                <w:sz w:val="24"/>
                <w:szCs w:val="24"/>
              </w:rPr>
              <w:t xml:space="preserve"> služobného úrazu prokurátora 100-nás. MM (§ 169)</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4000,00</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z w:val="24"/>
                <w:szCs w:val="24"/>
              </w:rPr>
            </w:pPr>
            <w:r w:rsidRPr="00EC6989">
              <w:rPr>
                <w:rFonts w:ascii="Times New Roman" w:hAnsi="Times New Roman" w:cs="Times New Roman"/>
                <w:i/>
                <w:iCs/>
                <w:sz w:val="24"/>
                <w:szCs w:val="24"/>
              </w:rPr>
              <w:t xml:space="preserve"> - manželke a deťom prokurátora zomrelého prokurátora 50- nás. MM (§ 175)</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2000,00</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pacing w:val="-2"/>
                <w:sz w:val="24"/>
                <w:szCs w:val="24"/>
              </w:rPr>
            </w:pPr>
            <w:r w:rsidRPr="00EC6989">
              <w:rPr>
                <w:rFonts w:ascii="Times New Roman" w:hAnsi="Times New Roman" w:cs="Times New Roman"/>
                <w:i/>
                <w:iCs/>
                <w:spacing w:val="-2"/>
                <w:sz w:val="24"/>
                <w:szCs w:val="24"/>
              </w:rPr>
              <w:t xml:space="preserve"> - rodičom zomrelého prokurátora v odôvodnených prípadoch 20-nás. MM (§ 175)</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800,00</w:t>
            </w:r>
          </w:p>
        </w:tc>
      </w:tr>
      <w:tr w:rsidR="002637EF" w:rsidRPr="00EC6989" w:rsidTr="002E20AB">
        <w:trPr>
          <w:trHeight w:val="285"/>
        </w:trPr>
        <w:tc>
          <w:tcPr>
            <w:tcW w:w="9606" w:type="dxa"/>
            <w:gridSpan w:val="2"/>
            <w:noWrap/>
            <w:vAlign w:val="center"/>
          </w:tcPr>
          <w:p w:rsidR="002637EF" w:rsidRPr="00EC6989" w:rsidRDefault="002637EF" w:rsidP="002E20AB">
            <w:pPr>
              <w:spacing w:after="0" w:line="240" w:lineRule="auto"/>
              <w:ind w:left="-18"/>
              <w:rPr>
                <w:rFonts w:ascii="Times New Roman" w:hAnsi="Times New Roman" w:cs="Times New Roman"/>
                <w:b/>
                <w:bCs/>
                <w:sz w:val="24"/>
                <w:szCs w:val="24"/>
                <w:vertAlign w:val="superscript"/>
              </w:rPr>
            </w:pPr>
            <w:r w:rsidRPr="00EC6989">
              <w:rPr>
                <w:rFonts w:ascii="Times New Roman" w:hAnsi="Times New Roman" w:cs="Times New Roman"/>
                <w:b/>
                <w:bCs/>
                <w:sz w:val="24"/>
                <w:szCs w:val="24"/>
              </w:rPr>
              <w:t>Jednorazové odškodnenie sudcu podľa zákona č. 385/2000 Z. z. o sudcoch a prísediacich.... v znení neskorších predpisov</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z w:val="24"/>
                <w:szCs w:val="24"/>
              </w:rPr>
            </w:pPr>
            <w:r w:rsidRPr="00EC6989">
              <w:rPr>
                <w:rFonts w:ascii="Times New Roman" w:hAnsi="Times New Roman" w:cs="Times New Roman"/>
                <w:i/>
                <w:iCs/>
                <w:sz w:val="24"/>
                <w:szCs w:val="24"/>
              </w:rPr>
              <w:t xml:space="preserve"> - </w:t>
            </w:r>
            <w:r w:rsidRPr="00EC6989">
              <w:rPr>
                <w:rFonts w:ascii="Times New Roman" w:hAnsi="Times New Roman" w:cs="Times New Roman"/>
                <w:bCs/>
                <w:i/>
                <w:iCs/>
                <w:sz w:val="24"/>
                <w:szCs w:val="24"/>
              </w:rPr>
              <w:t>v prípade</w:t>
            </w:r>
            <w:r w:rsidRPr="00EC6989">
              <w:rPr>
                <w:rFonts w:ascii="Times New Roman" w:hAnsi="Times New Roman" w:cs="Times New Roman"/>
                <w:i/>
                <w:iCs/>
                <w:sz w:val="24"/>
                <w:szCs w:val="24"/>
              </w:rPr>
              <w:t xml:space="preserve"> služobného úrazu sudcu 100- nás. MM (§ 112)</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4000,00</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z w:val="24"/>
                <w:szCs w:val="24"/>
              </w:rPr>
            </w:pPr>
            <w:r w:rsidRPr="00EC6989">
              <w:rPr>
                <w:rFonts w:ascii="Times New Roman" w:hAnsi="Times New Roman" w:cs="Times New Roman"/>
                <w:i/>
                <w:iCs/>
                <w:sz w:val="24"/>
                <w:szCs w:val="24"/>
              </w:rPr>
              <w:t xml:space="preserve"> - manželke a deťom zomrelého sudcu 50-nás. MM (§ 113)</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2000,00</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z w:val="24"/>
                <w:szCs w:val="24"/>
              </w:rPr>
            </w:pPr>
            <w:r w:rsidRPr="00EC6989">
              <w:rPr>
                <w:rFonts w:ascii="Times New Roman" w:hAnsi="Times New Roman" w:cs="Times New Roman"/>
                <w:i/>
                <w:iCs/>
                <w:sz w:val="24"/>
                <w:szCs w:val="24"/>
              </w:rPr>
              <w:t xml:space="preserve"> - rodičom zomrelého sudcu v odôvodnených prípadoch 20-nás. MM (§ 113)</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800,00</w:t>
            </w:r>
          </w:p>
        </w:tc>
      </w:tr>
      <w:tr w:rsidR="002637EF" w:rsidRPr="00EC6989" w:rsidTr="002E20AB">
        <w:trPr>
          <w:trHeight w:val="255"/>
        </w:trPr>
        <w:tc>
          <w:tcPr>
            <w:tcW w:w="9606" w:type="dxa"/>
            <w:gridSpan w:val="2"/>
            <w:noWrap/>
            <w:vAlign w:val="center"/>
          </w:tcPr>
          <w:p w:rsidR="002637EF" w:rsidRPr="00EC6989" w:rsidRDefault="002637EF" w:rsidP="002E20AB">
            <w:pPr>
              <w:spacing w:after="0" w:line="240" w:lineRule="auto"/>
              <w:rPr>
                <w:rFonts w:ascii="Times New Roman" w:hAnsi="Times New Roman" w:cs="Times New Roman"/>
                <w:b/>
                <w:sz w:val="24"/>
                <w:szCs w:val="24"/>
                <w:vertAlign w:val="superscript"/>
              </w:rPr>
            </w:pPr>
            <w:r w:rsidRPr="00EC6989">
              <w:rPr>
                <w:rFonts w:ascii="Times New Roman" w:hAnsi="Times New Roman" w:cs="Times New Roman"/>
                <w:b/>
                <w:bCs/>
                <w:sz w:val="24"/>
                <w:szCs w:val="24"/>
              </w:rPr>
              <w:t xml:space="preserve">Jednorazové odškodnenie podľa zákona </w:t>
            </w:r>
            <w:r w:rsidRPr="00EC6989">
              <w:rPr>
                <w:rFonts w:ascii="Times New Roman" w:hAnsi="Times New Roman" w:cs="Times New Roman"/>
                <w:b/>
                <w:sz w:val="24"/>
                <w:szCs w:val="24"/>
              </w:rPr>
              <w:t xml:space="preserve">č. 215/2006 Z. z. o odškodňovaní osôb poškodených násilnými trestnými činmi v znení zákona č. </w:t>
            </w:r>
            <w:hyperlink r:id="rId17" w:history="1">
              <w:r w:rsidRPr="00EC6989">
                <w:rPr>
                  <w:rFonts w:ascii="Times New Roman" w:hAnsi="Times New Roman" w:cs="Times New Roman"/>
                  <w:b/>
                  <w:sz w:val="24"/>
                  <w:szCs w:val="24"/>
                </w:rPr>
                <w:t>79/2008 Z. z.</w:t>
              </w:r>
            </w:hyperlink>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z w:val="24"/>
                <w:szCs w:val="24"/>
              </w:rPr>
            </w:pPr>
            <w:r w:rsidRPr="00EC6989">
              <w:rPr>
                <w:rFonts w:ascii="Times New Roman" w:hAnsi="Times New Roman" w:cs="Times New Roman"/>
                <w:i/>
                <w:iCs/>
                <w:sz w:val="24"/>
                <w:szCs w:val="24"/>
              </w:rPr>
              <w:t xml:space="preserve"> - osobe usmrtenej násilným činom 50-nás. MM (§ 5)</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2000,00</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z w:val="24"/>
                <w:szCs w:val="24"/>
              </w:rPr>
            </w:pPr>
            <w:r w:rsidRPr="00EC6989">
              <w:rPr>
                <w:rFonts w:ascii="Times New Roman" w:hAnsi="Times New Roman" w:cs="Times New Roman"/>
                <w:i/>
                <w:iCs/>
                <w:sz w:val="24"/>
                <w:szCs w:val="24"/>
              </w:rPr>
              <w:t xml:space="preserve"> - osobe poškodenej znásilnením alebo sexuálnym násilím 10-nás. MM (§ 5)</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400,00</w:t>
            </w:r>
          </w:p>
        </w:tc>
      </w:tr>
      <w:tr w:rsidR="002637EF" w:rsidRPr="00EC6989" w:rsidTr="002E20AB">
        <w:trPr>
          <w:trHeight w:val="255"/>
        </w:trPr>
        <w:tc>
          <w:tcPr>
            <w:tcW w:w="9606" w:type="dxa"/>
            <w:gridSpan w:val="2"/>
            <w:noWrap/>
            <w:vAlign w:val="center"/>
          </w:tcPr>
          <w:p w:rsidR="002637EF" w:rsidRPr="00EC6989" w:rsidRDefault="002637EF" w:rsidP="002E20AB">
            <w:pPr>
              <w:spacing w:after="0" w:line="240" w:lineRule="auto"/>
              <w:rPr>
                <w:rFonts w:ascii="Times New Roman" w:hAnsi="Times New Roman" w:cs="Times New Roman"/>
                <w:b/>
                <w:bCs/>
                <w:sz w:val="24"/>
                <w:szCs w:val="24"/>
              </w:rPr>
            </w:pPr>
            <w:r w:rsidRPr="00EC6989">
              <w:rPr>
                <w:rFonts w:ascii="Times New Roman" w:hAnsi="Times New Roman" w:cs="Times New Roman"/>
                <w:b/>
                <w:bCs/>
                <w:sz w:val="24"/>
                <w:szCs w:val="24"/>
              </w:rPr>
              <w:t xml:space="preserve">Jednorazové odškodnenie podľa zákona </w:t>
            </w:r>
            <w:r w:rsidRPr="00EC6989">
              <w:rPr>
                <w:rFonts w:ascii="Times New Roman" w:hAnsi="Times New Roman" w:cs="Times New Roman"/>
                <w:b/>
                <w:sz w:val="24"/>
                <w:szCs w:val="24"/>
              </w:rPr>
              <w:t>č. 543/2002 Z. z. o ochrane prírody v znení neskorších predpisov</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sz w:val="24"/>
                <w:szCs w:val="24"/>
              </w:rPr>
            </w:pPr>
            <w:r w:rsidRPr="00EC6989">
              <w:rPr>
                <w:rFonts w:ascii="Times New Roman" w:hAnsi="Times New Roman" w:cs="Times New Roman"/>
                <w:i/>
                <w:iCs/>
                <w:sz w:val="24"/>
                <w:szCs w:val="24"/>
              </w:rPr>
              <w:t xml:space="preserve"> - manželovi (druhovi) usmrteného a pozostalej maloletej osobe vo výške 30-násobku </w:t>
            </w:r>
            <w:bookmarkStart w:id="0" w:name="731"/>
            <w:bookmarkEnd w:id="0"/>
            <w:r w:rsidRPr="00EC6989">
              <w:rPr>
                <w:rFonts w:ascii="Times New Roman" w:hAnsi="Times New Roman" w:cs="Times New Roman"/>
                <w:i/>
                <w:iCs/>
                <w:sz w:val="24"/>
                <w:szCs w:val="24"/>
              </w:rPr>
              <w:t xml:space="preserve">minimálnej </w:t>
            </w:r>
            <w:bookmarkStart w:id="1" w:name="732"/>
            <w:bookmarkEnd w:id="1"/>
            <w:r w:rsidRPr="00EC6989">
              <w:rPr>
                <w:rFonts w:ascii="Times New Roman" w:hAnsi="Times New Roman" w:cs="Times New Roman"/>
                <w:i/>
                <w:iCs/>
                <w:sz w:val="24"/>
                <w:szCs w:val="24"/>
              </w:rPr>
              <w:t>mzdy (§ 99)</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1200,00</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ind w:left="-18"/>
              <w:rPr>
                <w:rFonts w:ascii="Times New Roman" w:hAnsi="Times New Roman" w:cs="Times New Roman"/>
                <w:i/>
                <w:iCs/>
                <w:sz w:val="24"/>
                <w:szCs w:val="24"/>
              </w:rPr>
            </w:pPr>
            <w:r w:rsidRPr="00EC6989">
              <w:rPr>
                <w:rFonts w:ascii="Times New Roman" w:hAnsi="Times New Roman" w:cs="Times New Roman"/>
                <w:i/>
                <w:iCs/>
                <w:sz w:val="24"/>
                <w:szCs w:val="24"/>
              </w:rPr>
              <w:t xml:space="preserve"> - ostatným pozostalým vo výške 20-násobku </w:t>
            </w:r>
            <w:bookmarkStart w:id="2" w:name="733"/>
            <w:bookmarkEnd w:id="2"/>
            <w:r w:rsidRPr="00EC6989">
              <w:rPr>
                <w:rFonts w:ascii="Times New Roman" w:hAnsi="Times New Roman" w:cs="Times New Roman"/>
                <w:i/>
                <w:iCs/>
                <w:sz w:val="24"/>
                <w:szCs w:val="24"/>
              </w:rPr>
              <w:t xml:space="preserve">minimálnej </w:t>
            </w:r>
            <w:bookmarkStart w:id="3" w:name="734"/>
            <w:bookmarkEnd w:id="3"/>
            <w:r w:rsidRPr="00EC6989">
              <w:rPr>
                <w:rFonts w:ascii="Times New Roman" w:hAnsi="Times New Roman" w:cs="Times New Roman"/>
                <w:i/>
                <w:iCs/>
                <w:sz w:val="24"/>
                <w:szCs w:val="24"/>
              </w:rPr>
              <w:t>mzdy (§ 99)</w:t>
            </w:r>
          </w:p>
        </w:tc>
        <w:tc>
          <w:tcPr>
            <w:tcW w:w="1418" w:type="dxa"/>
            <w:noWrap/>
            <w:vAlign w:val="center"/>
          </w:tcPr>
          <w:p w:rsidR="002637EF" w:rsidRPr="00EC6989" w:rsidRDefault="002637EF" w:rsidP="002E20AB">
            <w:pPr>
              <w:spacing w:after="0" w:line="240" w:lineRule="auto"/>
              <w:jc w:val="center"/>
              <w:rPr>
                <w:rFonts w:ascii="Times New Roman" w:hAnsi="Times New Roman" w:cs="Times New Roman"/>
                <w:i/>
                <w:sz w:val="24"/>
                <w:szCs w:val="24"/>
              </w:rPr>
            </w:pPr>
            <w:r w:rsidRPr="00EC6989">
              <w:rPr>
                <w:rFonts w:ascii="Times New Roman" w:hAnsi="Times New Roman" w:cs="Times New Roman"/>
                <w:i/>
                <w:sz w:val="24"/>
                <w:szCs w:val="24"/>
              </w:rPr>
              <w:t>800,00</w:t>
            </w:r>
          </w:p>
        </w:tc>
      </w:tr>
      <w:tr w:rsidR="002637EF" w:rsidRPr="00EC6989" w:rsidTr="002E20AB">
        <w:trPr>
          <w:trHeight w:val="255"/>
        </w:trPr>
        <w:tc>
          <w:tcPr>
            <w:tcW w:w="8188" w:type="dxa"/>
            <w:noWrap/>
            <w:vAlign w:val="center"/>
          </w:tcPr>
          <w:p w:rsidR="002637EF" w:rsidRPr="00EC6989" w:rsidRDefault="002637EF" w:rsidP="002E20AB">
            <w:pPr>
              <w:spacing w:after="0" w:line="240" w:lineRule="auto"/>
              <w:rPr>
                <w:rFonts w:ascii="Times New Roman" w:hAnsi="Times New Roman" w:cs="Times New Roman"/>
                <w:sz w:val="24"/>
                <w:szCs w:val="24"/>
              </w:rPr>
            </w:pPr>
          </w:p>
        </w:tc>
        <w:tc>
          <w:tcPr>
            <w:tcW w:w="1418" w:type="dxa"/>
            <w:vAlign w:val="center"/>
          </w:tcPr>
          <w:p w:rsidR="002637EF" w:rsidRPr="00EC6989" w:rsidRDefault="002637EF" w:rsidP="002E20AB">
            <w:pPr>
              <w:spacing w:after="0" w:line="240" w:lineRule="auto"/>
              <w:jc w:val="center"/>
              <w:rPr>
                <w:rFonts w:ascii="Times New Roman" w:hAnsi="Times New Roman" w:cs="Times New Roman"/>
                <w:i/>
                <w:sz w:val="24"/>
                <w:szCs w:val="24"/>
              </w:rPr>
            </w:pPr>
          </w:p>
        </w:tc>
      </w:tr>
    </w:tbl>
    <w:p w:rsidR="002637EF" w:rsidRPr="00EC6989" w:rsidRDefault="002637EF" w:rsidP="002637EF">
      <w:pPr>
        <w:spacing w:after="0" w:line="240" w:lineRule="auto"/>
        <w:jc w:val="both"/>
        <w:rPr>
          <w:rFonts w:ascii="Times New Roman" w:eastAsia="Times New Roman" w:hAnsi="Times New Roman" w:cs="Times New Roman"/>
          <w:sz w:val="24"/>
          <w:szCs w:val="24"/>
        </w:rPr>
      </w:pPr>
    </w:p>
    <w:p w:rsidR="002637EF" w:rsidRPr="004A14B0" w:rsidRDefault="002637EF" w:rsidP="004A14B0">
      <w:pPr>
        <w:spacing w:after="0" w:line="240" w:lineRule="auto"/>
        <w:ind w:firstLine="708"/>
        <w:jc w:val="both"/>
        <w:rPr>
          <w:rFonts w:ascii="Times New Roman" w:hAnsi="Times New Roman" w:cs="Times New Roman"/>
          <w:b/>
          <w:bCs/>
          <w:sz w:val="24"/>
          <w:szCs w:val="24"/>
        </w:rPr>
      </w:pPr>
      <w:r w:rsidRPr="00EC6989">
        <w:rPr>
          <w:rFonts w:ascii="Times New Roman" w:hAnsi="Times New Roman" w:cs="Times New Roman"/>
          <w:sz w:val="24"/>
          <w:szCs w:val="24"/>
        </w:rPr>
        <w:t xml:space="preserve">Nepriamo vyvolaným vplyvom úpravy sumy minimálnej mzdy na štátny rozpočet môže byť </w:t>
      </w:r>
      <w:r w:rsidR="00334068">
        <w:rPr>
          <w:rFonts w:ascii="Times New Roman" w:hAnsi="Times New Roman" w:cs="Times New Roman"/>
          <w:b/>
          <w:bCs/>
          <w:sz w:val="24"/>
          <w:szCs w:val="24"/>
        </w:rPr>
        <w:t>zmena</w:t>
      </w:r>
      <w:r w:rsidRPr="00EC6989">
        <w:rPr>
          <w:rFonts w:ascii="Times New Roman" w:hAnsi="Times New Roman" w:cs="Times New Roman"/>
          <w:b/>
          <w:bCs/>
          <w:sz w:val="24"/>
          <w:szCs w:val="24"/>
        </w:rPr>
        <w:t xml:space="preserve"> pracovnej odmeny obvinených a odsúdených</w:t>
      </w:r>
      <w:r w:rsidRPr="00EC6989">
        <w:rPr>
          <w:rFonts w:ascii="Times New Roman" w:hAnsi="Times New Roman" w:cs="Times New Roman"/>
          <w:sz w:val="24"/>
          <w:szCs w:val="24"/>
        </w:rPr>
        <w:t xml:space="preserve"> podľa nariadenia vlády Slovenskej republiky </w:t>
      </w:r>
      <w:r w:rsidRPr="00EC6989">
        <w:rPr>
          <w:rFonts w:ascii="Times New Roman" w:hAnsi="Times New Roman" w:cs="Times New Roman"/>
          <w:b/>
          <w:sz w:val="24"/>
          <w:szCs w:val="24"/>
        </w:rPr>
        <w:t>č. 384/2006 Z. z. o výške pracovnej odmeny</w:t>
      </w:r>
      <w:r w:rsidRPr="00EC6989">
        <w:rPr>
          <w:rFonts w:ascii="Times New Roman" w:hAnsi="Times New Roman" w:cs="Times New Roman"/>
          <w:sz w:val="24"/>
          <w:szCs w:val="24"/>
        </w:rPr>
        <w:t xml:space="preserve"> a podmienkach jej poskytovania obvineným a odsúdeným v znení neskorších predpisov. Podľa § 3 ods. 3 tohto nariadenia vlády sa výška pracovných taríf </w:t>
      </w:r>
      <w:r w:rsidRPr="00EC6989">
        <w:rPr>
          <w:rFonts w:ascii="Times New Roman" w:hAnsi="Times New Roman" w:cs="Times New Roman"/>
          <w:bCs/>
          <w:sz w:val="24"/>
          <w:szCs w:val="24"/>
        </w:rPr>
        <w:t>pre obvinených a odsúdených zaradených do práce</w:t>
      </w:r>
      <w:r w:rsidRPr="00EC6989">
        <w:rPr>
          <w:rFonts w:ascii="Times New Roman" w:hAnsi="Times New Roman" w:cs="Times New Roman"/>
          <w:sz w:val="24"/>
          <w:szCs w:val="24"/>
        </w:rPr>
        <w:t xml:space="preserve"> upraví vždy k 1. januáru príslušného kalendárneho roka </w:t>
      </w:r>
      <w:r w:rsidRPr="00EC6989">
        <w:rPr>
          <w:rFonts w:ascii="Times New Roman" w:hAnsi="Times New Roman" w:cs="Times New Roman"/>
          <w:b/>
          <w:bCs/>
          <w:sz w:val="24"/>
          <w:szCs w:val="24"/>
        </w:rPr>
        <w:t>úmerne zvýšeniu minimálnej mzdy</w:t>
      </w:r>
      <w:r w:rsidRPr="00EC6989">
        <w:rPr>
          <w:rFonts w:ascii="Times New Roman" w:hAnsi="Times New Roman" w:cs="Times New Roman"/>
          <w:sz w:val="24"/>
          <w:szCs w:val="24"/>
        </w:rPr>
        <w:t xml:space="preserve">. Ak sa na rok 2021 ustanovenie § 3 ods. 3 použije, po zaokrúhlení podielu výšky ustanovenej minimálnej mzdy 620 eur mesačne a výšky minimálnej mzdy ustanovenej v predchádzajúcom roku (580 eur mesačne) </w:t>
      </w:r>
      <w:r w:rsidRPr="00EC6989">
        <w:rPr>
          <w:rFonts w:ascii="Times New Roman" w:hAnsi="Times New Roman" w:cs="Times New Roman"/>
          <w:b/>
          <w:sz w:val="24"/>
          <w:szCs w:val="24"/>
        </w:rPr>
        <w:t>s presnosťou na dve desatinné miesta</w:t>
      </w:r>
      <w:r w:rsidRPr="00EC6989">
        <w:rPr>
          <w:rFonts w:ascii="Times New Roman" w:hAnsi="Times New Roman" w:cs="Times New Roman"/>
          <w:sz w:val="24"/>
          <w:szCs w:val="24"/>
        </w:rPr>
        <w:t>, na rok 2020 bude koeficient</w:t>
      </w:r>
      <w:r w:rsidRPr="00EC6989">
        <w:rPr>
          <w:rFonts w:ascii="Times New Roman" w:hAnsi="Times New Roman" w:cs="Times New Roman"/>
          <w:b/>
          <w:sz w:val="24"/>
          <w:szCs w:val="24"/>
        </w:rPr>
        <w:t xml:space="preserve"> predstavovať 1,07.</w:t>
      </w:r>
    </w:p>
    <w:p w:rsidR="002637EF" w:rsidRPr="00EC6989" w:rsidRDefault="002637EF" w:rsidP="002637EF">
      <w:pPr>
        <w:spacing w:after="0" w:line="240" w:lineRule="auto"/>
        <w:ind w:firstLine="708"/>
        <w:rPr>
          <w:rFonts w:ascii="Times New Roman" w:hAnsi="Times New Roman" w:cs="Times New Roman"/>
          <w:b/>
          <w:sz w:val="24"/>
          <w:szCs w:val="24"/>
        </w:rPr>
      </w:pPr>
    </w:p>
    <w:p w:rsidR="002637EF" w:rsidRPr="00EC6989" w:rsidRDefault="002637EF" w:rsidP="002637EF">
      <w:pPr>
        <w:pStyle w:val="Nzov"/>
        <w:jc w:val="both"/>
        <w:rPr>
          <w:b/>
          <w:bCs/>
          <w:iCs/>
          <w:sz w:val="24"/>
          <w:szCs w:val="24"/>
        </w:rPr>
      </w:pPr>
      <w:r w:rsidRPr="00EC6989">
        <w:rPr>
          <w:b/>
          <w:bCs/>
          <w:iCs/>
          <w:sz w:val="24"/>
          <w:szCs w:val="24"/>
        </w:rPr>
        <w:t xml:space="preserve">Transfer obciam na údržbu vojnových hrobov </w:t>
      </w:r>
    </w:p>
    <w:p w:rsidR="002637EF" w:rsidRPr="00EC6989" w:rsidRDefault="002637EF" w:rsidP="002637EF">
      <w:pPr>
        <w:spacing w:after="0" w:line="240" w:lineRule="auto"/>
        <w:ind w:firstLine="708"/>
        <w:rPr>
          <w:rFonts w:ascii="Times New Roman" w:hAnsi="Times New Roman" w:cs="Times New Roman"/>
          <w:b/>
          <w:bCs/>
          <w:sz w:val="24"/>
          <w:szCs w:val="24"/>
        </w:rPr>
      </w:pPr>
    </w:p>
    <w:p w:rsidR="002637EF" w:rsidRPr="00EC6989" w:rsidRDefault="002637EF" w:rsidP="002637EF">
      <w:pPr>
        <w:spacing w:after="0" w:line="240" w:lineRule="auto"/>
        <w:ind w:firstLine="708"/>
        <w:jc w:val="both"/>
        <w:rPr>
          <w:rFonts w:ascii="Times New Roman" w:hAnsi="Times New Roman" w:cs="Times New Roman"/>
          <w:sz w:val="24"/>
          <w:szCs w:val="24"/>
        </w:rPr>
      </w:pPr>
      <w:r w:rsidRPr="00EC6989">
        <w:rPr>
          <w:rFonts w:ascii="Times New Roman" w:hAnsi="Times New Roman" w:cs="Times New Roman"/>
          <w:sz w:val="24"/>
          <w:szCs w:val="24"/>
        </w:rPr>
        <w:t xml:space="preserve">Podľa § 4 ods. 1 zákona č. 130/2005 Z. z. o vojnových hroboch v znení neskorších predpisov (cit.): </w:t>
      </w:r>
      <w:r w:rsidRPr="00EC6989">
        <w:rPr>
          <w:rFonts w:ascii="Times New Roman" w:hAnsi="Times New Roman" w:cs="Times New Roman"/>
          <w:i/>
          <w:sz w:val="24"/>
          <w:szCs w:val="24"/>
        </w:rPr>
        <w:t xml:space="preserve">„Na zabezpečovanie starostlivosti o vojnový hrob sa poskytne obci príspevok na kalendárny rok na každý vojnový hrob v sume </w:t>
      </w:r>
      <w:r w:rsidRPr="00EC6989">
        <w:rPr>
          <w:rFonts w:ascii="Times New Roman" w:hAnsi="Times New Roman" w:cs="Times New Roman"/>
          <w:b/>
          <w:i/>
          <w:sz w:val="24"/>
          <w:szCs w:val="24"/>
        </w:rPr>
        <w:t xml:space="preserve">päťnásobku minimálnej hodinovej mzdy </w:t>
      </w:r>
      <w:r w:rsidRPr="00EC6989">
        <w:rPr>
          <w:rFonts w:ascii="Times New Roman" w:hAnsi="Times New Roman" w:cs="Times New Roman"/>
          <w:i/>
          <w:sz w:val="24"/>
          <w:szCs w:val="24"/>
        </w:rPr>
        <w:t>ustanovenej osobitným predpisom“</w:t>
      </w:r>
      <w:r w:rsidRPr="00EC6989">
        <w:rPr>
          <w:rFonts w:ascii="Times New Roman" w:hAnsi="Times New Roman" w:cs="Times New Roman"/>
          <w:sz w:val="24"/>
          <w:szCs w:val="24"/>
        </w:rPr>
        <w:t xml:space="preserve">. V roku 2020 celková výška príspevku na 1 vojnový hrob </w:t>
      </w:r>
      <w:r w:rsidRPr="00EC6989">
        <w:rPr>
          <w:rFonts w:ascii="Times New Roman" w:hAnsi="Times New Roman" w:cs="Times New Roman"/>
          <w:sz w:val="24"/>
          <w:szCs w:val="24"/>
        </w:rPr>
        <w:lastRenderedPageBreak/>
        <w:t xml:space="preserve">bude predstavovať 17,815 eura ročne, čo oproti sume 16,665 eura platnej v roku 2020 predstavuje </w:t>
      </w:r>
      <w:r w:rsidRPr="00EC6989">
        <w:rPr>
          <w:rFonts w:ascii="Times New Roman" w:hAnsi="Times New Roman" w:cs="Times New Roman"/>
          <w:b/>
          <w:sz w:val="24"/>
          <w:szCs w:val="24"/>
        </w:rPr>
        <w:t>nárast o 1,15 eura na 1 vojnový hrob</w:t>
      </w:r>
      <w:r w:rsidRPr="00EC6989">
        <w:rPr>
          <w:rFonts w:ascii="Times New Roman" w:hAnsi="Times New Roman" w:cs="Times New Roman"/>
          <w:sz w:val="24"/>
          <w:szCs w:val="24"/>
        </w:rPr>
        <w:t>.</w:t>
      </w:r>
    </w:p>
    <w:p w:rsidR="002637EF" w:rsidRPr="00EC6989" w:rsidRDefault="002637EF" w:rsidP="002637EF">
      <w:pPr>
        <w:spacing w:after="0" w:line="240" w:lineRule="auto"/>
        <w:jc w:val="both"/>
        <w:rPr>
          <w:rFonts w:ascii="Times New Roman" w:hAnsi="Times New Roman" w:cs="Times New Roman"/>
          <w:sz w:val="24"/>
          <w:szCs w:val="24"/>
        </w:rPr>
      </w:pPr>
    </w:p>
    <w:p w:rsidR="002637EF" w:rsidRPr="00EC6989" w:rsidRDefault="002637EF" w:rsidP="002637EF">
      <w:pPr>
        <w:spacing w:after="0" w:line="240" w:lineRule="auto"/>
        <w:ind w:firstLine="708"/>
        <w:jc w:val="both"/>
        <w:rPr>
          <w:rFonts w:ascii="Times New Roman" w:hAnsi="Times New Roman" w:cs="Times New Roman"/>
          <w:sz w:val="24"/>
          <w:szCs w:val="24"/>
        </w:rPr>
      </w:pPr>
      <w:r w:rsidRPr="00EC6989">
        <w:rPr>
          <w:rFonts w:ascii="Times New Roman" w:hAnsi="Times New Roman" w:cs="Times New Roman"/>
          <w:sz w:val="24"/>
          <w:szCs w:val="24"/>
        </w:rPr>
        <w:t>Podľa údajov získaných z MV SR v roku 2019 boli obciam poskytované príspevky podľa § 4 ods. 1 tohto zákona na úpravu 20 024 hrobov*)</w:t>
      </w:r>
      <w:hyperlink w:history="1"/>
      <w:r w:rsidRPr="00EC6989">
        <w:rPr>
          <w:rFonts w:ascii="Times New Roman" w:hAnsi="Times New Roman" w:cs="Times New Roman"/>
          <w:sz w:val="24"/>
          <w:szCs w:val="24"/>
        </w:rPr>
        <w:t xml:space="preserve">. Vplyv úpravy sumy minimálnej mzdy na štátny rozpočet z dôvodu transferu príspevku obciam na údržbu vojnových hrobov možno odhadnúť </w:t>
      </w:r>
      <w:r w:rsidRPr="00EC6989">
        <w:rPr>
          <w:rFonts w:ascii="Times New Roman" w:hAnsi="Times New Roman" w:cs="Times New Roman"/>
          <w:b/>
          <w:sz w:val="24"/>
          <w:szCs w:val="24"/>
        </w:rPr>
        <w:t>na 23027,6</w:t>
      </w:r>
      <w:r w:rsidRPr="00EC6989" w:rsidDel="008444BA">
        <w:rPr>
          <w:rFonts w:ascii="Times New Roman" w:hAnsi="Times New Roman" w:cs="Times New Roman"/>
          <w:b/>
          <w:sz w:val="24"/>
          <w:szCs w:val="24"/>
        </w:rPr>
        <w:t xml:space="preserve"> </w:t>
      </w:r>
      <w:r w:rsidRPr="00EC6989">
        <w:rPr>
          <w:rFonts w:ascii="Times New Roman" w:hAnsi="Times New Roman" w:cs="Times New Roman"/>
          <w:b/>
          <w:sz w:val="24"/>
          <w:szCs w:val="24"/>
        </w:rPr>
        <w:t>eura ročne</w:t>
      </w:r>
      <w:r w:rsidRPr="00EC6989">
        <w:rPr>
          <w:rFonts w:ascii="Times New Roman" w:hAnsi="Times New Roman" w:cs="Times New Roman"/>
          <w:sz w:val="24"/>
          <w:szCs w:val="24"/>
        </w:rPr>
        <w:t xml:space="preserve"> (pričom v porovnaní so sumou 656</w:t>
      </w:r>
      <w:r w:rsidR="00FA36A7">
        <w:rPr>
          <w:rFonts w:ascii="Times New Roman" w:hAnsi="Times New Roman" w:cs="Times New Roman"/>
          <w:sz w:val="24"/>
          <w:szCs w:val="24"/>
        </w:rPr>
        <w:t xml:space="preserve"> </w:t>
      </w:r>
      <w:r w:rsidRPr="00EC6989">
        <w:rPr>
          <w:rFonts w:ascii="Times New Roman" w:hAnsi="Times New Roman" w:cs="Times New Roman"/>
          <w:sz w:val="24"/>
          <w:szCs w:val="24"/>
        </w:rPr>
        <w:t>eur ide o zníženie nárastu) V tomto počte sú uvedené len vojnové hroby, na ktoré MV SR na základe požiadania obce poskytlo obci príspevok na údržbu hrobov.</w:t>
      </w:r>
    </w:p>
    <w:p w:rsidR="002637EF" w:rsidRDefault="002637EF" w:rsidP="002637EF">
      <w:pPr>
        <w:spacing w:after="0" w:line="240" w:lineRule="auto"/>
        <w:rPr>
          <w:rFonts w:ascii="Times New Roman" w:hAnsi="Times New Roman" w:cs="Times New Roman"/>
          <w:sz w:val="24"/>
          <w:szCs w:val="24"/>
        </w:rPr>
      </w:pPr>
      <w:r w:rsidRPr="00EC6989">
        <w:rPr>
          <w:rFonts w:ascii="Times New Roman" w:hAnsi="Times New Roman" w:cs="Times New Roman"/>
          <w:i/>
          <w:sz w:val="24"/>
          <w:szCs w:val="24"/>
        </w:rPr>
        <w:t>*) Zdroj: MV SR, http://www.minv.sk/swift_data/source/verejna_sprava/vh_ziados</w:t>
      </w:r>
      <w:r w:rsidR="0030440F">
        <w:rPr>
          <w:rFonts w:ascii="Times New Roman" w:hAnsi="Times New Roman" w:cs="Times New Roman"/>
          <w:i/>
          <w:sz w:val="24"/>
          <w:szCs w:val="24"/>
        </w:rPr>
        <w:t>ti_4_ods1/hroby_odsek1_2019.p</w:t>
      </w:r>
    </w:p>
    <w:p w:rsidR="00A0384E" w:rsidRDefault="00A0384E" w:rsidP="002637EF">
      <w:pPr>
        <w:spacing w:after="0" w:line="240" w:lineRule="auto"/>
        <w:rPr>
          <w:rFonts w:ascii="Times New Roman" w:hAnsi="Times New Roman" w:cs="Times New Roman"/>
          <w:sz w:val="24"/>
          <w:szCs w:val="24"/>
        </w:rPr>
      </w:pPr>
      <w:bookmarkStart w:id="4" w:name="_GoBack"/>
      <w:bookmarkEnd w:id="4"/>
    </w:p>
    <w:sectPr w:rsidR="00A0384E" w:rsidSect="00A23B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10" w:rsidRDefault="00885F10">
      <w:pPr>
        <w:spacing w:after="0" w:line="240" w:lineRule="auto"/>
      </w:pPr>
      <w:r>
        <w:separator/>
      </w:r>
    </w:p>
  </w:endnote>
  <w:endnote w:type="continuationSeparator" w:id="0">
    <w:p w:rsidR="00885F10" w:rsidRDefault="0088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1" w:rsidRDefault="00981C56">
    <w:pPr>
      <w:pStyle w:val="Pta"/>
      <w:framePr w:wrap="around" w:vAnchor="text" w:hAnchor="margin" w:xAlign="right" w:y="1"/>
      <w:rPr>
        <w:rStyle w:val="slostrany"/>
      </w:rPr>
    </w:pPr>
    <w:r>
      <w:rPr>
        <w:rStyle w:val="slostrany"/>
      </w:rPr>
      <w:fldChar w:fldCharType="begin"/>
    </w:r>
    <w:r w:rsidR="002036A1">
      <w:rPr>
        <w:rStyle w:val="slostrany"/>
      </w:rPr>
      <w:instrText xml:space="preserve">PAGE  </w:instrText>
    </w:r>
    <w:r>
      <w:rPr>
        <w:rStyle w:val="slostrany"/>
      </w:rPr>
      <w:fldChar w:fldCharType="separate"/>
    </w:r>
    <w:r w:rsidR="002036A1">
      <w:rPr>
        <w:rStyle w:val="slostrany"/>
        <w:noProof/>
      </w:rPr>
      <w:t>10</w:t>
    </w:r>
    <w:r>
      <w:rPr>
        <w:rStyle w:val="slostrany"/>
      </w:rPr>
      <w:fldChar w:fldCharType="end"/>
    </w:r>
  </w:p>
  <w:p w:rsidR="002036A1" w:rsidRDefault="002036A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87173"/>
      <w:docPartObj>
        <w:docPartGallery w:val="Page Numbers (Bottom of Page)"/>
        <w:docPartUnique/>
      </w:docPartObj>
    </w:sdtPr>
    <w:sdtContent>
      <w:p w:rsidR="00A0384E" w:rsidRDefault="00A0384E">
        <w:pPr>
          <w:pStyle w:val="Pta"/>
          <w:jc w:val="center"/>
        </w:pPr>
        <w:r>
          <w:fldChar w:fldCharType="begin"/>
        </w:r>
        <w:r>
          <w:instrText>PAGE   \* MERGEFORMAT</w:instrText>
        </w:r>
        <w:r>
          <w:fldChar w:fldCharType="separate"/>
        </w:r>
        <w:r>
          <w:rPr>
            <w:noProof/>
          </w:rPr>
          <w:t>1</w:t>
        </w:r>
        <w:r>
          <w:fldChar w:fldCharType="end"/>
        </w:r>
      </w:p>
    </w:sdtContent>
  </w:sdt>
  <w:p w:rsidR="002036A1" w:rsidRDefault="002036A1">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1" w:rsidRDefault="00981C56">
    <w:pPr>
      <w:pStyle w:val="Pta"/>
      <w:jc w:val="right"/>
    </w:pPr>
    <w:r>
      <w:fldChar w:fldCharType="begin"/>
    </w:r>
    <w:r w:rsidR="002036A1">
      <w:instrText>PAGE   \* MERGEFORMAT</w:instrText>
    </w:r>
    <w:r>
      <w:fldChar w:fldCharType="separate"/>
    </w:r>
    <w:r w:rsidR="002036A1">
      <w:rPr>
        <w:noProof/>
      </w:rPr>
      <w:t>0</w:t>
    </w:r>
    <w:r>
      <w:fldChar w:fldCharType="end"/>
    </w:r>
  </w:p>
  <w:p w:rsidR="002036A1" w:rsidRDefault="002036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10" w:rsidRDefault="00885F10">
      <w:pPr>
        <w:spacing w:after="0" w:line="240" w:lineRule="auto"/>
      </w:pPr>
      <w:r>
        <w:separator/>
      </w:r>
    </w:p>
  </w:footnote>
  <w:footnote w:type="continuationSeparator" w:id="0">
    <w:p w:rsidR="00885F10" w:rsidRDefault="00885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1" w:rsidRDefault="002036A1" w:rsidP="0051724E">
    <w:pPr>
      <w:pStyle w:val="Hlavika"/>
      <w:jc w:val="right"/>
      <w:rPr>
        <w:sz w:val="24"/>
        <w:szCs w:val="24"/>
      </w:rPr>
    </w:pPr>
    <w:r>
      <w:rPr>
        <w:sz w:val="24"/>
        <w:szCs w:val="24"/>
      </w:rPr>
      <w:t>Príloha č. 2</w:t>
    </w:r>
  </w:p>
  <w:p w:rsidR="002036A1" w:rsidRPr="00EB59C8" w:rsidRDefault="002036A1" w:rsidP="0051724E">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1" w:rsidRPr="000A15AE" w:rsidRDefault="002036A1" w:rsidP="0051724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1F717281"/>
    <w:multiLevelType w:val="hybridMultilevel"/>
    <w:tmpl w:val="13E208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28C37A35"/>
    <w:multiLevelType w:val="hybridMultilevel"/>
    <w:tmpl w:val="32544E1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C5C0ABF"/>
    <w:multiLevelType w:val="hybridMultilevel"/>
    <w:tmpl w:val="E80841DA"/>
    <w:lvl w:ilvl="0" w:tplc="85B620E2">
      <w:start w:val="61"/>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435735BC"/>
    <w:multiLevelType w:val="hybridMultilevel"/>
    <w:tmpl w:val="41C0D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F4F6211"/>
    <w:multiLevelType w:val="hybridMultilevel"/>
    <w:tmpl w:val="FFD8950E"/>
    <w:lvl w:ilvl="0" w:tplc="7B2005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8784C"/>
    <w:multiLevelType w:val="hybridMultilevel"/>
    <w:tmpl w:val="831E8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49D7"/>
    <w:rsid w:val="00007824"/>
    <w:rsid w:val="00007EA1"/>
    <w:rsid w:val="00011952"/>
    <w:rsid w:val="000130C0"/>
    <w:rsid w:val="00017068"/>
    <w:rsid w:val="000203A1"/>
    <w:rsid w:val="00020ACC"/>
    <w:rsid w:val="00034298"/>
    <w:rsid w:val="00035EB6"/>
    <w:rsid w:val="00040767"/>
    <w:rsid w:val="00045303"/>
    <w:rsid w:val="000458CC"/>
    <w:rsid w:val="00047D6C"/>
    <w:rsid w:val="0005313A"/>
    <w:rsid w:val="00056127"/>
    <w:rsid w:val="00057135"/>
    <w:rsid w:val="000737C6"/>
    <w:rsid w:val="0008462A"/>
    <w:rsid w:val="00091A4C"/>
    <w:rsid w:val="00092D7C"/>
    <w:rsid w:val="00092D89"/>
    <w:rsid w:val="00095651"/>
    <w:rsid w:val="00096D41"/>
    <w:rsid w:val="000F1438"/>
    <w:rsid w:val="000F5A04"/>
    <w:rsid w:val="00101242"/>
    <w:rsid w:val="00101D4A"/>
    <w:rsid w:val="00102A8D"/>
    <w:rsid w:val="00106747"/>
    <w:rsid w:val="00111923"/>
    <w:rsid w:val="001127A8"/>
    <w:rsid w:val="00114A69"/>
    <w:rsid w:val="001211AC"/>
    <w:rsid w:val="001212F8"/>
    <w:rsid w:val="0014509F"/>
    <w:rsid w:val="00151256"/>
    <w:rsid w:val="001576F5"/>
    <w:rsid w:val="0016578C"/>
    <w:rsid w:val="00167440"/>
    <w:rsid w:val="00170D2B"/>
    <w:rsid w:val="00176F52"/>
    <w:rsid w:val="00184F37"/>
    <w:rsid w:val="00192E67"/>
    <w:rsid w:val="00194D0E"/>
    <w:rsid w:val="001A209F"/>
    <w:rsid w:val="001A5D2E"/>
    <w:rsid w:val="001C4C3E"/>
    <w:rsid w:val="001C7640"/>
    <w:rsid w:val="001D7D3F"/>
    <w:rsid w:val="001E4C91"/>
    <w:rsid w:val="001E6659"/>
    <w:rsid w:val="001F3439"/>
    <w:rsid w:val="001F349B"/>
    <w:rsid w:val="001F67F0"/>
    <w:rsid w:val="00200898"/>
    <w:rsid w:val="002036A1"/>
    <w:rsid w:val="0020382E"/>
    <w:rsid w:val="00203A73"/>
    <w:rsid w:val="00212894"/>
    <w:rsid w:val="00213D57"/>
    <w:rsid w:val="00214F52"/>
    <w:rsid w:val="00215DD3"/>
    <w:rsid w:val="00223F10"/>
    <w:rsid w:val="0022620D"/>
    <w:rsid w:val="00232363"/>
    <w:rsid w:val="002439B0"/>
    <w:rsid w:val="0025180D"/>
    <w:rsid w:val="002531B7"/>
    <w:rsid w:val="00263772"/>
    <w:rsid w:val="002637EF"/>
    <w:rsid w:val="0026481F"/>
    <w:rsid w:val="00270104"/>
    <w:rsid w:val="002723FA"/>
    <w:rsid w:val="002743B8"/>
    <w:rsid w:val="0027540B"/>
    <w:rsid w:val="00285F21"/>
    <w:rsid w:val="00290C7A"/>
    <w:rsid w:val="00290DEA"/>
    <w:rsid w:val="002951C1"/>
    <w:rsid w:val="002A3FDE"/>
    <w:rsid w:val="002B28AA"/>
    <w:rsid w:val="002B4578"/>
    <w:rsid w:val="002C0CCB"/>
    <w:rsid w:val="002C6587"/>
    <w:rsid w:val="002D3A1B"/>
    <w:rsid w:val="002D731A"/>
    <w:rsid w:val="002E2BE2"/>
    <w:rsid w:val="002E63F5"/>
    <w:rsid w:val="002F34D7"/>
    <w:rsid w:val="002F566A"/>
    <w:rsid w:val="00302CD0"/>
    <w:rsid w:val="0030440F"/>
    <w:rsid w:val="00304B65"/>
    <w:rsid w:val="00306A57"/>
    <w:rsid w:val="00307164"/>
    <w:rsid w:val="003162D5"/>
    <w:rsid w:val="00317B90"/>
    <w:rsid w:val="0032768E"/>
    <w:rsid w:val="00334068"/>
    <w:rsid w:val="003611E5"/>
    <w:rsid w:val="00375847"/>
    <w:rsid w:val="00377C39"/>
    <w:rsid w:val="00390633"/>
    <w:rsid w:val="00394973"/>
    <w:rsid w:val="003A05D9"/>
    <w:rsid w:val="003A183D"/>
    <w:rsid w:val="003A331E"/>
    <w:rsid w:val="003A3765"/>
    <w:rsid w:val="003A388D"/>
    <w:rsid w:val="003A4B8C"/>
    <w:rsid w:val="003A5363"/>
    <w:rsid w:val="003B3C84"/>
    <w:rsid w:val="003B7413"/>
    <w:rsid w:val="003C2519"/>
    <w:rsid w:val="003D444F"/>
    <w:rsid w:val="003E24F9"/>
    <w:rsid w:val="003E33D5"/>
    <w:rsid w:val="003E504C"/>
    <w:rsid w:val="003E6C46"/>
    <w:rsid w:val="00402E1D"/>
    <w:rsid w:val="00403EDC"/>
    <w:rsid w:val="00406F31"/>
    <w:rsid w:val="004071A3"/>
    <w:rsid w:val="00432070"/>
    <w:rsid w:val="004323E0"/>
    <w:rsid w:val="00432DD4"/>
    <w:rsid w:val="00436870"/>
    <w:rsid w:val="004466DD"/>
    <w:rsid w:val="00450EE5"/>
    <w:rsid w:val="0048020F"/>
    <w:rsid w:val="00480FFF"/>
    <w:rsid w:val="0048630B"/>
    <w:rsid w:val="00487203"/>
    <w:rsid w:val="00496A9D"/>
    <w:rsid w:val="004A14B0"/>
    <w:rsid w:val="004A7B08"/>
    <w:rsid w:val="004C42DE"/>
    <w:rsid w:val="004C47FE"/>
    <w:rsid w:val="004D2ED6"/>
    <w:rsid w:val="004E5485"/>
    <w:rsid w:val="004E6AB2"/>
    <w:rsid w:val="004F5A28"/>
    <w:rsid w:val="004F6A62"/>
    <w:rsid w:val="005005EC"/>
    <w:rsid w:val="0050303F"/>
    <w:rsid w:val="00507678"/>
    <w:rsid w:val="005145FE"/>
    <w:rsid w:val="0051724E"/>
    <w:rsid w:val="00520452"/>
    <w:rsid w:val="0052067C"/>
    <w:rsid w:val="005370DD"/>
    <w:rsid w:val="00544A66"/>
    <w:rsid w:val="00557A3C"/>
    <w:rsid w:val="00562D43"/>
    <w:rsid w:val="005658F0"/>
    <w:rsid w:val="00567A1C"/>
    <w:rsid w:val="00573ADA"/>
    <w:rsid w:val="005747C4"/>
    <w:rsid w:val="00582CBC"/>
    <w:rsid w:val="005846C9"/>
    <w:rsid w:val="0059386A"/>
    <w:rsid w:val="005940E4"/>
    <w:rsid w:val="00597118"/>
    <w:rsid w:val="005B0824"/>
    <w:rsid w:val="005B236E"/>
    <w:rsid w:val="005B41E4"/>
    <w:rsid w:val="005B6B08"/>
    <w:rsid w:val="005C617E"/>
    <w:rsid w:val="005D0F6E"/>
    <w:rsid w:val="005E0539"/>
    <w:rsid w:val="005F5966"/>
    <w:rsid w:val="00623247"/>
    <w:rsid w:val="00631D94"/>
    <w:rsid w:val="00645898"/>
    <w:rsid w:val="006474C3"/>
    <w:rsid w:val="00651155"/>
    <w:rsid w:val="00651213"/>
    <w:rsid w:val="00665748"/>
    <w:rsid w:val="00677D91"/>
    <w:rsid w:val="00685841"/>
    <w:rsid w:val="00692F4F"/>
    <w:rsid w:val="006A17B2"/>
    <w:rsid w:val="006A33A5"/>
    <w:rsid w:val="006A4036"/>
    <w:rsid w:val="006D36CE"/>
    <w:rsid w:val="006D4656"/>
    <w:rsid w:val="006F1358"/>
    <w:rsid w:val="0070388F"/>
    <w:rsid w:val="00724098"/>
    <w:rsid w:val="007246BD"/>
    <w:rsid w:val="00736031"/>
    <w:rsid w:val="00752BFE"/>
    <w:rsid w:val="00761700"/>
    <w:rsid w:val="00762A3F"/>
    <w:rsid w:val="007863C0"/>
    <w:rsid w:val="00797BD3"/>
    <w:rsid w:val="007C6B16"/>
    <w:rsid w:val="007D5748"/>
    <w:rsid w:val="007D64A4"/>
    <w:rsid w:val="007E5287"/>
    <w:rsid w:val="007E74C7"/>
    <w:rsid w:val="007E7BF0"/>
    <w:rsid w:val="008144ED"/>
    <w:rsid w:val="0081789C"/>
    <w:rsid w:val="008210AC"/>
    <w:rsid w:val="00821D83"/>
    <w:rsid w:val="0082585A"/>
    <w:rsid w:val="0085097D"/>
    <w:rsid w:val="00857518"/>
    <w:rsid w:val="00863A90"/>
    <w:rsid w:val="00866554"/>
    <w:rsid w:val="0086701E"/>
    <w:rsid w:val="00872995"/>
    <w:rsid w:val="00885F10"/>
    <w:rsid w:val="00890F15"/>
    <w:rsid w:val="008919A0"/>
    <w:rsid w:val="008B3A67"/>
    <w:rsid w:val="008B6A9F"/>
    <w:rsid w:val="008B7CC6"/>
    <w:rsid w:val="008D339D"/>
    <w:rsid w:val="008D660F"/>
    <w:rsid w:val="008D7015"/>
    <w:rsid w:val="008E2736"/>
    <w:rsid w:val="008E5C3D"/>
    <w:rsid w:val="008F4995"/>
    <w:rsid w:val="00902080"/>
    <w:rsid w:val="00903DAD"/>
    <w:rsid w:val="00905B22"/>
    <w:rsid w:val="00912A37"/>
    <w:rsid w:val="00924D8D"/>
    <w:rsid w:val="009368FB"/>
    <w:rsid w:val="009603BB"/>
    <w:rsid w:val="00960EB9"/>
    <w:rsid w:val="009706B7"/>
    <w:rsid w:val="00974A3A"/>
    <w:rsid w:val="00981C56"/>
    <w:rsid w:val="00990CCA"/>
    <w:rsid w:val="009A78DA"/>
    <w:rsid w:val="009B4ECC"/>
    <w:rsid w:val="009C0431"/>
    <w:rsid w:val="009C7B31"/>
    <w:rsid w:val="009D01A0"/>
    <w:rsid w:val="009E11CB"/>
    <w:rsid w:val="009E2092"/>
    <w:rsid w:val="00A0254A"/>
    <w:rsid w:val="00A0384E"/>
    <w:rsid w:val="00A06126"/>
    <w:rsid w:val="00A067FA"/>
    <w:rsid w:val="00A1056A"/>
    <w:rsid w:val="00A1201D"/>
    <w:rsid w:val="00A20072"/>
    <w:rsid w:val="00A22F33"/>
    <w:rsid w:val="00A23BBD"/>
    <w:rsid w:val="00A4042C"/>
    <w:rsid w:val="00A41389"/>
    <w:rsid w:val="00A628B1"/>
    <w:rsid w:val="00A7599B"/>
    <w:rsid w:val="00A81D48"/>
    <w:rsid w:val="00AA1009"/>
    <w:rsid w:val="00AA378B"/>
    <w:rsid w:val="00AB0F99"/>
    <w:rsid w:val="00AB382B"/>
    <w:rsid w:val="00AB656A"/>
    <w:rsid w:val="00AC6CC6"/>
    <w:rsid w:val="00AD1C01"/>
    <w:rsid w:val="00AE0221"/>
    <w:rsid w:val="00AE0997"/>
    <w:rsid w:val="00AF05FE"/>
    <w:rsid w:val="00AF764B"/>
    <w:rsid w:val="00B0195E"/>
    <w:rsid w:val="00B246DB"/>
    <w:rsid w:val="00B260BE"/>
    <w:rsid w:val="00B26194"/>
    <w:rsid w:val="00B406D0"/>
    <w:rsid w:val="00B5535C"/>
    <w:rsid w:val="00B672D5"/>
    <w:rsid w:val="00B72F80"/>
    <w:rsid w:val="00B81BB5"/>
    <w:rsid w:val="00B8402F"/>
    <w:rsid w:val="00B8792C"/>
    <w:rsid w:val="00B92C5F"/>
    <w:rsid w:val="00B935A3"/>
    <w:rsid w:val="00BA1365"/>
    <w:rsid w:val="00BB2B49"/>
    <w:rsid w:val="00BC3E19"/>
    <w:rsid w:val="00BC6F87"/>
    <w:rsid w:val="00BE1F89"/>
    <w:rsid w:val="00C07A77"/>
    <w:rsid w:val="00C15212"/>
    <w:rsid w:val="00C15497"/>
    <w:rsid w:val="00C1676E"/>
    <w:rsid w:val="00C20E40"/>
    <w:rsid w:val="00C2384C"/>
    <w:rsid w:val="00C35651"/>
    <w:rsid w:val="00C42A15"/>
    <w:rsid w:val="00C51FD4"/>
    <w:rsid w:val="00C529EF"/>
    <w:rsid w:val="00C603C8"/>
    <w:rsid w:val="00C65C1F"/>
    <w:rsid w:val="00C81C45"/>
    <w:rsid w:val="00C820A3"/>
    <w:rsid w:val="00C965FE"/>
    <w:rsid w:val="00CA20AC"/>
    <w:rsid w:val="00CB22A7"/>
    <w:rsid w:val="00CB3623"/>
    <w:rsid w:val="00CB54F7"/>
    <w:rsid w:val="00CD0A02"/>
    <w:rsid w:val="00CD2466"/>
    <w:rsid w:val="00CD3408"/>
    <w:rsid w:val="00CE299A"/>
    <w:rsid w:val="00CF1CE5"/>
    <w:rsid w:val="00D01F04"/>
    <w:rsid w:val="00D21142"/>
    <w:rsid w:val="00D27FE8"/>
    <w:rsid w:val="00D3359A"/>
    <w:rsid w:val="00D51173"/>
    <w:rsid w:val="00D61AAD"/>
    <w:rsid w:val="00D75E86"/>
    <w:rsid w:val="00D80712"/>
    <w:rsid w:val="00D85622"/>
    <w:rsid w:val="00DB4E90"/>
    <w:rsid w:val="00DC2E0E"/>
    <w:rsid w:val="00DC6313"/>
    <w:rsid w:val="00DC675E"/>
    <w:rsid w:val="00DD2805"/>
    <w:rsid w:val="00DE5BF1"/>
    <w:rsid w:val="00DF1544"/>
    <w:rsid w:val="00E003B8"/>
    <w:rsid w:val="00E07CE9"/>
    <w:rsid w:val="00E123B2"/>
    <w:rsid w:val="00E14014"/>
    <w:rsid w:val="00E24A8D"/>
    <w:rsid w:val="00E26305"/>
    <w:rsid w:val="00E32693"/>
    <w:rsid w:val="00E438B9"/>
    <w:rsid w:val="00E45F02"/>
    <w:rsid w:val="00E46745"/>
    <w:rsid w:val="00E53873"/>
    <w:rsid w:val="00E601ED"/>
    <w:rsid w:val="00E713E8"/>
    <w:rsid w:val="00E731BC"/>
    <w:rsid w:val="00E81FB5"/>
    <w:rsid w:val="00E8460A"/>
    <w:rsid w:val="00E84620"/>
    <w:rsid w:val="00E9239A"/>
    <w:rsid w:val="00E93BA1"/>
    <w:rsid w:val="00E959FF"/>
    <w:rsid w:val="00E963A3"/>
    <w:rsid w:val="00EA1E90"/>
    <w:rsid w:val="00EA2248"/>
    <w:rsid w:val="00EA2EE3"/>
    <w:rsid w:val="00EA7221"/>
    <w:rsid w:val="00EC6989"/>
    <w:rsid w:val="00ED133F"/>
    <w:rsid w:val="00ED6E41"/>
    <w:rsid w:val="00ED7BC8"/>
    <w:rsid w:val="00EE04E8"/>
    <w:rsid w:val="00EE1A67"/>
    <w:rsid w:val="00EF579A"/>
    <w:rsid w:val="00F04F5D"/>
    <w:rsid w:val="00F0652C"/>
    <w:rsid w:val="00F253D0"/>
    <w:rsid w:val="00F40136"/>
    <w:rsid w:val="00F44F48"/>
    <w:rsid w:val="00F61360"/>
    <w:rsid w:val="00F632EF"/>
    <w:rsid w:val="00F7071C"/>
    <w:rsid w:val="00F72BF1"/>
    <w:rsid w:val="00F757ED"/>
    <w:rsid w:val="00F77641"/>
    <w:rsid w:val="00F83159"/>
    <w:rsid w:val="00F838ED"/>
    <w:rsid w:val="00F90F12"/>
    <w:rsid w:val="00FA27A0"/>
    <w:rsid w:val="00FA36A7"/>
    <w:rsid w:val="00FA690B"/>
    <w:rsid w:val="00FB10AB"/>
    <w:rsid w:val="00FB47C5"/>
    <w:rsid w:val="00FB5FC0"/>
    <w:rsid w:val="00FC2E87"/>
    <w:rsid w:val="00FC5253"/>
    <w:rsid w:val="00FC5EC4"/>
    <w:rsid w:val="00FD72D4"/>
    <w:rsid w:val="00FF2F23"/>
    <w:rsid w:val="00FF53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866554"/>
    <w:pPr>
      <w:ind w:left="720"/>
      <w:contextualSpacing/>
    </w:pPr>
    <w:rPr>
      <w:rFonts w:ascii="Calibri" w:eastAsia="Calibri" w:hAnsi="Calibri" w:cs="Times New Roman"/>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eastAsia="Calibri" w:hAnsi="Calibri" w:cs="Times New Roman"/>
      <w:sz w:val="20"/>
      <w:szCs w:val="20"/>
      <w:lang w:val="en-US"/>
    </w:rPr>
  </w:style>
  <w:style w:type="character" w:customStyle="1" w:styleId="TextpoznmkypodiarouChar">
    <w:name w:val="Text poznámky pod čiarou Char"/>
    <w:basedOn w:val="Predvolenpsmoodseku"/>
    <w:link w:val="Textpoznmkypodiarou"/>
    <w:uiPriority w:val="99"/>
    <w:semiHidden/>
    <w:rsid w:val="001C7640"/>
    <w:rPr>
      <w:rFonts w:ascii="Calibri" w:eastAsia="Calibri" w:hAnsi="Calibri" w:cs="Times New Roman"/>
      <w:sz w:val="20"/>
      <w:szCs w:val="20"/>
      <w:lang w:val="en-US"/>
    </w:rPr>
  </w:style>
  <w:style w:type="character" w:styleId="Odkaznapoznmkupodiarou">
    <w:name w:val="footnote reference"/>
    <w:basedOn w:val="Predvolenpsmoodseku"/>
    <w:uiPriority w:val="99"/>
    <w:semiHidden/>
    <w:unhideWhenUsed/>
    <w:rsid w:val="001C7640"/>
    <w:rPr>
      <w:vertAlign w:val="superscript"/>
    </w:rPr>
  </w:style>
  <w:style w:type="character" w:styleId="Hypertextovprepojenie">
    <w:name w:val="Hyperlink"/>
    <w:basedOn w:val="Predvolenpsmoodseku"/>
    <w:uiPriority w:val="99"/>
    <w:unhideWhenUsed/>
    <w:rsid w:val="001C7640"/>
    <w:rPr>
      <w:color w:val="0000FF" w:themeColor="hyperlink"/>
      <w:u w:val="single"/>
    </w:rPr>
  </w:style>
  <w:style w:type="character" w:styleId="Odkaznakomentr">
    <w:name w:val="annotation reference"/>
    <w:basedOn w:val="Predvolenpsmoodseku"/>
    <w:uiPriority w:val="99"/>
    <w:semiHidden/>
    <w:unhideWhenUsed/>
    <w:rsid w:val="00390633"/>
    <w:rPr>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rsid w:val="00390633"/>
    <w:rPr>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rsid w:val="00390633"/>
    <w:rPr>
      <w:b/>
      <w:bCs/>
      <w:sz w:val="20"/>
      <w:szCs w:val="20"/>
    </w:rPr>
  </w:style>
  <w:style w:type="paragraph" w:styleId="Revzia">
    <w:name w:val="Revision"/>
    <w:hidden/>
    <w:uiPriority w:val="99"/>
    <w:semiHidden/>
    <w:rsid w:val="0048020F"/>
    <w:pPr>
      <w:spacing w:after="0" w:line="240" w:lineRule="auto"/>
    </w:pPr>
  </w:style>
  <w:style w:type="paragraph" w:styleId="Normlnywebov">
    <w:name w:val="Normal (Web)"/>
    <w:basedOn w:val="Normlny"/>
    <w:uiPriority w:val="99"/>
    <w:unhideWhenUsed/>
    <w:rsid w:val="00285F21"/>
    <w:pPr>
      <w:spacing w:before="100" w:beforeAutospacing="1" w:after="100" w:afterAutospacing="1" w:line="240" w:lineRule="auto"/>
    </w:pPr>
    <w:rPr>
      <w:rFonts w:ascii="Times New Roman" w:hAnsi="Times New Roman" w:cs="Times New Roman"/>
      <w:sz w:val="24"/>
      <w:szCs w:val="24"/>
    </w:rPr>
  </w:style>
  <w:style w:type="paragraph" w:styleId="Nzov">
    <w:name w:val="Title"/>
    <w:basedOn w:val="Normlny"/>
    <w:link w:val="NzovChar"/>
    <w:uiPriority w:val="10"/>
    <w:qFormat/>
    <w:rsid w:val="00450EE5"/>
    <w:pPr>
      <w:spacing w:after="0" w:line="240" w:lineRule="auto"/>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uiPriority w:val="10"/>
    <w:rsid w:val="00450EE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866554"/>
    <w:pPr>
      <w:ind w:left="720"/>
      <w:contextualSpacing/>
    </w:pPr>
    <w:rPr>
      <w:rFonts w:ascii="Calibri" w:eastAsia="Calibri" w:hAnsi="Calibri" w:cs="Times New Roman"/>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eastAsia="Calibri" w:hAnsi="Calibri" w:cs="Times New Roman"/>
      <w:sz w:val="20"/>
      <w:szCs w:val="20"/>
      <w:lang w:val="en-US"/>
    </w:rPr>
  </w:style>
  <w:style w:type="character" w:customStyle="1" w:styleId="TextpoznmkypodiarouChar">
    <w:name w:val="Text poznámky pod čiarou Char"/>
    <w:basedOn w:val="Predvolenpsmoodseku"/>
    <w:link w:val="Textpoznmkypodiarou"/>
    <w:uiPriority w:val="99"/>
    <w:semiHidden/>
    <w:rsid w:val="001C7640"/>
    <w:rPr>
      <w:rFonts w:ascii="Calibri" w:eastAsia="Calibri" w:hAnsi="Calibri" w:cs="Times New Roman"/>
      <w:sz w:val="20"/>
      <w:szCs w:val="20"/>
      <w:lang w:val="en-US"/>
    </w:rPr>
  </w:style>
  <w:style w:type="character" w:styleId="Odkaznapoznmkupodiarou">
    <w:name w:val="footnote reference"/>
    <w:basedOn w:val="Predvolenpsmoodseku"/>
    <w:uiPriority w:val="99"/>
    <w:semiHidden/>
    <w:unhideWhenUsed/>
    <w:rsid w:val="001C7640"/>
    <w:rPr>
      <w:vertAlign w:val="superscript"/>
    </w:rPr>
  </w:style>
  <w:style w:type="character" w:styleId="Hypertextovprepojenie">
    <w:name w:val="Hyperlink"/>
    <w:basedOn w:val="Predvolenpsmoodseku"/>
    <w:uiPriority w:val="99"/>
    <w:unhideWhenUsed/>
    <w:rsid w:val="001C7640"/>
    <w:rPr>
      <w:color w:val="0000FF" w:themeColor="hyperlink"/>
      <w:u w:val="single"/>
    </w:rPr>
  </w:style>
  <w:style w:type="character" w:styleId="Odkaznakomentr">
    <w:name w:val="annotation reference"/>
    <w:basedOn w:val="Predvolenpsmoodseku"/>
    <w:uiPriority w:val="99"/>
    <w:semiHidden/>
    <w:unhideWhenUsed/>
    <w:rsid w:val="00390633"/>
    <w:rPr>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rsid w:val="00390633"/>
    <w:rPr>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rsid w:val="00390633"/>
    <w:rPr>
      <w:b/>
      <w:bCs/>
      <w:sz w:val="20"/>
      <w:szCs w:val="20"/>
    </w:rPr>
  </w:style>
  <w:style w:type="paragraph" w:styleId="Revzia">
    <w:name w:val="Revision"/>
    <w:hidden/>
    <w:uiPriority w:val="99"/>
    <w:semiHidden/>
    <w:rsid w:val="0048020F"/>
    <w:pPr>
      <w:spacing w:after="0" w:line="240" w:lineRule="auto"/>
    </w:pPr>
  </w:style>
  <w:style w:type="paragraph" w:styleId="Normlnywebov">
    <w:name w:val="Normal (Web)"/>
    <w:basedOn w:val="Normlny"/>
    <w:uiPriority w:val="99"/>
    <w:unhideWhenUsed/>
    <w:rsid w:val="00285F21"/>
    <w:pPr>
      <w:spacing w:before="100" w:beforeAutospacing="1" w:after="100" w:afterAutospacing="1" w:line="240" w:lineRule="auto"/>
    </w:pPr>
    <w:rPr>
      <w:rFonts w:ascii="Times New Roman" w:hAnsi="Times New Roman" w:cs="Times New Roman"/>
      <w:sz w:val="24"/>
      <w:szCs w:val="24"/>
    </w:rPr>
  </w:style>
  <w:style w:type="paragraph" w:styleId="Nzov">
    <w:name w:val="Title"/>
    <w:basedOn w:val="Normlny"/>
    <w:link w:val="NzovChar"/>
    <w:uiPriority w:val="10"/>
    <w:qFormat/>
    <w:rsid w:val="00450EE5"/>
    <w:pPr>
      <w:spacing w:after="0" w:line="240" w:lineRule="auto"/>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uiPriority w:val="10"/>
    <w:rsid w:val="00450EE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355">
      <w:bodyDiv w:val="1"/>
      <w:marLeft w:val="0"/>
      <w:marRight w:val="0"/>
      <w:marTop w:val="0"/>
      <w:marBottom w:val="0"/>
      <w:divBdr>
        <w:top w:val="none" w:sz="0" w:space="0" w:color="auto"/>
        <w:left w:val="none" w:sz="0" w:space="0" w:color="auto"/>
        <w:bottom w:val="none" w:sz="0" w:space="0" w:color="auto"/>
        <w:right w:val="none" w:sz="0" w:space="0" w:color="auto"/>
      </w:divBdr>
    </w:div>
    <w:div w:id="338236025">
      <w:bodyDiv w:val="1"/>
      <w:marLeft w:val="0"/>
      <w:marRight w:val="0"/>
      <w:marTop w:val="0"/>
      <w:marBottom w:val="0"/>
      <w:divBdr>
        <w:top w:val="none" w:sz="0" w:space="0" w:color="auto"/>
        <w:left w:val="none" w:sz="0" w:space="0" w:color="auto"/>
        <w:bottom w:val="none" w:sz="0" w:space="0" w:color="auto"/>
        <w:right w:val="none" w:sz="0" w:space="0" w:color="auto"/>
      </w:divBdr>
    </w:div>
    <w:div w:id="357777757">
      <w:bodyDiv w:val="1"/>
      <w:marLeft w:val="0"/>
      <w:marRight w:val="0"/>
      <w:marTop w:val="0"/>
      <w:marBottom w:val="0"/>
      <w:divBdr>
        <w:top w:val="none" w:sz="0" w:space="0" w:color="auto"/>
        <w:left w:val="none" w:sz="0" w:space="0" w:color="auto"/>
        <w:bottom w:val="none" w:sz="0" w:space="0" w:color="auto"/>
        <w:right w:val="none" w:sz="0" w:space="0" w:color="auto"/>
      </w:divBdr>
    </w:div>
    <w:div w:id="358160717">
      <w:bodyDiv w:val="1"/>
      <w:marLeft w:val="0"/>
      <w:marRight w:val="0"/>
      <w:marTop w:val="0"/>
      <w:marBottom w:val="0"/>
      <w:divBdr>
        <w:top w:val="none" w:sz="0" w:space="0" w:color="auto"/>
        <w:left w:val="none" w:sz="0" w:space="0" w:color="auto"/>
        <w:bottom w:val="none" w:sz="0" w:space="0" w:color="auto"/>
        <w:right w:val="none" w:sz="0" w:space="0" w:color="auto"/>
      </w:divBdr>
    </w:div>
    <w:div w:id="620720631">
      <w:bodyDiv w:val="1"/>
      <w:marLeft w:val="0"/>
      <w:marRight w:val="0"/>
      <w:marTop w:val="0"/>
      <w:marBottom w:val="0"/>
      <w:divBdr>
        <w:top w:val="none" w:sz="0" w:space="0" w:color="auto"/>
        <w:left w:val="none" w:sz="0" w:space="0" w:color="auto"/>
        <w:bottom w:val="none" w:sz="0" w:space="0" w:color="auto"/>
        <w:right w:val="none" w:sz="0" w:space="0" w:color="auto"/>
      </w:divBdr>
    </w:div>
    <w:div w:id="623270862">
      <w:bodyDiv w:val="1"/>
      <w:marLeft w:val="0"/>
      <w:marRight w:val="0"/>
      <w:marTop w:val="0"/>
      <w:marBottom w:val="0"/>
      <w:divBdr>
        <w:top w:val="none" w:sz="0" w:space="0" w:color="auto"/>
        <w:left w:val="none" w:sz="0" w:space="0" w:color="auto"/>
        <w:bottom w:val="none" w:sz="0" w:space="0" w:color="auto"/>
        <w:right w:val="none" w:sz="0" w:space="0" w:color="auto"/>
      </w:divBdr>
    </w:div>
    <w:div w:id="645740249">
      <w:bodyDiv w:val="1"/>
      <w:marLeft w:val="0"/>
      <w:marRight w:val="0"/>
      <w:marTop w:val="0"/>
      <w:marBottom w:val="0"/>
      <w:divBdr>
        <w:top w:val="none" w:sz="0" w:space="0" w:color="auto"/>
        <w:left w:val="none" w:sz="0" w:space="0" w:color="auto"/>
        <w:bottom w:val="none" w:sz="0" w:space="0" w:color="auto"/>
        <w:right w:val="none" w:sz="0" w:space="0" w:color="auto"/>
      </w:divBdr>
    </w:div>
    <w:div w:id="689338250">
      <w:bodyDiv w:val="1"/>
      <w:marLeft w:val="0"/>
      <w:marRight w:val="0"/>
      <w:marTop w:val="0"/>
      <w:marBottom w:val="0"/>
      <w:divBdr>
        <w:top w:val="none" w:sz="0" w:space="0" w:color="auto"/>
        <w:left w:val="none" w:sz="0" w:space="0" w:color="auto"/>
        <w:bottom w:val="none" w:sz="0" w:space="0" w:color="auto"/>
        <w:right w:val="none" w:sz="0" w:space="0" w:color="auto"/>
      </w:divBdr>
    </w:div>
    <w:div w:id="717819611">
      <w:bodyDiv w:val="1"/>
      <w:marLeft w:val="0"/>
      <w:marRight w:val="0"/>
      <w:marTop w:val="0"/>
      <w:marBottom w:val="0"/>
      <w:divBdr>
        <w:top w:val="none" w:sz="0" w:space="0" w:color="auto"/>
        <w:left w:val="none" w:sz="0" w:space="0" w:color="auto"/>
        <w:bottom w:val="none" w:sz="0" w:space="0" w:color="auto"/>
        <w:right w:val="none" w:sz="0" w:space="0" w:color="auto"/>
      </w:divBdr>
    </w:div>
    <w:div w:id="1044140690">
      <w:bodyDiv w:val="1"/>
      <w:marLeft w:val="0"/>
      <w:marRight w:val="0"/>
      <w:marTop w:val="0"/>
      <w:marBottom w:val="0"/>
      <w:divBdr>
        <w:top w:val="none" w:sz="0" w:space="0" w:color="auto"/>
        <w:left w:val="none" w:sz="0" w:space="0" w:color="auto"/>
        <w:bottom w:val="none" w:sz="0" w:space="0" w:color="auto"/>
        <w:right w:val="none" w:sz="0" w:space="0" w:color="auto"/>
      </w:divBdr>
    </w:div>
    <w:div w:id="1174956777">
      <w:bodyDiv w:val="1"/>
      <w:marLeft w:val="0"/>
      <w:marRight w:val="0"/>
      <w:marTop w:val="0"/>
      <w:marBottom w:val="0"/>
      <w:divBdr>
        <w:top w:val="none" w:sz="0" w:space="0" w:color="auto"/>
        <w:left w:val="none" w:sz="0" w:space="0" w:color="auto"/>
        <w:bottom w:val="none" w:sz="0" w:space="0" w:color="auto"/>
        <w:right w:val="none" w:sz="0" w:space="0" w:color="auto"/>
      </w:divBdr>
    </w:div>
    <w:div w:id="1253658448">
      <w:bodyDiv w:val="1"/>
      <w:marLeft w:val="0"/>
      <w:marRight w:val="0"/>
      <w:marTop w:val="0"/>
      <w:marBottom w:val="0"/>
      <w:divBdr>
        <w:top w:val="none" w:sz="0" w:space="0" w:color="auto"/>
        <w:left w:val="none" w:sz="0" w:space="0" w:color="auto"/>
        <w:bottom w:val="none" w:sz="0" w:space="0" w:color="auto"/>
        <w:right w:val="none" w:sz="0" w:space="0" w:color="auto"/>
      </w:divBdr>
    </w:div>
    <w:div w:id="1279218509">
      <w:bodyDiv w:val="1"/>
      <w:marLeft w:val="0"/>
      <w:marRight w:val="0"/>
      <w:marTop w:val="0"/>
      <w:marBottom w:val="0"/>
      <w:divBdr>
        <w:top w:val="none" w:sz="0" w:space="0" w:color="auto"/>
        <w:left w:val="none" w:sz="0" w:space="0" w:color="auto"/>
        <w:bottom w:val="none" w:sz="0" w:space="0" w:color="auto"/>
        <w:right w:val="none" w:sz="0" w:space="0" w:color="auto"/>
      </w:divBdr>
    </w:div>
    <w:div w:id="1313945415">
      <w:bodyDiv w:val="1"/>
      <w:marLeft w:val="0"/>
      <w:marRight w:val="0"/>
      <w:marTop w:val="0"/>
      <w:marBottom w:val="0"/>
      <w:divBdr>
        <w:top w:val="none" w:sz="0" w:space="0" w:color="auto"/>
        <w:left w:val="none" w:sz="0" w:space="0" w:color="auto"/>
        <w:bottom w:val="none" w:sz="0" w:space="0" w:color="auto"/>
        <w:right w:val="none" w:sz="0" w:space="0" w:color="auto"/>
      </w:divBdr>
    </w:div>
    <w:div w:id="1564410726">
      <w:bodyDiv w:val="1"/>
      <w:marLeft w:val="0"/>
      <w:marRight w:val="0"/>
      <w:marTop w:val="0"/>
      <w:marBottom w:val="0"/>
      <w:divBdr>
        <w:top w:val="none" w:sz="0" w:space="0" w:color="auto"/>
        <w:left w:val="none" w:sz="0" w:space="0" w:color="auto"/>
        <w:bottom w:val="none" w:sz="0" w:space="0" w:color="auto"/>
        <w:right w:val="none" w:sz="0" w:space="0" w:color="auto"/>
      </w:divBdr>
    </w:div>
    <w:div w:id="1580410424">
      <w:bodyDiv w:val="1"/>
      <w:marLeft w:val="0"/>
      <w:marRight w:val="0"/>
      <w:marTop w:val="0"/>
      <w:marBottom w:val="0"/>
      <w:divBdr>
        <w:top w:val="none" w:sz="0" w:space="0" w:color="auto"/>
        <w:left w:val="none" w:sz="0" w:space="0" w:color="auto"/>
        <w:bottom w:val="none" w:sz="0" w:space="0" w:color="auto"/>
        <w:right w:val="none" w:sz="0" w:space="0" w:color="auto"/>
      </w:divBdr>
    </w:div>
    <w:div w:id="1689213173">
      <w:bodyDiv w:val="1"/>
      <w:marLeft w:val="0"/>
      <w:marRight w:val="0"/>
      <w:marTop w:val="0"/>
      <w:marBottom w:val="0"/>
      <w:divBdr>
        <w:top w:val="none" w:sz="0" w:space="0" w:color="auto"/>
        <w:left w:val="none" w:sz="0" w:space="0" w:color="auto"/>
        <w:bottom w:val="none" w:sz="0" w:space="0" w:color="auto"/>
        <w:right w:val="none" w:sz="0" w:space="0" w:color="auto"/>
      </w:divBdr>
    </w:div>
    <w:div w:id="1721394815">
      <w:bodyDiv w:val="1"/>
      <w:marLeft w:val="0"/>
      <w:marRight w:val="0"/>
      <w:marTop w:val="0"/>
      <w:marBottom w:val="0"/>
      <w:divBdr>
        <w:top w:val="none" w:sz="0" w:space="0" w:color="auto"/>
        <w:left w:val="none" w:sz="0" w:space="0" w:color="auto"/>
        <w:bottom w:val="none" w:sz="0" w:space="0" w:color="auto"/>
        <w:right w:val="none" w:sz="0" w:space="0" w:color="auto"/>
      </w:divBdr>
    </w:div>
    <w:div w:id="1753315808">
      <w:bodyDiv w:val="1"/>
      <w:marLeft w:val="0"/>
      <w:marRight w:val="0"/>
      <w:marTop w:val="0"/>
      <w:marBottom w:val="0"/>
      <w:divBdr>
        <w:top w:val="none" w:sz="0" w:space="0" w:color="auto"/>
        <w:left w:val="none" w:sz="0" w:space="0" w:color="auto"/>
        <w:bottom w:val="none" w:sz="0" w:space="0" w:color="auto"/>
        <w:right w:val="none" w:sz="0" w:space="0" w:color="auto"/>
      </w:divBdr>
    </w:div>
    <w:div w:id="1787773068">
      <w:bodyDiv w:val="1"/>
      <w:marLeft w:val="0"/>
      <w:marRight w:val="0"/>
      <w:marTop w:val="0"/>
      <w:marBottom w:val="0"/>
      <w:divBdr>
        <w:top w:val="none" w:sz="0" w:space="0" w:color="auto"/>
        <w:left w:val="none" w:sz="0" w:space="0" w:color="auto"/>
        <w:bottom w:val="none" w:sz="0" w:space="0" w:color="auto"/>
        <w:right w:val="none" w:sz="0" w:space="0" w:color="auto"/>
      </w:divBdr>
    </w:div>
    <w:div w:id="1811365430">
      <w:bodyDiv w:val="1"/>
      <w:marLeft w:val="0"/>
      <w:marRight w:val="0"/>
      <w:marTop w:val="0"/>
      <w:marBottom w:val="0"/>
      <w:divBdr>
        <w:top w:val="none" w:sz="0" w:space="0" w:color="auto"/>
        <w:left w:val="none" w:sz="0" w:space="0" w:color="auto"/>
        <w:bottom w:val="none" w:sz="0" w:space="0" w:color="auto"/>
        <w:right w:val="none" w:sz="0" w:space="0" w:color="auto"/>
      </w:divBdr>
    </w:div>
    <w:div w:id="1829859560">
      <w:bodyDiv w:val="1"/>
      <w:marLeft w:val="0"/>
      <w:marRight w:val="0"/>
      <w:marTop w:val="0"/>
      <w:marBottom w:val="0"/>
      <w:divBdr>
        <w:top w:val="none" w:sz="0" w:space="0" w:color="auto"/>
        <w:left w:val="none" w:sz="0" w:space="0" w:color="auto"/>
        <w:bottom w:val="none" w:sz="0" w:space="0" w:color="auto"/>
        <w:right w:val="none" w:sz="0" w:space="0" w:color="auto"/>
      </w:divBdr>
    </w:div>
    <w:div w:id="1865628236">
      <w:bodyDiv w:val="1"/>
      <w:marLeft w:val="0"/>
      <w:marRight w:val="0"/>
      <w:marTop w:val="0"/>
      <w:marBottom w:val="0"/>
      <w:divBdr>
        <w:top w:val="none" w:sz="0" w:space="0" w:color="auto"/>
        <w:left w:val="none" w:sz="0" w:space="0" w:color="auto"/>
        <w:bottom w:val="none" w:sz="0" w:space="0" w:color="auto"/>
        <w:right w:val="none" w:sz="0" w:space="0" w:color="auto"/>
      </w:divBdr>
    </w:div>
    <w:div w:id="1963337498">
      <w:bodyDiv w:val="1"/>
      <w:marLeft w:val="0"/>
      <w:marRight w:val="0"/>
      <w:marTop w:val="0"/>
      <w:marBottom w:val="0"/>
      <w:divBdr>
        <w:top w:val="none" w:sz="0" w:space="0" w:color="auto"/>
        <w:left w:val="none" w:sz="0" w:space="0" w:color="auto"/>
        <w:bottom w:val="none" w:sz="0" w:space="0" w:color="auto"/>
        <w:right w:val="none" w:sz="0" w:space="0" w:color="auto"/>
      </w:divBdr>
    </w:div>
    <w:div w:id="2022585408">
      <w:bodyDiv w:val="1"/>
      <w:marLeft w:val="0"/>
      <w:marRight w:val="0"/>
      <w:marTop w:val="0"/>
      <w:marBottom w:val="0"/>
      <w:divBdr>
        <w:top w:val="none" w:sz="0" w:space="0" w:color="auto"/>
        <w:left w:val="none" w:sz="0" w:space="0" w:color="auto"/>
        <w:bottom w:val="none" w:sz="0" w:space="0" w:color="auto"/>
        <w:right w:val="none" w:sz="0" w:space="0" w:color="auto"/>
      </w:divBdr>
    </w:div>
    <w:div w:id="2028557318">
      <w:bodyDiv w:val="1"/>
      <w:marLeft w:val="0"/>
      <w:marRight w:val="0"/>
      <w:marTop w:val="0"/>
      <w:marBottom w:val="0"/>
      <w:divBdr>
        <w:top w:val="none" w:sz="0" w:space="0" w:color="auto"/>
        <w:left w:val="none" w:sz="0" w:space="0" w:color="auto"/>
        <w:bottom w:val="none" w:sz="0" w:space="0" w:color="auto"/>
        <w:right w:val="none" w:sz="0" w:space="0" w:color="auto"/>
      </w:divBdr>
    </w:div>
    <w:div w:id="2035307004">
      <w:bodyDiv w:val="1"/>
      <w:marLeft w:val="0"/>
      <w:marRight w:val="0"/>
      <w:marTop w:val="0"/>
      <w:marBottom w:val="0"/>
      <w:divBdr>
        <w:top w:val="none" w:sz="0" w:space="0" w:color="auto"/>
        <w:left w:val="none" w:sz="0" w:space="0" w:color="auto"/>
        <w:bottom w:val="none" w:sz="0" w:space="0" w:color="auto"/>
        <w:right w:val="none" w:sz="0" w:space="0" w:color="auto"/>
      </w:divBdr>
    </w:div>
    <w:div w:id="2039350076">
      <w:bodyDiv w:val="1"/>
      <w:marLeft w:val="0"/>
      <w:marRight w:val="0"/>
      <w:marTop w:val="0"/>
      <w:marBottom w:val="0"/>
      <w:divBdr>
        <w:top w:val="none" w:sz="0" w:space="0" w:color="auto"/>
        <w:left w:val="none" w:sz="0" w:space="0" w:color="auto"/>
        <w:bottom w:val="none" w:sz="0" w:space="0" w:color="auto"/>
        <w:right w:val="none" w:sz="0" w:space="0" w:color="auto"/>
      </w:divBdr>
    </w:div>
    <w:div w:id="20438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JavaScript:new_http_browser_jscript('?MOD=html&amp;FIR=demo&amp;JEL=n&amp;AGE=zak&amp;TNU=n&amp;IDC=79%2F2008%20Z.z.')"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69D6E919-9012-4EFD-A131-EE405DB7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1612</Words>
  <Characters>9193</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MH SR</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Varos Juraj</cp:lastModifiedBy>
  <cp:revision>14</cp:revision>
  <cp:lastPrinted>2020-08-04T07:50:00Z</cp:lastPrinted>
  <dcterms:created xsi:type="dcterms:W3CDTF">2020-08-04T06:02:00Z</dcterms:created>
  <dcterms:modified xsi:type="dcterms:W3CDTF">2020-08-05T10:56:00Z</dcterms:modified>
</cp:coreProperties>
</file>