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416DF" w14:textId="77777777" w:rsidR="001A45EA" w:rsidRPr="004E44C2" w:rsidRDefault="001A45EA" w:rsidP="001A45EA">
      <w:pPr>
        <w:spacing w:after="0" w:line="240" w:lineRule="auto"/>
        <w:jc w:val="center"/>
        <w:rPr>
          <w:rFonts w:ascii="Times New Roman" w:eastAsia="Times New Roman" w:hAnsi="Times New Roman" w:cs="Times New Roman"/>
          <w:b/>
          <w:bCs/>
          <w:sz w:val="24"/>
          <w:szCs w:val="24"/>
          <w:lang w:eastAsia="sk-SK"/>
        </w:rPr>
      </w:pPr>
      <w:r w:rsidRPr="004E44C2">
        <w:rPr>
          <w:rFonts w:ascii="Times New Roman" w:eastAsia="Times New Roman" w:hAnsi="Times New Roman" w:cs="Times New Roman"/>
          <w:b/>
          <w:bCs/>
          <w:sz w:val="24"/>
          <w:szCs w:val="24"/>
          <w:lang w:eastAsia="sk-SK"/>
        </w:rPr>
        <w:t>DOLOŽKA ZLUČITEĽNOSTI</w:t>
      </w:r>
    </w:p>
    <w:p w14:paraId="0FDE3BBC" w14:textId="77777777" w:rsidR="003A68BE" w:rsidRPr="004E44C2" w:rsidRDefault="003A68BE" w:rsidP="001A45EA">
      <w:pPr>
        <w:spacing w:after="0" w:line="240" w:lineRule="auto"/>
        <w:jc w:val="center"/>
        <w:rPr>
          <w:rFonts w:ascii="Times New Roman" w:eastAsia="Times New Roman" w:hAnsi="Times New Roman" w:cs="Times New Roman"/>
          <w:sz w:val="24"/>
          <w:szCs w:val="24"/>
          <w:lang w:eastAsia="sk-SK"/>
        </w:rPr>
      </w:pPr>
    </w:p>
    <w:p w14:paraId="5BA66327" w14:textId="1E4D5249" w:rsidR="001A45EA" w:rsidRPr="004E44C2" w:rsidRDefault="001A45EA" w:rsidP="001A45EA">
      <w:pPr>
        <w:pBdr>
          <w:bottom w:val="single" w:sz="12" w:space="1" w:color="auto"/>
        </w:pBdr>
        <w:spacing w:after="0" w:line="240" w:lineRule="auto"/>
        <w:jc w:val="center"/>
        <w:rPr>
          <w:rFonts w:ascii="Times New Roman" w:eastAsia="Times New Roman" w:hAnsi="Times New Roman" w:cs="Times New Roman"/>
          <w:b/>
          <w:bCs/>
          <w:sz w:val="24"/>
          <w:szCs w:val="24"/>
          <w:lang w:eastAsia="sk-SK"/>
        </w:rPr>
      </w:pPr>
      <w:r w:rsidRPr="004E44C2">
        <w:rPr>
          <w:rFonts w:ascii="Times New Roman" w:eastAsia="Times New Roman" w:hAnsi="Times New Roman" w:cs="Times New Roman"/>
          <w:b/>
          <w:bCs/>
          <w:sz w:val="24"/>
          <w:szCs w:val="24"/>
          <w:lang w:eastAsia="sk-SK"/>
        </w:rPr>
        <w:t>návrhu zákona</w:t>
      </w:r>
      <w:r w:rsidR="00DE539C" w:rsidRPr="004E44C2">
        <w:rPr>
          <w:rFonts w:ascii="Times New Roman" w:eastAsia="Times New Roman" w:hAnsi="Times New Roman" w:cs="Times New Roman"/>
          <w:b/>
          <w:bCs/>
          <w:sz w:val="24"/>
          <w:szCs w:val="24"/>
          <w:lang w:eastAsia="sk-SK"/>
        </w:rPr>
        <w:t xml:space="preserve"> </w:t>
      </w:r>
      <w:r w:rsidRPr="004E44C2">
        <w:rPr>
          <w:rFonts w:ascii="Times New Roman" w:eastAsia="Times New Roman" w:hAnsi="Times New Roman" w:cs="Times New Roman"/>
          <w:b/>
          <w:bCs/>
          <w:sz w:val="24"/>
          <w:szCs w:val="24"/>
          <w:lang w:eastAsia="sk-SK"/>
        </w:rPr>
        <w:t>s právom Európskej únie</w:t>
      </w:r>
    </w:p>
    <w:p w14:paraId="621B1698" w14:textId="77777777" w:rsidR="00703A5A" w:rsidRPr="004E44C2" w:rsidRDefault="00703A5A" w:rsidP="001A45EA">
      <w:pPr>
        <w:spacing w:after="0" w:line="240" w:lineRule="auto"/>
        <w:rPr>
          <w:rFonts w:ascii="Times New Roman" w:eastAsia="Times New Roman" w:hAnsi="Times New Roman" w:cs="Times New Roman"/>
          <w:sz w:val="24"/>
          <w:szCs w:val="24"/>
          <w:lang w:eastAsia="sk-SK"/>
        </w:rPr>
      </w:pPr>
    </w:p>
    <w:p w14:paraId="7D0300CC" w14:textId="77777777" w:rsidR="00096AAA" w:rsidRPr="004E44C2" w:rsidRDefault="00096AAA" w:rsidP="001A45EA">
      <w:pPr>
        <w:spacing w:after="0" w:line="240" w:lineRule="auto"/>
        <w:rPr>
          <w:rFonts w:ascii="Times New Roman" w:eastAsia="Times New Roman" w:hAnsi="Times New Roman" w:cs="Times New Roman"/>
          <w:sz w:val="24"/>
          <w:szCs w:val="24"/>
          <w:lang w:eastAsia="sk-SK"/>
        </w:rPr>
      </w:pPr>
    </w:p>
    <w:p w14:paraId="443EAC9F" w14:textId="77777777" w:rsidR="001A45EA" w:rsidRPr="004E44C2" w:rsidRDefault="001A45EA" w:rsidP="001A45EA">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4E44C2">
        <w:rPr>
          <w:rFonts w:ascii="Times New Roman" w:eastAsia="Times New Roman" w:hAnsi="Times New Roman" w:cs="Times New Roman"/>
          <w:b/>
          <w:bCs/>
          <w:sz w:val="24"/>
          <w:szCs w:val="24"/>
          <w:lang w:eastAsia="sk-SK"/>
        </w:rPr>
        <w:t>Navrhovateľ zákona:</w:t>
      </w:r>
    </w:p>
    <w:p w14:paraId="33711CB7" w14:textId="3AD36671" w:rsidR="001A45EA" w:rsidRPr="004E44C2" w:rsidRDefault="002A6C7C" w:rsidP="000E0215">
      <w:pPr>
        <w:spacing w:after="0" w:line="240" w:lineRule="auto"/>
        <w:ind w:left="426"/>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Vláda</w:t>
      </w:r>
      <w:r w:rsidR="007D096C" w:rsidRPr="004E44C2">
        <w:rPr>
          <w:rFonts w:ascii="Times New Roman" w:eastAsia="Times New Roman" w:hAnsi="Times New Roman" w:cs="Times New Roman"/>
          <w:sz w:val="24"/>
          <w:szCs w:val="24"/>
          <w:lang w:eastAsia="sk-SK"/>
        </w:rPr>
        <w:t xml:space="preserve"> Slovenskej republiky</w:t>
      </w:r>
      <w:r w:rsidR="00BE7CAB" w:rsidRPr="004E44C2">
        <w:rPr>
          <w:rFonts w:ascii="Times New Roman" w:eastAsia="Times New Roman" w:hAnsi="Times New Roman" w:cs="Times New Roman"/>
          <w:sz w:val="24"/>
          <w:szCs w:val="24"/>
          <w:lang w:eastAsia="sk-SK"/>
        </w:rPr>
        <w:t>.</w:t>
      </w:r>
    </w:p>
    <w:p w14:paraId="156760DD" w14:textId="77777777" w:rsidR="00703A5A" w:rsidRPr="004E44C2" w:rsidRDefault="00703A5A" w:rsidP="001A45EA">
      <w:pPr>
        <w:spacing w:after="0" w:line="240" w:lineRule="auto"/>
        <w:rPr>
          <w:rFonts w:ascii="Times New Roman" w:eastAsia="Times New Roman" w:hAnsi="Times New Roman" w:cs="Times New Roman"/>
          <w:sz w:val="24"/>
          <w:szCs w:val="24"/>
          <w:lang w:eastAsia="sk-SK"/>
        </w:rPr>
      </w:pPr>
    </w:p>
    <w:p w14:paraId="39FBC398" w14:textId="77777777" w:rsidR="001A45EA" w:rsidRPr="004E44C2" w:rsidRDefault="001A45EA" w:rsidP="001A45EA">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4E44C2">
        <w:rPr>
          <w:rFonts w:ascii="Times New Roman" w:eastAsia="Times New Roman" w:hAnsi="Times New Roman" w:cs="Times New Roman"/>
          <w:b/>
          <w:bCs/>
          <w:sz w:val="24"/>
          <w:szCs w:val="24"/>
          <w:lang w:eastAsia="sk-SK"/>
        </w:rPr>
        <w:t>Názov návrhu zákona:</w:t>
      </w:r>
    </w:p>
    <w:p w14:paraId="0A8B78BC" w14:textId="77777777" w:rsidR="001A45EA" w:rsidRPr="004E44C2" w:rsidRDefault="001A45EA" w:rsidP="000E0215">
      <w:pPr>
        <w:spacing w:after="0" w:line="240" w:lineRule="auto"/>
        <w:ind w:left="426"/>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Návrh</w:t>
      </w:r>
      <w:r w:rsidRPr="004E44C2">
        <w:rPr>
          <w:rFonts w:ascii="Times New Roman" w:eastAsia="Times New Roman" w:hAnsi="Times New Roman" w:cs="Times New Roman"/>
          <w:spacing w:val="51"/>
          <w:sz w:val="24"/>
          <w:szCs w:val="24"/>
          <w:lang w:eastAsia="sk-SK"/>
        </w:rPr>
        <w:t xml:space="preserve"> </w:t>
      </w:r>
      <w:r w:rsidRPr="004E44C2">
        <w:rPr>
          <w:rFonts w:ascii="Times New Roman" w:eastAsia="Times New Roman" w:hAnsi="Times New Roman" w:cs="Times New Roman"/>
          <w:sz w:val="24"/>
          <w:szCs w:val="24"/>
          <w:lang w:eastAsia="sk-SK"/>
        </w:rPr>
        <w:t>zákona,</w:t>
      </w:r>
      <w:r w:rsidRPr="004E44C2">
        <w:rPr>
          <w:rFonts w:ascii="Times New Roman" w:eastAsia="Times New Roman" w:hAnsi="Times New Roman" w:cs="Times New Roman"/>
          <w:spacing w:val="51"/>
          <w:sz w:val="24"/>
          <w:szCs w:val="24"/>
          <w:lang w:eastAsia="sk-SK"/>
        </w:rPr>
        <w:t xml:space="preserve"> </w:t>
      </w:r>
      <w:r w:rsidRPr="004E44C2">
        <w:rPr>
          <w:rFonts w:ascii="Times New Roman" w:eastAsia="Times New Roman" w:hAnsi="Times New Roman" w:cs="Times New Roman"/>
          <w:sz w:val="24"/>
          <w:szCs w:val="24"/>
          <w:lang w:eastAsia="sk-SK"/>
        </w:rPr>
        <w:t>ktorým</w:t>
      </w:r>
      <w:r w:rsidRPr="004E44C2">
        <w:rPr>
          <w:rFonts w:ascii="Times New Roman" w:eastAsia="Times New Roman" w:hAnsi="Times New Roman" w:cs="Times New Roman"/>
          <w:spacing w:val="51"/>
          <w:sz w:val="24"/>
          <w:szCs w:val="24"/>
          <w:lang w:eastAsia="sk-SK"/>
        </w:rPr>
        <w:t xml:space="preserve"> </w:t>
      </w:r>
      <w:r w:rsidRPr="004E44C2">
        <w:rPr>
          <w:rFonts w:ascii="Times New Roman" w:eastAsia="Times New Roman" w:hAnsi="Times New Roman" w:cs="Times New Roman"/>
          <w:sz w:val="24"/>
          <w:szCs w:val="24"/>
          <w:lang w:eastAsia="sk-SK"/>
        </w:rPr>
        <w:t>sa</w:t>
      </w:r>
      <w:r w:rsidRPr="004E44C2">
        <w:rPr>
          <w:rFonts w:ascii="Times New Roman" w:eastAsia="Times New Roman" w:hAnsi="Times New Roman" w:cs="Times New Roman"/>
          <w:spacing w:val="51"/>
          <w:sz w:val="24"/>
          <w:szCs w:val="24"/>
          <w:lang w:eastAsia="sk-SK"/>
        </w:rPr>
        <w:t xml:space="preserve"> </w:t>
      </w:r>
      <w:r w:rsidRPr="004E44C2">
        <w:rPr>
          <w:rFonts w:ascii="Times New Roman" w:eastAsia="Times New Roman" w:hAnsi="Times New Roman" w:cs="Times New Roman"/>
          <w:sz w:val="24"/>
          <w:szCs w:val="24"/>
          <w:lang w:eastAsia="sk-SK"/>
        </w:rPr>
        <w:t>mení</w:t>
      </w:r>
      <w:r w:rsidRPr="004E44C2">
        <w:rPr>
          <w:rFonts w:ascii="Times New Roman" w:eastAsia="Times New Roman" w:hAnsi="Times New Roman" w:cs="Times New Roman"/>
          <w:spacing w:val="51"/>
          <w:sz w:val="24"/>
          <w:szCs w:val="24"/>
          <w:lang w:eastAsia="sk-SK"/>
        </w:rPr>
        <w:t xml:space="preserve"> </w:t>
      </w:r>
      <w:r w:rsidRPr="004E44C2">
        <w:rPr>
          <w:rFonts w:ascii="Times New Roman" w:eastAsia="Times New Roman" w:hAnsi="Times New Roman" w:cs="Times New Roman"/>
          <w:sz w:val="24"/>
          <w:szCs w:val="24"/>
          <w:lang w:eastAsia="sk-SK"/>
        </w:rPr>
        <w:t>a</w:t>
      </w:r>
      <w:r w:rsidRPr="004E44C2">
        <w:rPr>
          <w:rFonts w:ascii="Times New Roman" w:eastAsia="Times New Roman" w:hAnsi="Times New Roman" w:cs="Times New Roman"/>
          <w:spacing w:val="51"/>
          <w:sz w:val="24"/>
          <w:szCs w:val="24"/>
          <w:lang w:eastAsia="sk-SK"/>
        </w:rPr>
        <w:t> </w:t>
      </w:r>
      <w:r w:rsidRPr="004E44C2">
        <w:rPr>
          <w:rFonts w:ascii="Times New Roman" w:eastAsia="Times New Roman" w:hAnsi="Times New Roman" w:cs="Times New Roman"/>
          <w:sz w:val="24"/>
          <w:szCs w:val="24"/>
          <w:lang w:eastAsia="sk-SK"/>
        </w:rPr>
        <w:t>dopĺňa zákon</w:t>
      </w:r>
      <w:r w:rsidRPr="004E44C2">
        <w:rPr>
          <w:rFonts w:ascii="Times New Roman" w:eastAsia="Times New Roman" w:hAnsi="Times New Roman" w:cs="Times New Roman"/>
          <w:spacing w:val="51"/>
          <w:sz w:val="24"/>
          <w:szCs w:val="24"/>
          <w:lang w:eastAsia="sk-SK"/>
        </w:rPr>
        <w:t xml:space="preserve"> </w:t>
      </w:r>
      <w:r w:rsidRPr="004E44C2">
        <w:rPr>
          <w:rFonts w:ascii="Times New Roman" w:eastAsia="Times New Roman" w:hAnsi="Times New Roman" w:cs="Times New Roman"/>
          <w:sz w:val="24"/>
          <w:szCs w:val="24"/>
          <w:lang w:eastAsia="sk-SK"/>
        </w:rPr>
        <w:t>č. 483/2001 Z. z.</w:t>
      </w:r>
      <w:r w:rsidRPr="004E44C2">
        <w:rPr>
          <w:rFonts w:ascii="Times New Roman" w:eastAsia="Times New Roman" w:hAnsi="Times New Roman" w:cs="Times New Roman"/>
          <w:spacing w:val="51"/>
          <w:sz w:val="24"/>
          <w:szCs w:val="24"/>
          <w:lang w:eastAsia="sk-SK"/>
        </w:rPr>
        <w:t xml:space="preserve"> </w:t>
      </w:r>
      <w:r w:rsidRPr="004E44C2">
        <w:rPr>
          <w:rFonts w:ascii="Times New Roman" w:eastAsia="Times New Roman" w:hAnsi="Times New Roman" w:cs="Times New Roman"/>
          <w:sz w:val="24"/>
          <w:szCs w:val="24"/>
          <w:lang w:eastAsia="sk-SK"/>
        </w:rPr>
        <w:t>o</w:t>
      </w:r>
      <w:r w:rsidRPr="004E44C2">
        <w:rPr>
          <w:rFonts w:ascii="Times New Roman" w:eastAsia="Times New Roman" w:hAnsi="Times New Roman" w:cs="Times New Roman"/>
          <w:spacing w:val="51"/>
          <w:sz w:val="24"/>
          <w:szCs w:val="24"/>
          <w:lang w:eastAsia="sk-SK"/>
        </w:rPr>
        <w:t> </w:t>
      </w:r>
      <w:r w:rsidRPr="004E44C2">
        <w:rPr>
          <w:rFonts w:ascii="Times New Roman" w:eastAsia="Times New Roman" w:hAnsi="Times New Roman" w:cs="Times New Roman"/>
          <w:sz w:val="24"/>
          <w:szCs w:val="24"/>
          <w:lang w:eastAsia="sk-SK"/>
        </w:rPr>
        <w:t>bankách a</w:t>
      </w:r>
      <w:r w:rsidRPr="004E44C2">
        <w:rPr>
          <w:rFonts w:ascii="Times New Roman" w:eastAsia="Times New Roman" w:hAnsi="Times New Roman" w:cs="Times New Roman"/>
          <w:spacing w:val="51"/>
          <w:sz w:val="24"/>
          <w:szCs w:val="24"/>
          <w:lang w:eastAsia="sk-SK"/>
        </w:rPr>
        <w:t> </w:t>
      </w:r>
      <w:r w:rsidRPr="004E44C2">
        <w:rPr>
          <w:rFonts w:ascii="Times New Roman" w:eastAsia="Times New Roman" w:hAnsi="Times New Roman" w:cs="Times New Roman"/>
          <w:sz w:val="24"/>
          <w:szCs w:val="24"/>
          <w:lang w:eastAsia="sk-SK"/>
        </w:rPr>
        <w:t>o zmene a doplnení niektorých</w:t>
      </w:r>
      <w:r w:rsidRPr="004E44C2">
        <w:rPr>
          <w:rFonts w:ascii="Times New Roman" w:eastAsia="Times New Roman" w:hAnsi="Times New Roman" w:cs="Times New Roman"/>
          <w:spacing w:val="55"/>
          <w:sz w:val="24"/>
          <w:szCs w:val="24"/>
          <w:lang w:eastAsia="sk-SK"/>
        </w:rPr>
        <w:t xml:space="preserve"> </w:t>
      </w:r>
      <w:r w:rsidRPr="004E44C2">
        <w:rPr>
          <w:rFonts w:ascii="Times New Roman" w:eastAsia="Times New Roman" w:hAnsi="Times New Roman" w:cs="Times New Roman"/>
          <w:sz w:val="24"/>
          <w:szCs w:val="24"/>
          <w:lang w:eastAsia="sk-SK"/>
        </w:rPr>
        <w:t>zákonov</w:t>
      </w:r>
      <w:r w:rsidRPr="004E44C2">
        <w:rPr>
          <w:rFonts w:ascii="Times New Roman" w:eastAsia="Times New Roman" w:hAnsi="Times New Roman" w:cs="Times New Roman"/>
          <w:spacing w:val="55"/>
          <w:sz w:val="24"/>
          <w:szCs w:val="24"/>
          <w:lang w:eastAsia="sk-SK"/>
        </w:rPr>
        <w:t xml:space="preserve"> </w:t>
      </w:r>
      <w:r w:rsidRPr="004E44C2">
        <w:rPr>
          <w:rFonts w:ascii="Times New Roman" w:eastAsia="Times New Roman" w:hAnsi="Times New Roman" w:cs="Times New Roman"/>
          <w:sz w:val="24"/>
          <w:szCs w:val="24"/>
          <w:lang w:eastAsia="sk-SK"/>
        </w:rPr>
        <w:t>v</w:t>
      </w:r>
      <w:r w:rsidRPr="004E44C2">
        <w:rPr>
          <w:rFonts w:ascii="Times New Roman" w:eastAsia="Times New Roman" w:hAnsi="Times New Roman" w:cs="Times New Roman"/>
          <w:spacing w:val="55"/>
          <w:sz w:val="24"/>
          <w:szCs w:val="24"/>
          <w:lang w:eastAsia="sk-SK"/>
        </w:rPr>
        <w:t> </w:t>
      </w:r>
      <w:r w:rsidRPr="004E44C2">
        <w:rPr>
          <w:rFonts w:ascii="Times New Roman" w:eastAsia="Times New Roman" w:hAnsi="Times New Roman" w:cs="Times New Roman"/>
          <w:sz w:val="24"/>
          <w:szCs w:val="24"/>
          <w:lang w:eastAsia="sk-SK"/>
        </w:rPr>
        <w:t>znení neskorších</w:t>
      </w:r>
      <w:r w:rsidRPr="004E44C2">
        <w:rPr>
          <w:rFonts w:ascii="Times New Roman" w:eastAsia="Times New Roman" w:hAnsi="Times New Roman" w:cs="Times New Roman"/>
          <w:spacing w:val="55"/>
          <w:sz w:val="24"/>
          <w:szCs w:val="24"/>
          <w:lang w:eastAsia="sk-SK"/>
        </w:rPr>
        <w:t xml:space="preserve"> </w:t>
      </w:r>
      <w:r w:rsidRPr="004E44C2">
        <w:rPr>
          <w:rFonts w:ascii="Times New Roman" w:eastAsia="Times New Roman" w:hAnsi="Times New Roman" w:cs="Times New Roman"/>
          <w:sz w:val="24"/>
          <w:szCs w:val="24"/>
          <w:lang w:eastAsia="sk-SK"/>
        </w:rPr>
        <w:t>predpisov</w:t>
      </w:r>
      <w:r w:rsidRPr="004E44C2">
        <w:rPr>
          <w:rFonts w:ascii="Times New Roman" w:eastAsia="Times New Roman" w:hAnsi="Times New Roman" w:cs="Times New Roman"/>
          <w:spacing w:val="55"/>
          <w:sz w:val="24"/>
          <w:szCs w:val="24"/>
          <w:lang w:eastAsia="sk-SK"/>
        </w:rPr>
        <w:t xml:space="preserve"> </w:t>
      </w:r>
      <w:r w:rsidRPr="004E44C2">
        <w:rPr>
          <w:rFonts w:ascii="Times New Roman" w:eastAsia="Times New Roman" w:hAnsi="Times New Roman" w:cs="Times New Roman"/>
          <w:sz w:val="24"/>
          <w:szCs w:val="24"/>
          <w:lang w:eastAsia="sk-SK"/>
        </w:rPr>
        <w:t>a ktorým sa</w:t>
      </w:r>
      <w:r w:rsidRPr="004E44C2">
        <w:rPr>
          <w:rFonts w:ascii="Times New Roman" w:eastAsia="Times New Roman" w:hAnsi="Times New Roman" w:cs="Times New Roman"/>
          <w:spacing w:val="55"/>
          <w:sz w:val="24"/>
          <w:szCs w:val="24"/>
          <w:lang w:eastAsia="sk-SK"/>
        </w:rPr>
        <w:t xml:space="preserve"> </w:t>
      </w:r>
      <w:r w:rsidRPr="004E44C2">
        <w:rPr>
          <w:rFonts w:ascii="Times New Roman" w:eastAsia="Times New Roman" w:hAnsi="Times New Roman" w:cs="Times New Roman"/>
          <w:sz w:val="24"/>
          <w:szCs w:val="24"/>
          <w:lang w:eastAsia="sk-SK"/>
        </w:rPr>
        <w:t>menia</w:t>
      </w:r>
      <w:r w:rsidRPr="004E44C2">
        <w:rPr>
          <w:rFonts w:ascii="Times New Roman" w:eastAsia="Times New Roman" w:hAnsi="Times New Roman" w:cs="Times New Roman"/>
          <w:spacing w:val="55"/>
          <w:sz w:val="24"/>
          <w:szCs w:val="24"/>
          <w:lang w:eastAsia="sk-SK"/>
        </w:rPr>
        <w:t xml:space="preserve"> </w:t>
      </w:r>
      <w:r w:rsidRPr="004E44C2">
        <w:rPr>
          <w:rFonts w:ascii="Times New Roman" w:eastAsia="Times New Roman" w:hAnsi="Times New Roman" w:cs="Times New Roman"/>
          <w:sz w:val="24"/>
          <w:szCs w:val="24"/>
          <w:lang w:eastAsia="sk-SK"/>
        </w:rPr>
        <w:t>a dopĺňajú niektoré zákony.</w:t>
      </w:r>
    </w:p>
    <w:p w14:paraId="23A387F6" w14:textId="77777777" w:rsidR="00703A5A" w:rsidRPr="004E44C2" w:rsidRDefault="00703A5A" w:rsidP="001A45EA">
      <w:pPr>
        <w:spacing w:after="0" w:line="240" w:lineRule="auto"/>
        <w:rPr>
          <w:rFonts w:ascii="Times New Roman" w:eastAsia="Times New Roman" w:hAnsi="Times New Roman" w:cs="Times New Roman"/>
          <w:sz w:val="24"/>
          <w:szCs w:val="24"/>
          <w:lang w:eastAsia="sk-SK"/>
        </w:rPr>
      </w:pPr>
    </w:p>
    <w:p w14:paraId="53A39CAB" w14:textId="77777777" w:rsidR="001A45EA" w:rsidRPr="004E44C2" w:rsidRDefault="001A45EA" w:rsidP="001A45EA">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4E44C2">
        <w:rPr>
          <w:rFonts w:ascii="Times New Roman" w:eastAsia="Times New Roman" w:hAnsi="Times New Roman" w:cs="Times New Roman"/>
          <w:b/>
          <w:bCs/>
          <w:sz w:val="24"/>
          <w:szCs w:val="24"/>
          <w:lang w:eastAsia="sk-SK"/>
        </w:rPr>
        <w:t>Predmet návrhu zákona je upravený v práve Európskej únie:</w:t>
      </w:r>
    </w:p>
    <w:p w14:paraId="46BE1DB8" w14:textId="77777777" w:rsidR="001A45EA" w:rsidRPr="004E44C2" w:rsidRDefault="001A45EA" w:rsidP="001A45EA">
      <w:pPr>
        <w:pStyle w:val="Odsekzoznamu"/>
        <w:numPr>
          <w:ilvl w:val="0"/>
          <w:numId w:val="2"/>
        </w:numPr>
        <w:spacing w:after="0" w:line="240" w:lineRule="auto"/>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v primárnom práve</w:t>
      </w:r>
    </w:p>
    <w:p w14:paraId="0686EE45" w14:textId="5B0DE25A" w:rsidR="001A45EA" w:rsidRPr="004E44C2" w:rsidRDefault="001A45EA" w:rsidP="008545C6">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 xml:space="preserve">čl. 3 ods. 1 písm. </w:t>
      </w:r>
      <w:r w:rsidR="005D058B" w:rsidRPr="004E44C2">
        <w:rPr>
          <w:rFonts w:ascii="Times New Roman" w:eastAsia="Times New Roman" w:hAnsi="Times New Roman" w:cs="Times New Roman"/>
          <w:sz w:val="24"/>
          <w:szCs w:val="24"/>
          <w:lang w:eastAsia="sk-SK"/>
        </w:rPr>
        <w:t>b), čl. 4, čl. 26 ods. 2, čl. 49</w:t>
      </w:r>
      <w:r w:rsidRPr="004E44C2">
        <w:rPr>
          <w:rFonts w:ascii="Times New Roman" w:eastAsia="Times New Roman" w:hAnsi="Times New Roman" w:cs="Times New Roman"/>
          <w:sz w:val="24"/>
          <w:szCs w:val="24"/>
          <w:lang w:eastAsia="sk-SK"/>
        </w:rPr>
        <w:t xml:space="preserve"> až 66 Zm</w:t>
      </w:r>
      <w:r w:rsidR="00B11CB7" w:rsidRPr="004E44C2">
        <w:rPr>
          <w:rFonts w:ascii="Times New Roman" w:eastAsia="Times New Roman" w:hAnsi="Times New Roman" w:cs="Times New Roman"/>
          <w:sz w:val="24"/>
          <w:szCs w:val="24"/>
          <w:lang w:eastAsia="sk-SK"/>
        </w:rPr>
        <w:t>luvy o</w:t>
      </w:r>
      <w:r w:rsidR="00902C5A" w:rsidRPr="004E44C2">
        <w:rPr>
          <w:rFonts w:ascii="Times New Roman" w:eastAsia="Times New Roman" w:hAnsi="Times New Roman" w:cs="Times New Roman"/>
          <w:sz w:val="24"/>
          <w:szCs w:val="24"/>
          <w:lang w:eastAsia="sk-SK"/>
        </w:rPr>
        <w:t> </w:t>
      </w:r>
      <w:r w:rsidR="00B11CB7" w:rsidRPr="004E44C2">
        <w:rPr>
          <w:rFonts w:ascii="Times New Roman" w:eastAsia="Times New Roman" w:hAnsi="Times New Roman" w:cs="Times New Roman"/>
          <w:sz w:val="24"/>
          <w:szCs w:val="24"/>
          <w:lang w:eastAsia="sk-SK"/>
        </w:rPr>
        <w:t>fungovaní Európskej únie</w:t>
      </w:r>
      <w:r w:rsidR="00096AAA" w:rsidRPr="004E44C2">
        <w:rPr>
          <w:rFonts w:ascii="Times New Roman" w:eastAsia="Times New Roman" w:hAnsi="Times New Roman" w:cs="Times New Roman"/>
          <w:sz w:val="24"/>
          <w:szCs w:val="24"/>
          <w:lang w:eastAsia="sk-SK"/>
        </w:rPr>
        <w:t xml:space="preserve"> </w:t>
      </w:r>
      <w:r w:rsidR="00B11CB7" w:rsidRPr="004E44C2">
        <w:rPr>
          <w:rFonts w:ascii="Times New Roman" w:hAnsi="Times New Roman" w:cs="Times New Roman"/>
          <w:sz w:val="24"/>
          <w:szCs w:val="24"/>
        </w:rPr>
        <w:t>(</w:t>
      </w:r>
      <w:r w:rsidR="00B11CB7" w:rsidRPr="004E44C2">
        <w:rPr>
          <w:rStyle w:val="awspan1"/>
          <w:rFonts w:ascii="Times New Roman" w:hAnsi="Times New Roman"/>
          <w:color w:val="auto"/>
        </w:rPr>
        <w:t>Ú. v. EÚ C 202, 7.6.2016) v platnom znení</w:t>
      </w:r>
      <w:r w:rsidR="00B11CB7" w:rsidRPr="004E44C2">
        <w:rPr>
          <w:rFonts w:ascii="Times New Roman" w:eastAsia="Times New Roman" w:hAnsi="Times New Roman" w:cs="Times New Roman"/>
          <w:sz w:val="24"/>
          <w:szCs w:val="24"/>
          <w:lang w:eastAsia="sk-SK"/>
        </w:rPr>
        <w:t>,</w:t>
      </w:r>
    </w:p>
    <w:p w14:paraId="016F790E" w14:textId="13BBC35F" w:rsidR="00B11CB7" w:rsidRPr="004E44C2" w:rsidRDefault="00B11CB7" w:rsidP="008545C6">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hAnsi="Times New Roman" w:cs="Times New Roman"/>
          <w:sz w:val="24"/>
          <w:szCs w:val="24"/>
        </w:rPr>
        <w:t>Protokol č.</w:t>
      </w:r>
      <w:r w:rsidR="00902C5A" w:rsidRPr="004E44C2">
        <w:rPr>
          <w:rFonts w:ascii="Times New Roman" w:hAnsi="Times New Roman" w:cs="Times New Roman"/>
          <w:sz w:val="24"/>
          <w:szCs w:val="24"/>
        </w:rPr>
        <w:t> </w:t>
      </w:r>
      <w:r w:rsidRPr="004E44C2">
        <w:rPr>
          <w:rFonts w:ascii="Times New Roman" w:hAnsi="Times New Roman" w:cs="Times New Roman"/>
          <w:sz w:val="24"/>
          <w:szCs w:val="24"/>
        </w:rPr>
        <w:t>4 o Štatúte Európskeho systému centrálnych bánk a Európskej centrálnej banky</w:t>
      </w:r>
      <w:r w:rsidR="00A6678A" w:rsidRPr="004E44C2">
        <w:rPr>
          <w:rFonts w:ascii="Times New Roman" w:hAnsi="Times New Roman" w:cs="Times New Roman"/>
          <w:sz w:val="24"/>
          <w:szCs w:val="24"/>
        </w:rPr>
        <w:t xml:space="preserve"> (Ú. v. EÚ C 202, 7. 6. 2016) v platnom znení</w:t>
      </w:r>
      <w:r w:rsidRPr="004E44C2">
        <w:rPr>
          <w:rFonts w:ascii="Times New Roman" w:hAnsi="Times New Roman" w:cs="Times New Roman"/>
          <w:sz w:val="24"/>
          <w:szCs w:val="24"/>
        </w:rPr>
        <w:t>.</w:t>
      </w:r>
    </w:p>
    <w:p w14:paraId="2C83B31A" w14:textId="77777777" w:rsidR="008545C6" w:rsidRPr="004E44C2" w:rsidRDefault="008545C6" w:rsidP="001A45EA">
      <w:pPr>
        <w:spacing w:after="0" w:line="240" w:lineRule="auto"/>
        <w:rPr>
          <w:rFonts w:ascii="Times New Roman" w:eastAsia="Times New Roman" w:hAnsi="Times New Roman" w:cs="Times New Roman"/>
          <w:b/>
          <w:bCs/>
          <w:i/>
          <w:iCs/>
          <w:sz w:val="24"/>
          <w:szCs w:val="24"/>
          <w:lang w:eastAsia="sk-SK"/>
        </w:rPr>
      </w:pPr>
    </w:p>
    <w:p w14:paraId="537ABBF2" w14:textId="77777777" w:rsidR="008545C6" w:rsidRPr="004E44C2" w:rsidRDefault="008545C6" w:rsidP="008545C6">
      <w:pPr>
        <w:pStyle w:val="Odsekzoznamu"/>
        <w:numPr>
          <w:ilvl w:val="0"/>
          <w:numId w:val="2"/>
        </w:numPr>
        <w:spacing w:after="0" w:line="240" w:lineRule="auto"/>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v sekundárnom práve</w:t>
      </w:r>
    </w:p>
    <w:p w14:paraId="26890D8B" w14:textId="175A84DA" w:rsidR="001A45EA" w:rsidRPr="004E44C2" w:rsidRDefault="001A45EA" w:rsidP="00F53D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smernica</w:t>
      </w:r>
      <w:r w:rsidRPr="004E44C2">
        <w:rPr>
          <w:rFonts w:ascii="Times New Roman" w:eastAsia="Times New Roman" w:hAnsi="Times New Roman" w:cs="Times New Roman"/>
          <w:spacing w:val="6"/>
          <w:sz w:val="24"/>
          <w:szCs w:val="24"/>
          <w:lang w:eastAsia="sk-SK"/>
        </w:rPr>
        <w:t xml:space="preserve"> </w:t>
      </w:r>
      <w:r w:rsidRPr="004E44C2">
        <w:rPr>
          <w:rFonts w:ascii="Times New Roman" w:eastAsia="Times New Roman" w:hAnsi="Times New Roman" w:cs="Times New Roman"/>
          <w:sz w:val="24"/>
          <w:szCs w:val="24"/>
          <w:lang w:eastAsia="sk-SK"/>
        </w:rPr>
        <w:t>Európskeho</w:t>
      </w:r>
      <w:r w:rsidRPr="004E44C2">
        <w:rPr>
          <w:rFonts w:ascii="Times New Roman" w:eastAsia="Times New Roman" w:hAnsi="Times New Roman" w:cs="Times New Roman"/>
          <w:spacing w:val="6"/>
          <w:sz w:val="24"/>
          <w:szCs w:val="24"/>
          <w:lang w:eastAsia="sk-SK"/>
        </w:rPr>
        <w:t xml:space="preserve"> </w:t>
      </w:r>
      <w:r w:rsidRPr="004E44C2">
        <w:rPr>
          <w:rFonts w:ascii="Times New Roman" w:eastAsia="Times New Roman" w:hAnsi="Times New Roman" w:cs="Times New Roman"/>
          <w:sz w:val="24"/>
          <w:szCs w:val="24"/>
          <w:lang w:eastAsia="sk-SK"/>
        </w:rPr>
        <w:t>parlamentu</w:t>
      </w:r>
      <w:r w:rsidRPr="004E44C2">
        <w:rPr>
          <w:rFonts w:ascii="Times New Roman" w:eastAsia="Times New Roman" w:hAnsi="Times New Roman" w:cs="Times New Roman"/>
          <w:spacing w:val="6"/>
          <w:sz w:val="24"/>
          <w:szCs w:val="24"/>
          <w:lang w:eastAsia="sk-SK"/>
        </w:rPr>
        <w:t xml:space="preserve"> </w:t>
      </w:r>
      <w:r w:rsidRPr="004E44C2">
        <w:rPr>
          <w:rFonts w:ascii="Times New Roman" w:eastAsia="Times New Roman" w:hAnsi="Times New Roman" w:cs="Times New Roman"/>
          <w:sz w:val="24"/>
          <w:szCs w:val="24"/>
          <w:lang w:eastAsia="sk-SK"/>
        </w:rPr>
        <w:t>a</w:t>
      </w:r>
      <w:r w:rsidR="008545C6" w:rsidRPr="004E44C2">
        <w:rPr>
          <w:rFonts w:ascii="Times New Roman" w:eastAsia="Times New Roman" w:hAnsi="Times New Roman" w:cs="Times New Roman"/>
          <w:spacing w:val="6"/>
          <w:sz w:val="24"/>
          <w:szCs w:val="24"/>
          <w:lang w:eastAsia="sk-SK"/>
        </w:rPr>
        <w:t> </w:t>
      </w:r>
      <w:r w:rsidRPr="004E44C2">
        <w:rPr>
          <w:rFonts w:ascii="Times New Roman" w:eastAsia="Times New Roman" w:hAnsi="Times New Roman" w:cs="Times New Roman"/>
          <w:sz w:val="24"/>
          <w:szCs w:val="24"/>
          <w:lang w:eastAsia="sk-SK"/>
        </w:rPr>
        <w:t>Rady</w:t>
      </w:r>
      <w:r w:rsidR="008545C6" w:rsidRPr="004E44C2">
        <w:rPr>
          <w:rFonts w:ascii="Times New Roman" w:eastAsia="Times New Roman" w:hAnsi="Times New Roman" w:cs="Times New Roman"/>
          <w:sz w:val="24"/>
          <w:szCs w:val="24"/>
          <w:lang w:eastAsia="sk-SK"/>
        </w:rPr>
        <w:t xml:space="preserve"> </w:t>
      </w:r>
      <w:r w:rsidRPr="004E44C2">
        <w:rPr>
          <w:rFonts w:ascii="Times New Roman" w:eastAsia="Times New Roman" w:hAnsi="Times New Roman" w:cs="Times New Roman"/>
          <w:sz w:val="24"/>
          <w:szCs w:val="24"/>
          <w:u w:val="single"/>
          <w:lang w:eastAsia="sk-SK"/>
        </w:rPr>
        <w:t>2013/36/EÚ</w:t>
      </w:r>
      <w:r w:rsidRPr="004E44C2">
        <w:rPr>
          <w:rFonts w:ascii="Times New Roman" w:eastAsia="Times New Roman" w:hAnsi="Times New Roman" w:cs="Times New Roman"/>
          <w:spacing w:val="6"/>
          <w:sz w:val="24"/>
          <w:szCs w:val="24"/>
          <w:lang w:eastAsia="sk-SK"/>
        </w:rPr>
        <w:t xml:space="preserve"> </w:t>
      </w:r>
      <w:r w:rsidRPr="004E44C2">
        <w:rPr>
          <w:rFonts w:ascii="Times New Roman" w:eastAsia="Times New Roman" w:hAnsi="Times New Roman" w:cs="Times New Roman"/>
          <w:sz w:val="24"/>
          <w:szCs w:val="24"/>
          <w:lang w:eastAsia="sk-SK"/>
        </w:rPr>
        <w:t>z</w:t>
      </w:r>
      <w:r w:rsidRPr="004E44C2">
        <w:rPr>
          <w:rFonts w:ascii="Times New Roman" w:eastAsia="Times New Roman" w:hAnsi="Times New Roman" w:cs="Times New Roman"/>
          <w:spacing w:val="6"/>
          <w:sz w:val="24"/>
          <w:szCs w:val="24"/>
          <w:lang w:eastAsia="sk-SK"/>
        </w:rPr>
        <w:t xml:space="preserve"> </w:t>
      </w:r>
      <w:r w:rsidRPr="004E44C2">
        <w:rPr>
          <w:rFonts w:ascii="Times New Roman" w:eastAsia="Times New Roman" w:hAnsi="Times New Roman" w:cs="Times New Roman"/>
          <w:sz w:val="24"/>
          <w:szCs w:val="24"/>
          <w:lang w:eastAsia="sk-SK"/>
        </w:rPr>
        <w:t>26.</w:t>
      </w:r>
      <w:r w:rsidRPr="004E44C2">
        <w:rPr>
          <w:rFonts w:ascii="Times New Roman" w:eastAsia="Times New Roman" w:hAnsi="Times New Roman" w:cs="Times New Roman"/>
          <w:spacing w:val="6"/>
          <w:sz w:val="24"/>
          <w:szCs w:val="24"/>
          <w:lang w:eastAsia="sk-SK"/>
        </w:rPr>
        <w:t xml:space="preserve"> </w:t>
      </w:r>
      <w:r w:rsidRPr="004E44C2">
        <w:rPr>
          <w:rFonts w:ascii="Times New Roman" w:eastAsia="Times New Roman" w:hAnsi="Times New Roman" w:cs="Times New Roman"/>
          <w:sz w:val="24"/>
          <w:szCs w:val="24"/>
          <w:lang w:eastAsia="sk-SK"/>
        </w:rPr>
        <w:t>júna</w:t>
      </w:r>
      <w:r w:rsidRPr="004E44C2">
        <w:rPr>
          <w:rFonts w:ascii="Times New Roman" w:eastAsia="Times New Roman" w:hAnsi="Times New Roman" w:cs="Times New Roman"/>
          <w:spacing w:val="6"/>
          <w:sz w:val="24"/>
          <w:szCs w:val="24"/>
          <w:lang w:eastAsia="sk-SK"/>
        </w:rPr>
        <w:t xml:space="preserve"> </w:t>
      </w:r>
      <w:r w:rsidRPr="004E44C2">
        <w:rPr>
          <w:rFonts w:ascii="Times New Roman" w:eastAsia="Times New Roman" w:hAnsi="Times New Roman" w:cs="Times New Roman"/>
          <w:sz w:val="24"/>
          <w:szCs w:val="24"/>
          <w:lang w:eastAsia="sk-SK"/>
        </w:rPr>
        <w:t>2013</w:t>
      </w:r>
      <w:r w:rsidRPr="004E44C2">
        <w:rPr>
          <w:rFonts w:ascii="Times New Roman" w:eastAsia="Times New Roman" w:hAnsi="Times New Roman" w:cs="Times New Roman"/>
          <w:spacing w:val="6"/>
          <w:sz w:val="24"/>
          <w:szCs w:val="24"/>
          <w:lang w:eastAsia="sk-SK"/>
        </w:rPr>
        <w:t xml:space="preserve"> </w:t>
      </w:r>
      <w:r w:rsidRPr="004E44C2">
        <w:rPr>
          <w:rFonts w:ascii="Times New Roman" w:eastAsia="Times New Roman" w:hAnsi="Times New Roman" w:cs="Times New Roman"/>
          <w:sz w:val="24"/>
          <w:szCs w:val="24"/>
          <w:lang w:eastAsia="sk-SK"/>
        </w:rPr>
        <w:t>o</w:t>
      </w:r>
      <w:r w:rsidR="008545C6" w:rsidRPr="004E44C2">
        <w:rPr>
          <w:rFonts w:ascii="Times New Roman" w:eastAsia="Times New Roman" w:hAnsi="Times New Roman" w:cs="Times New Roman"/>
          <w:spacing w:val="6"/>
          <w:sz w:val="24"/>
          <w:szCs w:val="24"/>
          <w:lang w:eastAsia="sk-SK"/>
        </w:rPr>
        <w:t> </w:t>
      </w:r>
      <w:r w:rsidRPr="004E44C2">
        <w:rPr>
          <w:rFonts w:ascii="Times New Roman" w:eastAsia="Times New Roman" w:hAnsi="Times New Roman" w:cs="Times New Roman"/>
          <w:sz w:val="24"/>
          <w:szCs w:val="24"/>
          <w:lang w:eastAsia="sk-SK"/>
        </w:rPr>
        <w:t>prístupe</w:t>
      </w:r>
      <w:r w:rsidR="008545C6" w:rsidRPr="004E44C2">
        <w:rPr>
          <w:rFonts w:ascii="Times New Roman" w:eastAsia="Times New Roman" w:hAnsi="Times New Roman" w:cs="Times New Roman"/>
          <w:sz w:val="24"/>
          <w:szCs w:val="24"/>
          <w:lang w:eastAsia="sk-SK"/>
        </w:rPr>
        <w:t xml:space="preserve"> </w:t>
      </w:r>
      <w:r w:rsidRPr="004E44C2">
        <w:rPr>
          <w:rFonts w:ascii="Times New Roman" w:eastAsia="Times New Roman" w:hAnsi="Times New Roman" w:cs="Times New Roman"/>
          <w:sz w:val="24"/>
          <w:szCs w:val="24"/>
          <w:lang w:eastAsia="sk-SK"/>
        </w:rPr>
        <w:t>k</w:t>
      </w:r>
      <w:r w:rsidR="008545C6" w:rsidRPr="004E44C2">
        <w:rPr>
          <w:rFonts w:ascii="Times New Roman" w:eastAsia="Times New Roman" w:hAnsi="Times New Roman" w:cs="Times New Roman"/>
          <w:spacing w:val="6"/>
          <w:sz w:val="24"/>
          <w:szCs w:val="24"/>
          <w:lang w:eastAsia="sk-SK"/>
        </w:rPr>
        <w:t> </w:t>
      </w:r>
      <w:r w:rsidRPr="004E44C2">
        <w:rPr>
          <w:rFonts w:ascii="Times New Roman" w:eastAsia="Times New Roman" w:hAnsi="Times New Roman" w:cs="Times New Roman"/>
          <w:sz w:val="24"/>
          <w:szCs w:val="24"/>
          <w:lang w:eastAsia="sk-SK"/>
        </w:rPr>
        <w:t>činnosti</w:t>
      </w:r>
      <w:r w:rsidR="008545C6" w:rsidRPr="004E44C2">
        <w:rPr>
          <w:rFonts w:ascii="Times New Roman" w:eastAsia="Times New Roman" w:hAnsi="Times New Roman" w:cs="Times New Roman"/>
          <w:sz w:val="24"/>
          <w:szCs w:val="24"/>
          <w:lang w:eastAsia="sk-SK"/>
        </w:rPr>
        <w:t xml:space="preserve"> </w:t>
      </w:r>
      <w:r w:rsidRPr="004E44C2">
        <w:rPr>
          <w:rFonts w:ascii="Times New Roman" w:eastAsia="Times New Roman" w:hAnsi="Times New Roman" w:cs="Times New Roman"/>
          <w:sz w:val="24"/>
          <w:szCs w:val="24"/>
          <w:lang w:eastAsia="sk-SK"/>
        </w:rPr>
        <w:t>úverových</w:t>
      </w:r>
      <w:r w:rsidRPr="004E44C2">
        <w:rPr>
          <w:rFonts w:ascii="Times New Roman" w:eastAsia="Times New Roman" w:hAnsi="Times New Roman" w:cs="Times New Roman"/>
          <w:spacing w:val="24"/>
          <w:sz w:val="24"/>
          <w:szCs w:val="24"/>
          <w:lang w:eastAsia="sk-SK"/>
        </w:rPr>
        <w:t xml:space="preserve"> </w:t>
      </w:r>
      <w:r w:rsidRPr="004E44C2">
        <w:rPr>
          <w:rFonts w:ascii="Times New Roman" w:eastAsia="Times New Roman" w:hAnsi="Times New Roman" w:cs="Times New Roman"/>
          <w:sz w:val="24"/>
          <w:szCs w:val="24"/>
          <w:lang w:eastAsia="sk-SK"/>
        </w:rPr>
        <w:t>inštitúcií</w:t>
      </w:r>
      <w:r w:rsidRPr="004E44C2">
        <w:rPr>
          <w:rFonts w:ascii="Times New Roman" w:eastAsia="Times New Roman" w:hAnsi="Times New Roman" w:cs="Times New Roman"/>
          <w:spacing w:val="24"/>
          <w:sz w:val="24"/>
          <w:szCs w:val="24"/>
          <w:lang w:eastAsia="sk-SK"/>
        </w:rPr>
        <w:t xml:space="preserve"> </w:t>
      </w:r>
      <w:r w:rsidRPr="004E44C2">
        <w:rPr>
          <w:rFonts w:ascii="Times New Roman" w:eastAsia="Times New Roman" w:hAnsi="Times New Roman" w:cs="Times New Roman"/>
          <w:sz w:val="24"/>
          <w:szCs w:val="24"/>
          <w:lang w:eastAsia="sk-SK"/>
        </w:rPr>
        <w:t>a</w:t>
      </w:r>
      <w:r w:rsidR="008545C6" w:rsidRPr="004E44C2">
        <w:rPr>
          <w:rFonts w:ascii="Times New Roman" w:eastAsia="Times New Roman" w:hAnsi="Times New Roman" w:cs="Times New Roman"/>
          <w:spacing w:val="24"/>
          <w:sz w:val="24"/>
          <w:szCs w:val="24"/>
          <w:lang w:eastAsia="sk-SK"/>
        </w:rPr>
        <w:t> </w:t>
      </w:r>
      <w:r w:rsidRPr="004E44C2">
        <w:rPr>
          <w:rFonts w:ascii="Times New Roman" w:eastAsia="Times New Roman" w:hAnsi="Times New Roman" w:cs="Times New Roman"/>
          <w:sz w:val="24"/>
          <w:szCs w:val="24"/>
          <w:lang w:eastAsia="sk-SK"/>
        </w:rPr>
        <w:t>prudenciálnom</w:t>
      </w:r>
      <w:r w:rsidR="008545C6" w:rsidRPr="004E44C2">
        <w:rPr>
          <w:rFonts w:ascii="Times New Roman" w:eastAsia="Times New Roman" w:hAnsi="Times New Roman" w:cs="Times New Roman"/>
          <w:sz w:val="24"/>
          <w:szCs w:val="24"/>
          <w:lang w:eastAsia="sk-SK"/>
        </w:rPr>
        <w:t xml:space="preserve"> </w:t>
      </w:r>
      <w:r w:rsidRPr="004E44C2">
        <w:rPr>
          <w:rFonts w:ascii="Times New Roman" w:eastAsia="Times New Roman" w:hAnsi="Times New Roman" w:cs="Times New Roman"/>
          <w:sz w:val="24"/>
          <w:szCs w:val="24"/>
          <w:lang w:eastAsia="sk-SK"/>
        </w:rPr>
        <w:t>dohľade</w:t>
      </w:r>
      <w:r w:rsidRPr="004E44C2">
        <w:rPr>
          <w:rFonts w:ascii="Times New Roman" w:eastAsia="Times New Roman" w:hAnsi="Times New Roman" w:cs="Times New Roman"/>
          <w:spacing w:val="24"/>
          <w:sz w:val="24"/>
          <w:szCs w:val="24"/>
          <w:lang w:eastAsia="sk-SK"/>
        </w:rPr>
        <w:t xml:space="preserve"> </w:t>
      </w:r>
      <w:r w:rsidRPr="004E44C2">
        <w:rPr>
          <w:rFonts w:ascii="Times New Roman" w:eastAsia="Times New Roman" w:hAnsi="Times New Roman" w:cs="Times New Roman"/>
          <w:sz w:val="24"/>
          <w:szCs w:val="24"/>
          <w:lang w:eastAsia="sk-SK"/>
        </w:rPr>
        <w:t>nad</w:t>
      </w:r>
      <w:r w:rsidRPr="004E44C2">
        <w:rPr>
          <w:rFonts w:ascii="Times New Roman" w:eastAsia="Times New Roman" w:hAnsi="Times New Roman" w:cs="Times New Roman"/>
          <w:spacing w:val="24"/>
          <w:sz w:val="24"/>
          <w:szCs w:val="24"/>
          <w:lang w:eastAsia="sk-SK"/>
        </w:rPr>
        <w:t xml:space="preserve"> </w:t>
      </w:r>
      <w:r w:rsidRPr="004E44C2">
        <w:rPr>
          <w:rFonts w:ascii="Times New Roman" w:eastAsia="Times New Roman" w:hAnsi="Times New Roman" w:cs="Times New Roman"/>
          <w:sz w:val="24"/>
          <w:szCs w:val="24"/>
          <w:lang w:eastAsia="sk-SK"/>
        </w:rPr>
        <w:t>úverovými</w:t>
      </w:r>
      <w:r w:rsidRPr="004E44C2">
        <w:rPr>
          <w:rFonts w:ascii="Times New Roman" w:eastAsia="Times New Roman" w:hAnsi="Times New Roman" w:cs="Times New Roman"/>
          <w:spacing w:val="24"/>
          <w:sz w:val="24"/>
          <w:szCs w:val="24"/>
          <w:lang w:eastAsia="sk-SK"/>
        </w:rPr>
        <w:t xml:space="preserve"> </w:t>
      </w:r>
      <w:r w:rsidRPr="004E44C2">
        <w:rPr>
          <w:rFonts w:ascii="Times New Roman" w:eastAsia="Times New Roman" w:hAnsi="Times New Roman" w:cs="Times New Roman"/>
          <w:sz w:val="24"/>
          <w:szCs w:val="24"/>
          <w:lang w:eastAsia="sk-SK"/>
        </w:rPr>
        <w:t>inštitúciami</w:t>
      </w:r>
      <w:r w:rsidRPr="004E44C2">
        <w:rPr>
          <w:rFonts w:ascii="Times New Roman" w:eastAsia="Times New Roman" w:hAnsi="Times New Roman" w:cs="Times New Roman"/>
          <w:spacing w:val="24"/>
          <w:sz w:val="24"/>
          <w:szCs w:val="24"/>
          <w:lang w:eastAsia="sk-SK"/>
        </w:rPr>
        <w:t xml:space="preserve"> </w:t>
      </w:r>
      <w:r w:rsidRPr="004E44C2">
        <w:rPr>
          <w:rFonts w:ascii="Times New Roman" w:eastAsia="Times New Roman" w:hAnsi="Times New Roman" w:cs="Times New Roman"/>
          <w:sz w:val="24"/>
          <w:szCs w:val="24"/>
          <w:lang w:eastAsia="sk-SK"/>
        </w:rPr>
        <w:t>a</w:t>
      </w:r>
      <w:r w:rsidR="008545C6" w:rsidRPr="004E44C2">
        <w:rPr>
          <w:rFonts w:ascii="Times New Roman" w:eastAsia="Times New Roman" w:hAnsi="Times New Roman" w:cs="Times New Roman"/>
          <w:spacing w:val="24"/>
          <w:sz w:val="24"/>
          <w:szCs w:val="24"/>
          <w:lang w:eastAsia="sk-SK"/>
        </w:rPr>
        <w:t> </w:t>
      </w:r>
      <w:r w:rsidRPr="004E44C2">
        <w:rPr>
          <w:rFonts w:ascii="Times New Roman" w:eastAsia="Times New Roman" w:hAnsi="Times New Roman" w:cs="Times New Roman"/>
          <w:sz w:val="24"/>
          <w:szCs w:val="24"/>
          <w:lang w:eastAsia="sk-SK"/>
        </w:rPr>
        <w:t>investičnými</w:t>
      </w:r>
      <w:r w:rsidR="008545C6" w:rsidRPr="004E44C2">
        <w:rPr>
          <w:rFonts w:ascii="Times New Roman" w:eastAsia="Times New Roman" w:hAnsi="Times New Roman" w:cs="Times New Roman"/>
          <w:sz w:val="24"/>
          <w:szCs w:val="24"/>
          <w:lang w:eastAsia="sk-SK"/>
        </w:rPr>
        <w:t xml:space="preserve"> </w:t>
      </w:r>
      <w:r w:rsidRPr="004E44C2">
        <w:rPr>
          <w:rFonts w:ascii="Times New Roman" w:eastAsia="Times New Roman" w:hAnsi="Times New Roman" w:cs="Times New Roman"/>
          <w:sz w:val="24"/>
          <w:szCs w:val="24"/>
          <w:lang w:eastAsia="sk-SK"/>
        </w:rPr>
        <w:t>spoločnosťami,</w:t>
      </w:r>
      <w:r w:rsidRPr="004E44C2">
        <w:rPr>
          <w:rFonts w:ascii="Times New Roman" w:eastAsia="Times New Roman" w:hAnsi="Times New Roman" w:cs="Times New Roman"/>
          <w:spacing w:val="107"/>
          <w:sz w:val="24"/>
          <w:szCs w:val="24"/>
          <w:lang w:eastAsia="sk-SK"/>
        </w:rPr>
        <w:t xml:space="preserve"> </w:t>
      </w:r>
      <w:r w:rsidRPr="004E44C2">
        <w:rPr>
          <w:rFonts w:ascii="Times New Roman" w:eastAsia="Times New Roman" w:hAnsi="Times New Roman" w:cs="Times New Roman"/>
          <w:sz w:val="24"/>
          <w:szCs w:val="24"/>
          <w:lang w:eastAsia="sk-SK"/>
        </w:rPr>
        <w:t>o</w:t>
      </w:r>
      <w:r w:rsidR="008545C6" w:rsidRPr="004E44C2">
        <w:rPr>
          <w:rFonts w:ascii="Times New Roman" w:eastAsia="Times New Roman" w:hAnsi="Times New Roman" w:cs="Times New Roman"/>
          <w:spacing w:val="107"/>
          <w:sz w:val="24"/>
          <w:szCs w:val="24"/>
          <w:lang w:eastAsia="sk-SK"/>
        </w:rPr>
        <w:t> </w:t>
      </w:r>
      <w:r w:rsidRPr="004E44C2">
        <w:rPr>
          <w:rFonts w:ascii="Times New Roman" w:eastAsia="Times New Roman" w:hAnsi="Times New Roman" w:cs="Times New Roman"/>
          <w:sz w:val="24"/>
          <w:szCs w:val="24"/>
          <w:lang w:eastAsia="sk-SK"/>
        </w:rPr>
        <w:t>zmene</w:t>
      </w:r>
      <w:r w:rsidR="008545C6" w:rsidRPr="004E44C2">
        <w:rPr>
          <w:rFonts w:ascii="Times New Roman" w:eastAsia="Times New Roman" w:hAnsi="Times New Roman" w:cs="Times New Roman"/>
          <w:sz w:val="24"/>
          <w:szCs w:val="24"/>
          <w:lang w:eastAsia="sk-SK"/>
        </w:rPr>
        <w:t xml:space="preserve"> </w:t>
      </w:r>
      <w:r w:rsidRPr="004E44C2">
        <w:rPr>
          <w:rFonts w:ascii="Times New Roman" w:eastAsia="Times New Roman" w:hAnsi="Times New Roman" w:cs="Times New Roman"/>
          <w:sz w:val="24"/>
          <w:szCs w:val="24"/>
          <w:lang w:eastAsia="sk-SK"/>
        </w:rPr>
        <w:t>smernice</w:t>
      </w:r>
      <w:r w:rsidRPr="004E44C2">
        <w:rPr>
          <w:rFonts w:ascii="Times New Roman" w:eastAsia="Times New Roman" w:hAnsi="Times New Roman" w:cs="Times New Roman"/>
          <w:spacing w:val="107"/>
          <w:sz w:val="24"/>
          <w:szCs w:val="24"/>
          <w:lang w:eastAsia="sk-SK"/>
        </w:rPr>
        <w:t xml:space="preserve"> </w:t>
      </w:r>
      <w:r w:rsidRPr="004E44C2">
        <w:rPr>
          <w:rFonts w:ascii="Times New Roman" w:eastAsia="Times New Roman" w:hAnsi="Times New Roman" w:cs="Times New Roman"/>
          <w:sz w:val="24"/>
          <w:szCs w:val="24"/>
          <w:lang w:eastAsia="sk-SK"/>
        </w:rPr>
        <w:t>2002/87/ES</w:t>
      </w:r>
      <w:r w:rsidRPr="004E44C2">
        <w:rPr>
          <w:rFonts w:ascii="Times New Roman" w:eastAsia="Times New Roman" w:hAnsi="Times New Roman" w:cs="Times New Roman"/>
          <w:spacing w:val="107"/>
          <w:sz w:val="24"/>
          <w:szCs w:val="24"/>
          <w:lang w:eastAsia="sk-SK"/>
        </w:rPr>
        <w:t xml:space="preserve"> </w:t>
      </w:r>
      <w:r w:rsidRPr="004E44C2">
        <w:rPr>
          <w:rFonts w:ascii="Times New Roman" w:eastAsia="Times New Roman" w:hAnsi="Times New Roman" w:cs="Times New Roman"/>
          <w:sz w:val="24"/>
          <w:szCs w:val="24"/>
          <w:lang w:eastAsia="sk-SK"/>
        </w:rPr>
        <w:t>a</w:t>
      </w:r>
      <w:r w:rsidR="008545C6" w:rsidRPr="004E44C2">
        <w:rPr>
          <w:rFonts w:ascii="Times New Roman" w:eastAsia="Times New Roman" w:hAnsi="Times New Roman" w:cs="Times New Roman"/>
          <w:spacing w:val="107"/>
          <w:sz w:val="24"/>
          <w:szCs w:val="24"/>
          <w:lang w:eastAsia="sk-SK"/>
        </w:rPr>
        <w:t> </w:t>
      </w:r>
      <w:r w:rsidRPr="004E44C2">
        <w:rPr>
          <w:rFonts w:ascii="Times New Roman" w:eastAsia="Times New Roman" w:hAnsi="Times New Roman" w:cs="Times New Roman"/>
          <w:sz w:val="24"/>
          <w:szCs w:val="24"/>
          <w:lang w:eastAsia="sk-SK"/>
        </w:rPr>
        <w:t>o</w:t>
      </w:r>
      <w:r w:rsidR="008545C6" w:rsidRPr="004E44C2">
        <w:rPr>
          <w:rFonts w:ascii="Times New Roman" w:eastAsia="Times New Roman" w:hAnsi="Times New Roman" w:cs="Times New Roman"/>
          <w:sz w:val="24"/>
          <w:szCs w:val="24"/>
          <w:lang w:eastAsia="sk-SK"/>
        </w:rPr>
        <w:t> </w:t>
      </w:r>
      <w:r w:rsidRPr="004E44C2">
        <w:rPr>
          <w:rFonts w:ascii="Times New Roman" w:eastAsia="Times New Roman" w:hAnsi="Times New Roman" w:cs="Times New Roman"/>
          <w:sz w:val="24"/>
          <w:szCs w:val="24"/>
          <w:lang w:eastAsia="sk-SK"/>
        </w:rPr>
        <w:t>zrušení</w:t>
      </w:r>
      <w:r w:rsidR="008545C6" w:rsidRPr="004E44C2">
        <w:rPr>
          <w:rFonts w:ascii="Times New Roman" w:eastAsia="Times New Roman" w:hAnsi="Times New Roman" w:cs="Times New Roman"/>
          <w:sz w:val="24"/>
          <w:szCs w:val="24"/>
          <w:lang w:eastAsia="sk-SK"/>
        </w:rPr>
        <w:t xml:space="preserve"> </w:t>
      </w:r>
      <w:r w:rsidRPr="004E44C2">
        <w:rPr>
          <w:rFonts w:ascii="Times New Roman" w:eastAsia="Times New Roman" w:hAnsi="Times New Roman" w:cs="Times New Roman"/>
          <w:sz w:val="24"/>
          <w:szCs w:val="24"/>
          <w:lang w:eastAsia="sk-SK"/>
        </w:rPr>
        <w:t>smerníc</w:t>
      </w:r>
      <w:r w:rsidRPr="004E44C2">
        <w:rPr>
          <w:rFonts w:ascii="Times New Roman" w:eastAsia="Times New Roman" w:hAnsi="Times New Roman" w:cs="Times New Roman"/>
          <w:spacing w:val="107"/>
          <w:sz w:val="24"/>
          <w:szCs w:val="24"/>
          <w:lang w:eastAsia="sk-SK"/>
        </w:rPr>
        <w:t xml:space="preserve"> </w:t>
      </w:r>
      <w:r w:rsidRPr="004E44C2">
        <w:rPr>
          <w:rFonts w:ascii="Times New Roman" w:eastAsia="Times New Roman" w:hAnsi="Times New Roman" w:cs="Times New Roman"/>
          <w:sz w:val="24"/>
          <w:szCs w:val="24"/>
          <w:lang w:eastAsia="sk-SK"/>
        </w:rPr>
        <w:t>2006/48/ES</w:t>
      </w:r>
      <w:r w:rsidRPr="004E44C2">
        <w:rPr>
          <w:rFonts w:ascii="Times New Roman" w:eastAsia="Times New Roman" w:hAnsi="Times New Roman" w:cs="Times New Roman"/>
          <w:spacing w:val="107"/>
          <w:sz w:val="24"/>
          <w:szCs w:val="24"/>
          <w:lang w:eastAsia="sk-SK"/>
        </w:rPr>
        <w:t xml:space="preserve"> </w:t>
      </w:r>
      <w:r w:rsidRPr="004E44C2">
        <w:rPr>
          <w:rFonts w:ascii="Times New Roman" w:eastAsia="Times New Roman" w:hAnsi="Times New Roman" w:cs="Times New Roman"/>
          <w:sz w:val="24"/>
          <w:szCs w:val="24"/>
          <w:lang w:eastAsia="sk-SK"/>
        </w:rPr>
        <w:t>a 2006/49/ES (Ú. v. EÚ L 176, 27.6.2013)</w:t>
      </w:r>
      <w:r w:rsidR="00FE2B7D" w:rsidRPr="004E44C2">
        <w:rPr>
          <w:rFonts w:ascii="Times New Roman" w:eastAsia="Times New Roman" w:hAnsi="Times New Roman" w:cs="Times New Roman"/>
          <w:sz w:val="24"/>
          <w:szCs w:val="24"/>
          <w:lang w:eastAsia="sk-SK"/>
        </w:rPr>
        <w:t xml:space="preserve"> v pla</w:t>
      </w:r>
      <w:r w:rsidR="00DE539C" w:rsidRPr="004E44C2">
        <w:rPr>
          <w:rFonts w:ascii="Times New Roman" w:eastAsia="Times New Roman" w:hAnsi="Times New Roman" w:cs="Times New Roman"/>
          <w:sz w:val="24"/>
          <w:szCs w:val="24"/>
          <w:lang w:eastAsia="sk-SK"/>
        </w:rPr>
        <w:t>t</w:t>
      </w:r>
      <w:r w:rsidR="00FE2B7D" w:rsidRPr="004E44C2">
        <w:rPr>
          <w:rFonts w:ascii="Times New Roman" w:eastAsia="Times New Roman" w:hAnsi="Times New Roman" w:cs="Times New Roman"/>
          <w:sz w:val="24"/>
          <w:szCs w:val="24"/>
          <w:lang w:eastAsia="sk-SK"/>
        </w:rPr>
        <w:t>nom znení</w:t>
      </w:r>
      <w:r w:rsidRPr="004E44C2">
        <w:rPr>
          <w:rFonts w:ascii="Times New Roman" w:eastAsia="Times New Roman" w:hAnsi="Times New Roman" w:cs="Times New Roman"/>
          <w:sz w:val="24"/>
          <w:szCs w:val="24"/>
          <w:lang w:eastAsia="sk-SK"/>
        </w:rPr>
        <w:t>,</w:t>
      </w:r>
      <w:r w:rsidR="00F53D97" w:rsidRPr="004E44C2">
        <w:rPr>
          <w:rFonts w:ascii="Times New Roman" w:eastAsia="Times New Roman" w:hAnsi="Times New Roman" w:cs="Times New Roman"/>
          <w:sz w:val="24"/>
          <w:szCs w:val="24"/>
          <w:lang w:eastAsia="sk-SK"/>
        </w:rPr>
        <w:t xml:space="preserve"> </w:t>
      </w:r>
      <w:r w:rsidR="00D9297E" w:rsidRPr="004E44C2">
        <w:rPr>
          <w:rFonts w:ascii="Times New Roman" w:hAnsi="Times New Roman" w:cs="Times New Roman"/>
          <w:sz w:val="24"/>
          <w:szCs w:val="24"/>
        </w:rPr>
        <w:t>gestor</w:t>
      </w:r>
      <w:r w:rsidR="00F53D97" w:rsidRPr="004E44C2">
        <w:rPr>
          <w:rFonts w:ascii="Times New Roman" w:hAnsi="Times New Roman" w:cs="Times New Roman"/>
          <w:sz w:val="24"/>
          <w:szCs w:val="24"/>
        </w:rPr>
        <w:t>:</w:t>
      </w:r>
      <w:r w:rsidR="00F45F0B" w:rsidRPr="004E44C2">
        <w:rPr>
          <w:rFonts w:ascii="Times New Roman" w:hAnsi="Times New Roman" w:cs="Times New Roman"/>
          <w:sz w:val="24"/>
          <w:szCs w:val="24"/>
        </w:rPr>
        <w:t xml:space="preserve"> </w:t>
      </w:r>
      <w:r w:rsidR="00F45F0B" w:rsidRPr="004E44C2">
        <w:rPr>
          <w:rFonts w:ascii="Times New Roman" w:hAnsi="Times New Roman" w:cs="Times New Roman"/>
          <w:iCs/>
          <w:sz w:val="24"/>
          <w:szCs w:val="24"/>
        </w:rPr>
        <w:t xml:space="preserve">MF SR, </w:t>
      </w:r>
      <w:r w:rsidR="00F45F0B" w:rsidRPr="004E44C2">
        <w:rPr>
          <w:rFonts w:ascii="Times New Roman" w:hAnsi="Times New Roman" w:cs="Times New Roman"/>
          <w:iCs/>
          <w:noProof/>
          <w:sz w:val="24"/>
          <w:szCs w:val="24"/>
        </w:rPr>
        <w:t>spolugestor: NBS</w:t>
      </w:r>
      <w:r w:rsidR="00A23908" w:rsidRPr="004E44C2">
        <w:rPr>
          <w:rFonts w:ascii="Times New Roman" w:hAnsi="Times New Roman" w:cs="Times New Roman"/>
          <w:iCs/>
          <w:noProof/>
          <w:sz w:val="24"/>
          <w:szCs w:val="24"/>
        </w:rPr>
        <w:t>,</w:t>
      </w:r>
    </w:p>
    <w:p w14:paraId="029BD0D3" w14:textId="2952F451" w:rsidR="009C6860" w:rsidRPr="004E44C2" w:rsidRDefault="009C6860" w:rsidP="009C6860">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 xml:space="preserve">smernica Európskeho parlamentu a Rady </w:t>
      </w:r>
      <w:r w:rsidRPr="004E44C2">
        <w:rPr>
          <w:rFonts w:ascii="Times New Roman" w:eastAsia="Times New Roman" w:hAnsi="Times New Roman" w:cs="Times New Roman"/>
          <w:sz w:val="24"/>
          <w:szCs w:val="24"/>
          <w:u w:val="single"/>
          <w:lang w:eastAsia="sk-SK"/>
        </w:rPr>
        <w:t>2013/50/EÚ</w:t>
      </w:r>
      <w:r w:rsidRPr="004E44C2">
        <w:rPr>
          <w:rFonts w:ascii="Times New Roman" w:eastAsia="Times New Roman" w:hAnsi="Times New Roman" w:cs="Times New Roman"/>
          <w:sz w:val="24"/>
          <w:szCs w:val="24"/>
          <w:lang w:eastAsia="sk-SK"/>
        </w:rPr>
        <w:t xml:space="preserve"> z  22. októbra 2013 ,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 (Ú. v. EÚ L 294, 6.11.2013), gestor:</w:t>
      </w:r>
      <w:r w:rsidRPr="004E44C2">
        <w:rPr>
          <w:rFonts w:ascii="Times New Roman" w:eastAsia="Times New Roman" w:hAnsi="Times New Roman" w:cs="Times New Roman"/>
          <w:spacing w:val="107"/>
          <w:sz w:val="24"/>
          <w:szCs w:val="24"/>
          <w:lang w:eastAsia="sk-SK"/>
        </w:rPr>
        <w:t> </w:t>
      </w:r>
      <w:r w:rsidRPr="004E44C2">
        <w:rPr>
          <w:rFonts w:ascii="Times New Roman" w:eastAsia="Times New Roman" w:hAnsi="Times New Roman" w:cs="Times New Roman"/>
          <w:sz w:val="24"/>
          <w:szCs w:val="24"/>
          <w:lang w:eastAsia="sk-SK"/>
        </w:rPr>
        <w:t>MF</w:t>
      </w:r>
      <w:r w:rsidRPr="004E44C2">
        <w:rPr>
          <w:rFonts w:ascii="Times New Roman" w:eastAsia="Times New Roman" w:hAnsi="Times New Roman" w:cs="Times New Roman"/>
          <w:spacing w:val="107"/>
          <w:sz w:val="24"/>
          <w:szCs w:val="24"/>
          <w:lang w:eastAsia="sk-SK"/>
        </w:rPr>
        <w:t> </w:t>
      </w:r>
      <w:r w:rsidRPr="004E44C2">
        <w:rPr>
          <w:rFonts w:ascii="Times New Roman" w:eastAsia="Times New Roman" w:hAnsi="Times New Roman" w:cs="Times New Roman"/>
          <w:sz w:val="24"/>
          <w:szCs w:val="24"/>
          <w:lang w:eastAsia="sk-SK"/>
        </w:rPr>
        <w:t>SR,</w:t>
      </w:r>
    </w:p>
    <w:p w14:paraId="72D94863" w14:textId="06A759DE" w:rsidR="0029721F" w:rsidRPr="004E44C2" w:rsidRDefault="0029721F" w:rsidP="0029721F">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hAnsi="Times New Roman" w:cs="Times New Roman"/>
          <w:sz w:val="24"/>
          <w:szCs w:val="24"/>
          <w:shd w:val="clear" w:color="auto" w:fill="FFFFFF"/>
        </w:rPr>
        <w:t xml:space="preserve">smernica Európskeho parlamentu a Rady </w:t>
      </w:r>
      <w:r w:rsidRPr="004E44C2">
        <w:rPr>
          <w:rFonts w:ascii="Times New Roman" w:hAnsi="Times New Roman" w:cs="Times New Roman"/>
          <w:sz w:val="24"/>
          <w:szCs w:val="24"/>
          <w:u w:val="single"/>
          <w:shd w:val="clear" w:color="auto" w:fill="FFFFFF"/>
        </w:rPr>
        <w:t>2014/59/EÚ</w:t>
      </w:r>
      <w:r w:rsidRPr="004E44C2">
        <w:rPr>
          <w:rFonts w:ascii="Times New Roman" w:hAnsi="Times New Roman" w:cs="Times New Roman"/>
          <w:sz w:val="24"/>
          <w:szCs w:val="24"/>
          <w:shd w:val="clear" w:color="auto" w:fill="FFFFFF"/>
        </w:rP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r w:rsidRPr="004E44C2">
        <w:rPr>
          <w:rFonts w:ascii="Times New Roman" w:hAnsi="Times New Roman" w:cs="Times New Roman"/>
          <w:sz w:val="24"/>
          <w:szCs w:val="24"/>
        </w:rPr>
        <w:t xml:space="preserve">(Ú. v. EÚ L 173, 12. 6. 2014) </w:t>
      </w:r>
      <w:r w:rsidRPr="004E44C2">
        <w:rPr>
          <w:rFonts w:ascii="Times New Roman" w:eastAsia="Times New Roman" w:hAnsi="Times New Roman" w:cs="Times New Roman"/>
          <w:sz w:val="24"/>
          <w:szCs w:val="24"/>
          <w:lang w:eastAsia="sk-SK"/>
        </w:rPr>
        <w:t>v pla</w:t>
      </w:r>
      <w:r w:rsidR="00DE539C" w:rsidRPr="004E44C2">
        <w:rPr>
          <w:rFonts w:ascii="Times New Roman" w:eastAsia="Times New Roman" w:hAnsi="Times New Roman" w:cs="Times New Roman"/>
          <w:sz w:val="24"/>
          <w:szCs w:val="24"/>
          <w:lang w:eastAsia="sk-SK"/>
        </w:rPr>
        <w:t>t</w:t>
      </w:r>
      <w:r w:rsidRPr="004E44C2">
        <w:rPr>
          <w:rFonts w:ascii="Times New Roman" w:eastAsia="Times New Roman" w:hAnsi="Times New Roman" w:cs="Times New Roman"/>
          <w:sz w:val="24"/>
          <w:szCs w:val="24"/>
          <w:lang w:eastAsia="sk-SK"/>
        </w:rPr>
        <w:t>nom znení</w:t>
      </w:r>
      <w:r w:rsidRPr="004E44C2">
        <w:rPr>
          <w:rFonts w:ascii="Times New Roman" w:hAnsi="Times New Roman" w:cs="Times New Roman"/>
          <w:sz w:val="24"/>
          <w:szCs w:val="24"/>
        </w:rPr>
        <w:t xml:space="preserve">, </w:t>
      </w:r>
      <w:r w:rsidR="00964067" w:rsidRPr="004E44C2">
        <w:rPr>
          <w:rFonts w:ascii="Times New Roman" w:hAnsi="Times New Roman" w:cs="Times New Roman"/>
          <w:iCs/>
          <w:sz w:val="24"/>
          <w:szCs w:val="24"/>
        </w:rPr>
        <w:t xml:space="preserve">gestor: MF SR, </w:t>
      </w:r>
      <w:r w:rsidR="00964067" w:rsidRPr="004E44C2">
        <w:rPr>
          <w:rFonts w:ascii="Times New Roman" w:hAnsi="Times New Roman" w:cs="Times New Roman"/>
          <w:iCs/>
          <w:noProof/>
          <w:sz w:val="24"/>
          <w:szCs w:val="24"/>
        </w:rPr>
        <w:t>spolugestor: NBS,</w:t>
      </w:r>
    </w:p>
    <w:p w14:paraId="14BAF554" w14:textId="02FFF61A" w:rsidR="000B55DC" w:rsidRPr="004E44C2" w:rsidRDefault="000B55DC" w:rsidP="0029721F">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hAnsi="Times New Roman" w:cs="Times New Roman"/>
          <w:sz w:val="24"/>
          <w:szCs w:val="24"/>
          <w:shd w:val="clear" w:color="auto" w:fill="FFFFFF"/>
        </w:rPr>
        <w:t xml:space="preserve">smernica Európskeho parlamentu a Rady </w:t>
      </w:r>
      <w:r w:rsidRPr="004E44C2">
        <w:rPr>
          <w:rFonts w:ascii="Times New Roman" w:hAnsi="Times New Roman" w:cs="Times New Roman"/>
          <w:bCs/>
          <w:sz w:val="24"/>
          <w:szCs w:val="24"/>
        </w:rPr>
        <w:t xml:space="preserve">(EÚ) </w:t>
      </w:r>
      <w:r w:rsidRPr="004E44C2">
        <w:rPr>
          <w:rFonts w:ascii="Times New Roman" w:hAnsi="Times New Roman" w:cs="Times New Roman"/>
          <w:bCs/>
          <w:sz w:val="24"/>
          <w:szCs w:val="24"/>
          <w:u w:val="single"/>
        </w:rPr>
        <w:t>2015/2366</w:t>
      </w:r>
      <w:r w:rsidRPr="004E44C2">
        <w:rPr>
          <w:rFonts w:ascii="Times New Roman" w:hAnsi="Times New Roman" w:cs="Times New Roman"/>
          <w:bCs/>
          <w:sz w:val="24"/>
          <w:szCs w:val="24"/>
        </w:rPr>
        <w:t xml:space="preserve"> z 25. novembra 2015 o platobných službách na vnútornom trhu, ktorou sa menia smernice 2002/65/ES, 2009/110/ES a 2013/36/EÚ a</w:t>
      </w:r>
      <w:r w:rsidR="00420E4F" w:rsidRPr="004E44C2">
        <w:rPr>
          <w:rFonts w:ascii="Times New Roman" w:hAnsi="Times New Roman" w:cs="Times New Roman"/>
          <w:bCs/>
          <w:sz w:val="24"/>
          <w:szCs w:val="24"/>
        </w:rPr>
        <w:t> </w:t>
      </w:r>
      <w:r w:rsidRPr="004E44C2">
        <w:rPr>
          <w:rFonts w:ascii="Times New Roman" w:hAnsi="Times New Roman" w:cs="Times New Roman"/>
          <w:bCs/>
          <w:sz w:val="24"/>
          <w:szCs w:val="24"/>
        </w:rPr>
        <w:t>nariadenie (EÚ) č. 1093/2010 a ktorou sa zrušuje smernica 2007/64/ES (</w:t>
      </w:r>
      <w:r w:rsidRPr="004E44C2">
        <w:rPr>
          <w:rFonts w:ascii="Times New Roman" w:hAnsi="Times New Roman" w:cs="Times New Roman"/>
          <w:sz w:val="24"/>
          <w:szCs w:val="24"/>
        </w:rPr>
        <w:t xml:space="preserve">Ú. v. EÚ L </w:t>
      </w:r>
      <w:r w:rsidR="00157566" w:rsidRPr="004E44C2">
        <w:rPr>
          <w:rFonts w:ascii="Times New Roman" w:hAnsi="Times New Roman" w:cs="Times New Roman"/>
          <w:sz w:val="24"/>
          <w:szCs w:val="24"/>
        </w:rPr>
        <w:t>337</w:t>
      </w:r>
      <w:r w:rsidRPr="004E44C2">
        <w:rPr>
          <w:rFonts w:ascii="Times New Roman" w:hAnsi="Times New Roman" w:cs="Times New Roman"/>
          <w:sz w:val="24"/>
          <w:szCs w:val="24"/>
        </w:rPr>
        <w:t xml:space="preserve">, </w:t>
      </w:r>
      <w:r w:rsidR="00157566" w:rsidRPr="004E44C2">
        <w:rPr>
          <w:rFonts w:ascii="Times New Roman" w:hAnsi="Times New Roman" w:cs="Times New Roman"/>
          <w:sz w:val="24"/>
          <w:szCs w:val="24"/>
        </w:rPr>
        <w:t>23</w:t>
      </w:r>
      <w:r w:rsidRPr="004E44C2">
        <w:rPr>
          <w:rFonts w:ascii="Times New Roman" w:hAnsi="Times New Roman" w:cs="Times New Roman"/>
          <w:sz w:val="24"/>
          <w:szCs w:val="24"/>
        </w:rPr>
        <w:t>. </w:t>
      </w:r>
      <w:r w:rsidR="00157566" w:rsidRPr="004E44C2">
        <w:rPr>
          <w:rFonts w:ascii="Times New Roman" w:hAnsi="Times New Roman" w:cs="Times New Roman"/>
          <w:sz w:val="24"/>
          <w:szCs w:val="24"/>
        </w:rPr>
        <w:t>12</w:t>
      </w:r>
      <w:r w:rsidRPr="004E44C2">
        <w:rPr>
          <w:rFonts w:ascii="Times New Roman" w:hAnsi="Times New Roman" w:cs="Times New Roman"/>
          <w:sz w:val="24"/>
          <w:szCs w:val="24"/>
        </w:rPr>
        <w:t>. 2015), gestor: MF SR, spolugestor: NBS,</w:t>
      </w:r>
    </w:p>
    <w:p w14:paraId="636258A0" w14:textId="77777777" w:rsidR="0029721F" w:rsidRPr="004E44C2" w:rsidRDefault="0029721F" w:rsidP="0029721F">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hAnsi="Times New Roman" w:cs="Times New Roman"/>
          <w:sz w:val="24"/>
          <w:szCs w:val="24"/>
        </w:rPr>
        <w:t xml:space="preserve">smernica Európskeho parlamentu a Rady (EÚ) </w:t>
      </w:r>
      <w:r w:rsidRPr="004E44C2">
        <w:rPr>
          <w:rFonts w:ascii="Times New Roman" w:hAnsi="Times New Roman" w:cs="Times New Roman"/>
          <w:sz w:val="24"/>
          <w:szCs w:val="24"/>
          <w:u w:val="single"/>
        </w:rPr>
        <w:t>2019/878</w:t>
      </w:r>
      <w:r w:rsidRPr="004E44C2">
        <w:rPr>
          <w:rFonts w:ascii="Times New Roman" w:hAnsi="Times New Roman" w:cs="Times New Roman"/>
          <w:sz w:val="24"/>
          <w:szCs w:val="24"/>
        </w:rPr>
        <w:t xml:space="preserve"> z 20. mája 2019, ktorou sa mení smernica 2013/36/EÚ, pokiaľ ide o oslobodené subjekty, finančné holdingové spoločnosti, zmiešané finančné holdingové spoločnosti, odmeňovanie, </w:t>
      </w:r>
      <w:r w:rsidRPr="004E44C2">
        <w:rPr>
          <w:rFonts w:ascii="Times New Roman" w:hAnsi="Times New Roman" w:cs="Times New Roman"/>
          <w:sz w:val="24"/>
          <w:szCs w:val="24"/>
        </w:rPr>
        <w:lastRenderedPageBreak/>
        <w:t xml:space="preserve">opatrenia a právomoci v oblasti dohľadu a opatrenia na zachovanie kapitálu (Ú. v. EÚ L 150, 7. 6. 2019), </w:t>
      </w:r>
      <w:r w:rsidR="00B00EB7" w:rsidRPr="004E44C2">
        <w:rPr>
          <w:rFonts w:ascii="Times New Roman" w:hAnsi="Times New Roman" w:cs="Times New Roman"/>
          <w:sz w:val="24"/>
          <w:szCs w:val="24"/>
        </w:rPr>
        <w:t>gestor</w:t>
      </w:r>
      <w:r w:rsidRPr="004E44C2">
        <w:rPr>
          <w:rFonts w:ascii="Times New Roman" w:hAnsi="Times New Roman" w:cs="Times New Roman"/>
          <w:sz w:val="24"/>
          <w:szCs w:val="24"/>
        </w:rPr>
        <w:t>:</w:t>
      </w:r>
      <w:r w:rsidR="006B2F95" w:rsidRPr="004E44C2">
        <w:rPr>
          <w:rFonts w:ascii="Times New Roman" w:hAnsi="Times New Roman" w:cs="Times New Roman"/>
          <w:sz w:val="24"/>
          <w:szCs w:val="24"/>
        </w:rPr>
        <w:t xml:space="preserve"> </w:t>
      </w:r>
      <w:r w:rsidR="006B2F95" w:rsidRPr="004E44C2">
        <w:rPr>
          <w:rFonts w:ascii="Times New Roman" w:hAnsi="Times New Roman" w:cs="Times New Roman"/>
          <w:iCs/>
          <w:sz w:val="24"/>
          <w:szCs w:val="24"/>
        </w:rPr>
        <w:t xml:space="preserve">MF SR, </w:t>
      </w:r>
      <w:r w:rsidR="006B2F95" w:rsidRPr="004E44C2">
        <w:rPr>
          <w:rFonts w:ascii="Times New Roman" w:hAnsi="Times New Roman" w:cs="Times New Roman"/>
          <w:iCs/>
          <w:noProof/>
          <w:sz w:val="24"/>
          <w:szCs w:val="24"/>
        </w:rPr>
        <w:t>spolugestor: NBS,</w:t>
      </w:r>
    </w:p>
    <w:p w14:paraId="0BE6D4AE" w14:textId="389E0D8D" w:rsidR="00383198" w:rsidRPr="00383198" w:rsidRDefault="00383198" w:rsidP="0029721F">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383198">
        <w:rPr>
          <w:rFonts w:ascii="Times New Roman" w:eastAsia="Times New Roman" w:hAnsi="Times New Roman" w:cs="Times New Roman"/>
          <w:sz w:val="24"/>
          <w:szCs w:val="24"/>
          <w:lang w:eastAsia="sk-SK"/>
        </w:rPr>
        <w:t xml:space="preserve">smernica Európskeho parlamentu a Rady (EÚ) </w:t>
      </w:r>
      <w:bookmarkStart w:id="0" w:name="_GoBack"/>
      <w:r w:rsidRPr="00693C75">
        <w:rPr>
          <w:rFonts w:ascii="Times New Roman" w:eastAsia="Times New Roman" w:hAnsi="Times New Roman" w:cs="Times New Roman"/>
          <w:sz w:val="24"/>
          <w:szCs w:val="24"/>
          <w:u w:val="single"/>
          <w:lang w:eastAsia="sk-SK"/>
        </w:rPr>
        <w:t>2019/879</w:t>
      </w:r>
      <w:r w:rsidRPr="00383198">
        <w:rPr>
          <w:rFonts w:ascii="Times New Roman" w:eastAsia="Times New Roman" w:hAnsi="Times New Roman" w:cs="Times New Roman"/>
          <w:sz w:val="24"/>
          <w:szCs w:val="24"/>
          <w:lang w:eastAsia="sk-SK"/>
        </w:rPr>
        <w:t xml:space="preserve"> </w:t>
      </w:r>
      <w:bookmarkEnd w:id="0"/>
      <w:r w:rsidRPr="00383198">
        <w:rPr>
          <w:rFonts w:ascii="Times New Roman" w:eastAsia="Times New Roman" w:hAnsi="Times New Roman" w:cs="Times New Roman"/>
          <w:sz w:val="24"/>
          <w:szCs w:val="24"/>
          <w:lang w:eastAsia="sk-SK"/>
        </w:rPr>
        <w:t>z 20. mája 2019, ktorou sa mení smernica 2014/59/EÚ, pokiaľ ide o kapacitu úverových inštitúcií a investičných spoločností na absorpciu strát a rekapitalizáciu, a smernica 98/26/ES, gestor MF SR, spolugestor: NBS</w:t>
      </w:r>
    </w:p>
    <w:p w14:paraId="4EEEEC68" w14:textId="39A8D750" w:rsidR="0029721F" w:rsidRPr="004E44C2" w:rsidRDefault="0029721F" w:rsidP="0029721F">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hAnsi="Times New Roman" w:cs="Times New Roman"/>
          <w:sz w:val="24"/>
          <w:szCs w:val="24"/>
        </w:rPr>
        <w:t xml:space="preserve">smernica Európskeho parlamentu a Rady (EÚ) </w:t>
      </w:r>
      <w:r w:rsidRPr="004E44C2">
        <w:rPr>
          <w:rFonts w:ascii="Times New Roman" w:hAnsi="Times New Roman" w:cs="Times New Roman"/>
          <w:sz w:val="24"/>
          <w:szCs w:val="24"/>
          <w:u w:val="single"/>
        </w:rPr>
        <w:t>2019/2034</w:t>
      </w:r>
      <w:r w:rsidRPr="004E44C2">
        <w:rPr>
          <w:rFonts w:ascii="Times New Roman" w:hAnsi="Times New Roman" w:cs="Times New Roman"/>
          <w:sz w:val="24"/>
          <w:szCs w:val="24"/>
        </w:rPr>
        <w:t xml:space="preserve"> z 27. novembra 2019 o prudenciálnom dohľade nad investičnými spoločnosťami a o zmene smerníc 2002/87/ES, 2009/65/ES, 2011/61/ES, 2013/36/EÚ, 2014/59/EÚ a 2014/65/EÚ (Ú. v. EÚ L 314, 5. 12. 2019), </w:t>
      </w:r>
      <w:r w:rsidR="00B00EB7" w:rsidRPr="004E44C2">
        <w:rPr>
          <w:rFonts w:ascii="Times New Roman" w:hAnsi="Times New Roman" w:cs="Times New Roman"/>
          <w:sz w:val="24"/>
          <w:szCs w:val="24"/>
        </w:rPr>
        <w:t>gestor</w:t>
      </w:r>
      <w:r w:rsidRPr="004E44C2">
        <w:rPr>
          <w:rFonts w:ascii="Times New Roman" w:hAnsi="Times New Roman" w:cs="Times New Roman"/>
          <w:sz w:val="24"/>
          <w:szCs w:val="24"/>
        </w:rPr>
        <w:t>:</w:t>
      </w:r>
      <w:r w:rsidR="00D9297E" w:rsidRPr="004E44C2">
        <w:rPr>
          <w:rFonts w:ascii="Times New Roman" w:hAnsi="Times New Roman" w:cs="Times New Roman"/>
          <w:sz w:val="24"/>
          <w:szCs w:val="24"/>
        </w:rPr>
        <w:t xml:space="preserve"> </w:t>
      </w:r>
      <w:r w:rsidR="00B33547" w:rsidRPr="004E44C2">
        <w:rPr>
          <w:rFonts w:ascii="Times New Roman" w:hAnsi="Times New Roman" w:cs="Times New Roman"/>
          <w:sz w:val="24"/>
          <w:szCs w:val="24"/>
        </w:rPr>
        <w:t>MF SR, spolugestor: NBS</w:t>
      </w:r>
      <w:r w:rsidR="00D9297E" w:rsidRPr="004E44C2">
        <w:rPr>
          <w:rFonts w:ascii="Times New Roman" w:hAnsi="Times New Roman" w:cs="Times New Roman"/>
          <w:sz w:val="24"/>
          <w:szCs w:val="24"/>
        </w:rPr>
        <w:t>,</w:t>
      </w:r>
    </w:p>
    <w:p w14:paraId="3EF03C68" w14:textId="6EF16863" w:rsidR="00FF0CE3" w:rsidRPr="004E44C2" w:rsidRDefault="00FF0CE3" w:rsidP="0029721F">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 xml:space="preserve">smernica Európskeho parlamentu a Rady (EÚ) </w:t>
      </w:r>
      <w:r w:rsidRPr="004E44C2">
        <w:rPr>
          <w:rFonts w:ascii="Times New Roman" w:eastAsia="Times New Roman" w:hAnsi="Times New Roman" w:cs="Times New Roman"/>
          <w:sz w:val="24"/>
          <w:szCs w:val="24"/>
          <w:u w:val="single"/>
          <w:lang w:eastAsia="sk-SK"/>
        </w:rPr>
        <w:t>2019/2177</w:t>
      </w:r>
      <w:r w:rsidRPr="004E44C2">
        <w:rPr>
          <w:rFonts w:ascii="Times New Roman" w:eastAsia="Times New Roman" w:hAnsi="Times New Roman" w:cs="Times New Roman"/>
          <w:sz w:val="24"/>
          <w:szCs w:val="24"/>
          <w:lang w:eastAsia="sk-SK"/>
        </w:rPr>
        <w:t xml:space="preserve">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 </w:t>
      </w:r>
      <w:r w:rsidR="00B33547" w:rsidRPr="004E44C2">
        <w:rPr>
          <w:rFonts w:ascii="Times New Roman" w:hAnsi="Times New Roman" w:cs="Times New Roman"/>
          <w:sz w:val="24"/>
          <w:szCs w:val="24"/>
        </w:rPr>
        <w:t>gestor: MF SR, spolugestori: MV SR, NBS,</w:t>
      </w:r>
    </w:p>
    <w:p w14:paraId="214A2777" w14:textId="3EB186B7" w:rsidR="008545C6" w:rsidRPr="004E44C2" w:rsidRDefault="00FB7EF9" w:rsidP="00F53D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nariadenie</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Európskeho</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parlamentu</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a Rady (EÚ)</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č. </w:t>
      </w:r>
      <w:r w:rsidRPr="004E44C2">
        <w:rPr>
          <w:rFonts w:ascii="Times New Roman" w:eastAsia="Times New Roman" w:hAnsi="Times New Roman" w:cs="Times New Roman"/>
          <w:sz w:val="24"/>
          <w:szCs w:val="24"/>
          <w:u w:val="single"/>
          <w:lang w:eastAsia="sk-SK"/>
        </w:rPr>
        <w:t>1092/2010</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z 24. novembra</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2010 o makroprudenciálnom dohľade</w:t>
      </w:r>
      <w:r w:rsidRPr="004E44C2">
        <w:rPr>
          <w:rFonts w:ascii="Times New Roman" w:eastAsia="Times New Roman" w:hAnsi="Times New Roman" w:cs="Times New Roman"/>
          <w:spacing w:val="74"/>
          <w:sz w:val="24"/>
          <w:szCs w:val="24"/>
          <w:lang w:eastAsia="sk-SK"/>
        </w:rPr>
        <w:t xml:space="preserve"> </w:t>
      </w:r>
      <w:r w:rsidRPr="004E44C2">
        <w:rPr>
          <w:rFonts w:ascii="Times New Roman" w:eastAsia="Times New Roman" w:hAnsi="Times New Roman" w:cs="Times New Roman"/>
          <w:sz w:val="24"/>
          <w:szCs w:val="24"/>
          <w:lang w:eastAsia="sk-SK"/>
        </w:rPr>
        <w:t>Európskej</w:t>
      </w:r>
      <w:r w:rsidRPr="004E44C2">
        <w:rPr>
          <w:rFonts w:ascii="Times New Roman" w:eastAsia="Times New Roman" w:hAnsi="Times New Roman" w:cs="Times New Roman"/>
          <w:spacing w:val="74"/>
          <w:sz w:val="24"/>
          <w:szCs w:val="24"/>
          <w:lang w:eastAsia="sk-SK"/>
        </w:rPr>
        <w:t xml:space="preserve"> </w:t>
      </w:r>
      <w:r w:rsidRPr="004E44C2">
        <w:rPr>
          <w:rFonts w:ascii="Times New Roman" w:eastAsia="Times New Roman" w:hAnsi="Times New Roman" w:cs="Times New Roman"/>
          <w:sz w:val="24"/>
          <w:szCs w:val="24"/>
          <w:lang w:eastAsia="sk-SK"/>
        </w:rPr>
        <w:t>únie</w:t>
      </w:r>
      <w:r w:rsidRPr="004E44C2">
        <w:rPr>
          <w:rFonts w:ascii="Times New Roman" w:eastAsia="Times New Roman" w:hAnsi="Times New Roman" w:cs="Times New Roman"/>
          <w:spacing w:val="74"/>
          <w:sz w:val="24"/>
          <w:szCs w:val="24"/>
          <w:lang w:eastAsia="sk-SK"/>
        </w:rPr>
        <w:t xml:space="preserve"> </w:t>
      </w:r>
      <w:r w:rsidRPr="004E44C2">
        <w:rPr>
          <w:rFonts w:ascii="Times New Roman" w:eastAsia="Times New Roman" w:hAnsi="Times New Roman" w:cs="Times New Roman"/>
          <w:sz w:val="24"/>
          <w:szCs w:val="24"/>
          <w:lang w:eastAsia="sk-SK"/>
        </w:rPr>
        <w:t>nad</w:t>
      </w:r>
      <w:r w:rsidRPr="004E44C2">
        <w:rPr>
          <w:rFonts w:ascii="Times New Roman" w:eastAsia="Times New Roman" w:hAnsi="Times New Roman" w:cs="Times New Roman"/>
          <w:spacing w:val="74"/>
          <w:sz w:val="24"/>
          <w:szCs w:val="24"/>
          <w:lang w:eastAsia="sk-SK"/>
        </w:rPr>
        <w:t xml:space="preserve"> </w:t>
      </w:r>
      <w:r w:rsidRPr="004E44C2">
        <w:rPr>
          <w:rFonts w:ascii="Times New Roman" w:eastAsia="Times New Roman" w:hAnsi="Times New Roman" w:cs="Times New Roman"/>
          <w:sz w:val="24"/>
          <w:szCs w:val="24"/>
          <w:lang w:eastAsia="sk-SK"/>
        </w:rPr>
        <w:t>finančným</w:t>
      </w:r>
      <w:r w:rsidRPr="004E44C2">
        <w:rPr>
          <w:rFonts w:ascii="Times New Roman" w:eastAsia="Times New Roman" w:hAnsi="Times New Roman" w:cs="Times New Roman"/>
          <w:spacing w:val="74"/>
          <w:sz w:val="24"/>
          <w:szCs w:val="24"/>
          <w:lang w:eastAsia="sk-SK"/>
        </w:rPr>
        <w:t xml:space="preserve"> </w:t>
      </w:r>
      <w:r w:rsidRPr="004E44C2">
        <w:rPr>
          <w:rFonts w:ascii="Times New Roman" w:eastAsia="Times New Roman" w:hAnsi="Times New Roman" w:cs="Times New Roman"/>
          <w:sz w:val="24"/>
          <w:szCs w:val="24"/>
          <w:lang w:eastAsia="sk-SK"/>
        </w:rPr>
        <w:t>systémom</w:t>
      </w:r>
      <w:r w:rsidRPr="004E44C2">
        <w:rPr>
          <w:rFonts w:ascii="Times New Roman" w:eastAsia="Times New Roman" w:hAnsi="Times New Roman" w:cs="Times New Roman"/>
          <w:spacing w:val="74"/>
          <w:sz w:val="24"/>
          <w:szCs w:val="24"/>
          <w:lang w:eastAsia="sk-SK"/>
        </w:rPr>
        <w:t xml:space="preserve"> </w:t>
      </w:r>
      <w:r w:rsidRPr="004E44C2">
        <w:rPr>
          <w:rFonts w:ascii="Times New Roman" w:eastAsia="Times New Roman" w:hAnsi="Times New Roman" w:cs="Times New Roman"/>
          <w:sz w:val="24"/>
          <w:szCs w:val="24"/>
          <w:lang w:eastAsia="sk-SK"/>
        </w:rPr>
        <w:t>a o zriadení Európskeho výboru pre systémové riziká (Ú. v. EÚ L 331, 15.12.2010)</w:t>
      </w:r>
      <w:r w:rsidR="0066120D" w:rsidRPr="004E44C2">
        <w:rPr>
          <w:rFonts w:ascii="Times New Roman" w:eastAsia="Times New Roman" w:hAnsi="Times New Roman" w:cs="Times New Roman"/>
          <w:sz w:val="24"/>
          <w:szCs w:val="24"/>
          <w:lang w:eastAsia="sk-SK"/>
        </w:rPr>
        <w:t xml:space="preserve"> v platnom znení</w:t>
      </w:r>
      <w:r w:rsidRPr="004E44C2">
        <w:rPr>
          <w:rFonts w:ascii="Times New Roman" w:eastAsia="Times New Roman" w:hAnsi="Times New Roman" w:cs="Times New Roman"/>
          <w:sz w:val="24"/>
          <w:szCs w:val="24"/>
          <w:lang w:eastAsia="sk-SK"/>
        </w:rPr>
        <w:t>,</w:t>
      </w:r>
      <w:r w:rsidR="00F53D97" w:rsidRPr="004E44C2">
        <w:rPr>
          <w:rFonts w:ascii="Times New Roman" w:eastAsia="Times New Roman" w:hAnsi="Times New Roman" w:cs="Times New Roman"/>
          <w:sz w:val="24"/>
          <w:szCs w:val="24"/>
          <w:lang w:eastAsia="sk-SK"/>
        </w:rPr>
        <w:t xml:space="preserve"> </w:t>
      </w:r>
      <w:r w:rsidR="00C604D2" w:rsidRPr="004E44C2">
        <w:rPr>
          <w:rFonts w:ascii="Times New Roman" w:hAnsi="Times New Roman" w:cs="Times New Roman"/>
          <w:sz w:val="24"/>
          <w:szCs w:val="24"/>
        </w:rPr>
        <w:t>gestor: MF SR, NBS</w:t>
      </w:r>
      <w:r w:rsidR="00C02C4C" w:rsidRPr="004E44C2">
        <w:rPr>
          <w:rFonts w:ascii="Times New Roman" w:hAnsi="Times New Roman" w:cs="Times New Roman"/>
          <w:iCs/>
          <w:sz w:val="24"/>
          <w:szCs w:val="24"/>
        </w:rPr>
        <w:t>,</w:t>
      </w:r>
    </w:p>
    <w:p w14:paraId="34D8D739" w14:textId="3B89E329" w:rsidR="00FB7EF9" w:rsidRPr="004E44C2" w:rsidRDefault="00FB7EF9" w:rsidP="00F53D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nariadenie</w:t>
      </w:r>
      <w:r w:rsidRPr="004E44C2">
        <w:rPr>
          <w:rFonts w:ascii="Times New Roman" w:eastAsia="Times New Roman" w:hAnsi="Times New Roman" w:cs="Times New Roman"/>
          <w:spacing w:val="75"/>
          <w:sz w:val="24"/>
          <w:szCs w:val="24"/>
          <w:lang w:eastAsia="sk-SK"/>
        </w:rPr>
        <w:t xml:space="preserve"> </w:t>
      </w:r>
      <w:r w:rsidRPr="004E44C2">
        <w:rPr>
          <w:rFonts w:ascii="Times New Roman" w:eastAsia="Times New Roman" w:hAnsi="Times New Roman" w:cs="Times New Roman"/>
          <w:sz w:val="24"/>
          <w:szCs w:val="24"/>
          <w:lang w:eastAsia="sk-SK"/>
        </w:rPr>
        <w:t>Európskeho</w:t>
      </w:r>
      <w:r w:rsidRPr="004E44C2">
        <w:rPr>
          <w:rFonts w:ascii="Times New Roman" w:eastAsia="Times New Roman" w:hAnsi="Times New Roman" w:cs="Times New Roman"/>
          <w:spacing w:val="75"/>
          <w:sz w:val="24"/>
          <w:szCs w:val="24"/>
          <w:lang w:eastAsia="sk-SK"/>
        </w:rPr>
        <w:t xml:space="preserve"> </w:t>
      </w:r>
      <w:r w:rsidRPr="004E44C2">
        <w:rPr>
          <w:rFonts w:ascii="Times New Roman" w:eastAsia="Times New Roman" w:hAnsi="Times New Roman" w:cs="Times New Roman"/>
          <w:sz w:val="24"/>
          <w:szCs w:val="24"/>
          <w:lang w:eastAsia="sk-SK"/>
        </w:rPr>
        <w:t>parlamentu</w:t>
      </w:r>
      <w:r w:rsidRPr="004E44C2">
        <w:rPr>
          <w:rFonts w:ascii="Times New Roman" w:eastAsia="Times New Roman" w:hAnsi="Times New Roman" w:cs="Times New Roman"/>
          <w:spacing w:val="75"/>
          <w:sz w:val="24"/>
          <w:szCs w:val="24"/>
          <w:lang w:eastAsia="sk-SK"/>
        </w:rPr>
        <w:t xml:space="preserve"> </w:t>
      </w:r>
      <w:r w:rsidRPr="004E44C2">
        <w:rPr>
          <w:rFonts w:ascii="Times New Roman" w:eastAsia="Times New Roman" w:hAnsi="Times New Roman" w:cs="Times New Roman"/>
          <w:sz w:val="24"/>
          <w:szCs w:val="24"/>
          <w:lang w:eastAsia="sk-SK"/>
        </w:rPr>
        <w:t>a</w:t>
      </w:r>
      <w:r w:rsidR="00F53D97" w:rsidRPr="004E44C2">
        <w:rPr>
          <w:rFonts w:ascii="Times New Roman" w:eastAsia="Times New Roman" w:hAnsi="Times New Roman" w:cs="Times New Roman"/>
          <w:sz w:val="24"/>
          <w:szCs w:val="24"/>
          <w:lang w:eastAsia="sk-SK"/>
        </w:rPr>
        <w:t> </w:t>
      </w:r>
      <w:r w:rsidRPr="004E44C2">
        <w:rPr>
          <w:rFonts w:ascii="Times New Roman" w:eastAsia="Times New Roman" w:hAnsi="Times New Roman" w:cs="Times New Roman"/>
          <w:sz w:val="24"/>
          <w:szCs w:val="24"/>
          <w:lang w:eastAsia="sk-SK"/>
        </w:rPr>
        <w:t>Rady</w:t>
      </w:r>
      <w:r w:rsidR="00F53D97" w:rsidRPr="004E44C2">
        <w:rPr>
          <w:rFonts w:ascii="Times New Roman" w:eastAsia="Times New Roman" w:hAnsi="Times New Roman" w:cs="Times New Roman"/>
          <w:sz w:val="24"/>
          <w:szCs w:val="24"/>
          <w:lang w:eastAsia="sk-SK"/>
        </w:rPr>
        <w:t xml:space="preserve"> </w:t>
      </w:r>
      <w:r w:rsidRPr="004E44C2">
        <w:rPr>
          <w:rFonts w:ascii="Times New Roman" w:eastAsia="Times New Roman" w:hAnsi="Times New Roman" w:cs="Times New Roman"/>
          <w:sz w:val="24"/>
          <w:szCs w:val="24"/>
          <w:lang w:eastAsia="sk-SK"/>
        </w:rPr>
        <w:t>(EÚ)</w:t>
      </w:r>
      <w:r w:rsidRPr="004E44C2">
        <w:rPr>
          <w:rFonts w:ascii="Times New Roman" w:eastAsia="Times New Roman" w:hAnsi="Times New Roman" w:cs="Times New Roman"/>
          <w:spacing w:val="75"/>
          <w:sz w:val="24"/>
          <w:szCs w:val="24"/>
          <w:lang w:eastAsia="sk-SK"/>
        </w:rPr>
        <w:t xml:space="preserve"> </w:t>
      </w:r>
      <w:r w:rsidRPr="004E44C2">
        <w:rPr>
          <w:rFonts w:ascii="Times New Roman" w:eastAsia="Times New Roman" w:hAnsi="Times New Roman" w:cs="Times New Roman"/>
          <w:sz w:val="24"/>
          <w:szCs w:val="24"/>
          <w:lang w:eastAsia="sk-SK"/>
        </w:rPr>
        <w:t>č. </w:t>
      </w:r>
      <w:r w:rsidRPr="004E44C2">
        <w:rPr>
          <w:rFonts w:ascii="Times New Roman" w:eastAsia="Times New Roman" w:hAnsi="Times New Roman" w:cs="Times New Roman"/>
          <w:sz w:val="24"/>
          <w:szCs w:val="24"/>
          <w:u w:val="single"/>
          <w:lang w:eastAsia="sk-SK"/>
        </w:rPr>
        <w:t>1093/2010</w:t>
      </w:r>
      <w:r w:rsidRPr="004E44C2">
        <w:rPr>
          <w:rFonts w:ascii="Times New Roman" w:eastAsia="Times New Roman" w:hAnsi="Times New Roman" w:cs="Times New Roman"/>
          <w:spacing w:val="75"/>
          <w:sz w:val="24"/>
          <w:szCs w:val="24"/>
          <w:lang w:eastAsia="sk-SK"/>
        </w:rPr>
        <w:t xml:space="preserve"> </w:t>
      </w:r>
      <w:r w:rsidRPr="004E44C2">
        <w:rPr>
          <w:rFonts w:ascii="Times New Roman" w:eastAsia="Times New Roman" w:hAnsi="Times New Roman" w:cs="Times New Roman"/>
          <w:sz w:val="24"/>
          <w:szCs w:val="24"/>
          <w:lang w:eastAsia="sk-SK"/>
        </w:rPr>
        <w:t>z 24. novembra</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2010, ktorým</w:t>
      </w:r>
      <w:r w:rsidRPr="004E44C2">
        <w:rPr>
          <w:rFonts w:ascii="Times New Roman" w:eastAsia="Times New Roman" w:hAnsi="Times New Roman" w:cs="Times New Roman"/>
          <w:spacing w:val="14"/>
          <w:sz w:val="24"/>
          <w:szCs w:val="24"/>
          <w:lang w:eastAsia="sk-SK"/>
        </w:rPr>
        <w:t xml:space="preserve"> </w:t>
      </w:r>
      <w:r w:rsidRPr="004E44C2">
        <w:rPr>
          <w:rFonts w:ascii="Times New Roman" w:eastAsia="Times New Roman" w:hAnsi="Times New Roman" w:cs="Times New Roman"/>
          <w:sz w:val="24"/>
          <w:szCs w:val="24"/>
          <w:lang w:eastAsia="sk-SK"/>
        </w:rPr>
        <w:t>sa</w:t>
      </w:r>
      <w:r w:rsidRPr="004E44C2">
        <w:rPr>
          <w:rFonts w:ascii="Times New Roman" w:eastAsia="Times New Roman" w:hAnsi="Times New Roman" w:cs="Times New Roman"/>
          <w:spacing w:val="14"/>
          <w:sz w:val="24"/>
          <w:szCs w:val="24"/>
          <w:lang w:eastAsia="sk-SK"/>
        </w:rPr>
        <w:t xml:space="preserve"> </w:t>
      </w:r>
      <w:r w:rsidRPr="004E44C2">
        <w:rPr>
          <w:rFonts w:ascii="Times New Roman" w:eastAsia="Times New Roman" w:hAnsi="Times New Roman" w:cs="Times New Roman"/>
          <w:sz w:val="24"/>
          <w:szCs w:val="24"/>
          <w:lang w:eastAsia="sk-SK"/>
        </w:rPr>
        <w:t>zriaďuje</w:t>
      </w:r>
      <w:r w:rsidRPr="004E44C2">
        <w:rPr>
          <w:rFonts w:ascii="Times New Roman" w:eastAsia="Times New Roman" w:hAnsi="Times New Roman" w:cs="Times New Roman"/>
          <w:spacing w:val="14"/>
          <w:sz w:val="24"/>
          <w:szCs w:val="24"/>
          <w:lang w:eastAsia="sk-SK"/>
        </w:rPr>
        <w:t xml:space="preserve"> </w:t>
      </w:r>
      <w:r w:rsidRPr="004E44C2">
        <w:rPr>
          <w:rFonts w:ascii="Times New Roman" w:eastAsia="Times New Roman" w:hAnsi="Times New Roman" w:cs="Times New Roman"/>
          <w:sz w:val="24"/>
          <w:szCs w:val="24"/>
          <w:lang w:eastAsia="sk-SK"/>
        </w:rPr>
        <w:t>Európsky</w:t>
      </w:r>
      <w:r w:rsidRPr="004E44C2">
        <w:rPr>
          <w:rFonts w:ascii="Times New Roman" w:eastAsia="Times New Roman" w:hAnsi="Times New Roman" w:cs="Times New Roman"/>
          <w:spacing w:val="14"/>
          <w:sz w:val="24"/>
          <w:szCs w:val="24"/>
          <w:lang w:eastAsia="sk-SK"/>
        </w:rPr>
        <w:t xml:space="preserve"> </w:t>
      </w:r>
      <w:r w:rsidRPr="004E44C2">
        <w:rPr>
          <w:rFonts w:ascii="Times New Roman" w:eastAsia="Times New Roman" w:hAnsi="Times New Roman" w:cs="Times New Roman"/>
          <w:sz w:val="24"/>
          <w:szCs w:val="24"/>
          <w:lang w:eastAsia="sk-SK"/>
        </w:rPr>
        <w:t>orgán</w:t>
      </w:r>
      <w:r w:rsidRPr="004E44C2">
        <w:rPr>
          <w:rFonts w:ascii="Times New Roman" w:eastAsia="Times New Roman" w:hAnsi="Times New Roman" w:cs="Times New Roman"/>
          <w:spacing w:val="14"/>
          <w:sz w:val="24"/>
          <w:szCs w:val="24"/>
          <w:lang w:eastAsia="sk-SK"/>
        </w:rPr>
        <w:t xml:space="preserve"> </w:t>
      </w:r>
      <w:r w:rsidRPr="004E44C2">
        <w:rPr>
          <w:rFonts w:ascii="Times New Roman" w:eastAsia="Times New Roman" w:hAnsi="Times New Roman" w:cs="Times New Roman"/>
          <w:sz w:val="24"/>
          <w:szCs w:val="24"/>
          <w:lang w:eastAsia="sk-SK"/>
        </w:rPr>
        <w:t>dohľadu</w:t>
      </w:r>
      <w:r w:rsidRPr="004E44C2">
        <w:rPr>
          <w:rFonts w:ascii="Times New Roman" w:eastAsia="Times New Roman" w:hAnsi="Times New Roman" w:cs="Times New Roman"/>
          <w:spacing w:val="14"/>
          <w:sz w:val="24"/>
          <w:szCs w:val="24"/>
          <w:lang w:eastAsia="sk-SK"/>
        </w:rPr>
        <w:t xml:space="preserve"> </w:t>
      </w:r>
      <w:r w:rsidRPr="004E44C2">
        <w:rPr>
          <w:rFonts w:ascii="Times New Roman" w:eastAsia="Times New Roman" w:hAnsi="Times New Roman" w:cs="Times New Roman"/>
          <w:sz w:val="24"/>
          <w:szCs w:val="24"/>
          <w:lang w:eastAsia="sk-SK"/>
        </w:rPr>
        <w:t>(Európsky</w:t>
      </w:r>
      <w:r w:rsidRPr="004E44C2">
        <w:rPr>
          <w:rFonts w:ascii="Times New Roman" w:eastAsia="Times New Roman" w:hAnsi="Times New Roman" w:cs="Times New Roman"/>
          <w:spacing w:val="14"/>
          <w:sz w:val="24"/>
          <w:szCs w:val="24"/>
          <w:lang w:eastAsia="sk-SK"/>
        </w:rPr>
        <w:t xml:space="preserve"> </w:t>
      </w:r>
      <w:r w:rsidRPr="004E44C2">
        <w:rPr>
          <w:rFonts w:ascii="Times New Roman" w:eastAsia="Times New Roman" w:hAnsi="Times New Roman" w:cs="Times New Roman"/>
          <w:sz w:val="24"/>
          <w:szCs w:val="24"/>
          <w:lang w:eastAsia="sk-SK"/>
        </w:rPr>
        <w:t>orgán</w:t>
      </w:r>
      <w:r w:rsidRPr="004E44C2">
        <w:rPr>
          <w:rFonts w:ascii="Times New Roman" w:eastAsia="Times New Roman" w:hAnsi="Times New Roman" w:cs="Times New Roman"/>
          <w:spacing w:val="14"/>
          <w:sz w:val="24"/>
          <w:szCs w:val="24"/>
          <w:lang w:eastAsia="sk-SK"/>
        </w:rPr>
        <w:t xml:space="preserve"> </w:t>
      </w:r>
      <w:r w:rsidRPr="004E44C2">
        <w:rPr>
          <w:rFonts w:ascii="Times New Roman" w:eastAsia="Times New Roman" w:hAnsi="Times New Roman" w:cs="Times New Roman"/>
          <w:sz w:val="24"/>
          <w:szCs w:val="24"/>
          <w:lang w:eastAsia="sk-SK"/>
        </w:rPr>
        <w:t>pre</w:t>
      </w:r>
      <w:r w:rsidRPr="004E44C2">
        <w:rPr>
          <w:rFonts w:ascii="Times New Roman" w:eastAsia="Times New Roman" w:hAnsi="Times New Roman" w:cs="Times New Roman"/>
          <w:spacing w:val="14"/>
          <w:sz w:val="24"/>
          <w:szCs w:val="24"/>
          <w:lang w:eastAsia="sk-SK"/>
        </w:rPr>
        <w:t xml:space="preserve"> </w:t>
      </w:r>
      <w:r w:rsidRPr="004E44C2">
        <w:rPr>
          <w:rFonts w:ascii="Times New Roman" w:eastAsia="Times New Roman" w:hAnsi="Times New Roman" w:cs="Times New Roman"/>
          <w:sz w:val="24"/>
          <w:szCs w:val="24"/>
          <w:lang w:eastAsia="sk-SK"/>
        </w:rPr>
        <w:t>bankovníctvo)</w:t>
      </w:r>
      <w:r w:rsidRPr="004E44C2">
        <w:rPr>
          <w:rFonts w:ascii="Times New Roman" w:eastAsia="Times New Roman" w:hAnsi="Times New Roman" w:cs="Times New Roman"/>
          <w:spacing w:val="14"/>
          <w:sz w:val="24"/>
          <w:szCs w:val="24"/>
          <w:lang w:eastAsia="sk-SK"/>
        </w:rPr>
        <w:t xml:space="preserve"> </w:t>
      </w:r>
      <w:r w:rsidRPr="004E44C2">
        <w:rPr>
          <w:rFonts w:ascii="Times New Roman" w:eastAsia="Times New Roman" w:hAnsi="Times New Roman" w:cs="Times New Roman"/>
          <w:sz w:val="24"/>
          <w:szCs w:val="24"/>
          <w:lang w:eastAsia="sk-SK"/>
        </w:rPr>
        <w:t>a ktorým sa</w:t>
      </w:r>
      <w:r w:rsidRPr="004E44C2">
        <w:rPr>
          <w:rFonts w:ascii="Times New Roman" w:eastAsia="Times New Roman" w:hAnsi="Times New Roman" w:cs="Times New Roman"/>
          <w:spacing w:val="32"/>
          <w:sz w:val="24"/>
          <w:szCs w:val="24"/>
          <w:lang w:eastAsia="sk-SK"/>
        </w:rPr>
        <w:t xml:space="preserve"> </w:t>
      </w:r>
      <w:r w:rsidRPr="004E44C2">
        <w:rPr>
          <w:rFonts w:ascii="Times New Roman" w:eastAsia="Times New Roman" w:hAnsi="Times New Roman" w:cs="Times New Roman"/>
          <w:sz w:val="24"/>
          <w:szCs w:val="24"/>
          <w:lang w:eastAsia="sk-SK"/>
        </w:rPr>
        <w:t>mení</w:t>
      </w:r>
      <w:r w:rsidRPr="004E44C2">
        <w:rPr>
          <w:rFonts w:ascii="Times New Roman" w:eastAsia="Times New Roman" w:hAnsi="Times New Roman" w:cs="Times New Roman"/>
          <w:spacing w:val="32"/>
          <w:sz w:val="24"/>
          <w:szCs w:val="24"/>
          <w:lang w:eastAsia="sk-SK"/>
        </w:rPr>
        <w:t xml:space="preserve"> </w:t>
      </w:r>
      <w:r w:rsidRPr="004E44C2">
        <w:rPr>
          <w:rFonts w:ascii="Times New Roman" w:eastAsia="Times New Roman" w:hAnsi="Times New Roman" w:cs="Times New Roman"/>
          <w:sz w:val="24"/>
          <w:szCs w:val="24"/>
          <w:lang w:eastAsia="sk-SK"/>
        </w:rPr>
        <w:t>a dopĺňa rozhodnutie</w:t>
      </w:r>
      <w:r w:rsidRPr="004E44C2">
        <w:rPr>
          <w:rFonts w:ascii="Times New Roman" w:eastAsia="Times New Roman" w:hAnsi="Times New Roman" w:cs="Times New Roman"/>
          <w:spacing w:val="32"/>
          <w:sz w:val="24"/>
          <w:szCs w:val="24"/>
          <w:lang w:eastAsia="sk-SK"/>
        </w:rPr>
        <w:t xml:space="preserve"> </w:t>
      </w:r>
      <w:r w:rsidRPr="004E44C2">
        <w:rPr>
          <w:rFonts w:ascii="Times New Roman" w:eastAsia="Times New Roman" w:hAnsi="Times New Roman" w:cs="Times New Roman"/>
          <w:sz w:val="24"/>
          <w:szCs w:val="24"/>
          <w:lang w:eastAsia="sk-SK"/>
        </w:rPr>
        <w:t>č. 716/2009/ES</w:t>
      </w:r>
      <w:r w:rsidRPr="004E44C2">
        <w:rPr>
          <w:rFonts w:ascii="Times New Roman" w:eastAsia="Times New Roman" w:hAnsi="Times New Roman" w:cs="Times New Roman"/>
          <w:spacing w:val="32"/>
          <w:sz w:val="24"/>
          <w:szCs w:val="24"/>
          <w:lang w:eastAsia="sk-SK"/>
        </w:rPr>
        <w:t xml:space="preserve"> </w:t>
      </w:r>
      <w:r w:rsidRPr="004E44C2">
        <w:rPr>
          <w:rFonts w:ascii="Times New Roman" w:eastAsia="Times New Roman" w:hAnsi="Times New Roman" w:cs="Times New Roman"/>
          <w:sz w:val="24"/>
          <w:szCs w:val="24"/>
          <w:lang w:eastAsia="sk-SK"/>
        </w:rPr>
        <w:t>a zrušuje rozhodnutie</w:t>
      </w:r>
      <w:r w:rsidRPr="004E44C2">
        <w:rPr>
          <w:rFonts w:ascii="Times New Roman" w:eastAsia="Times New Roman" w:hAnsi="Times New Roman" w:cs="Times New Roman"/>
          <w:spacing w:val="32"/>
          <w:sz w:val="24"/>
          <w:szCs w:val="24"/>
          <w:lang w:eastAsia="sk-SK"/>
        </w:rPr>
        <w:t xml:space="preserve"> </w:t>
      </w:r>
      <w:r w:rsidRPr="004E44C2">
        <w:rPr>
          <w:rFonts w:ascii="Times New Roman" w:eastAsia="Times New Roman" w:hAnsi="Times New Roman" w:cs="Times New Roman"/>
          <w:sz w:val="24"/>
          <w:szCs w:val="24"/>
          <w:lang w:eastAsia="sk-SK"/>
        </w:rPr>
        <w:t>Komisie</w:t>
      </w:r>
      <w:r w:rsidRPr="004E44C2">
        <w:rPr>
          <w:rFonts w:ascii="Times New Roman" w:eastAsia="Times New Roman" w:hAnsi="Times New Roman" w:cs="Times New Roman"/>
          <w:spacing w:val="32"/>
          <w:sz w:val="24"/>
          <w:szCs w:val="24"/>
          <w:lang w:eastAsia="sk-SK"/>
        </w:rPr>
        <w:t xml:space="preserve"> </w:t>
      </w:r>
      <w:r w:rsidRPr="004E44C2">
        <w:rPr>
          <w:rFonts w:ascii="Times New Roman" w:eastAsia="Times New Roman" w:hAnsi="Times New Roman" w:cs="Times New Roman"/>
          <w:sz w:val="24"/>
          <w:szCs w:val="24"/>
          <w:lang w:eastAsia="sk-SK"/>
        </w:rPr>
        <w:t>2009/78/ES (Ú. v. EÚ L 331, 15.12.2010)</w:t>
      </w:r>
      <w:r w:rsidR="0066120D" w:rsidRPr="004E44C2">
        <w:rPr>
          <w:rFonts w:ascii="Times New Roman" w:eastAsia="Times New Roman" w:hAnsi="Times New Roman" w:cs="Times New Roman"/>
          <w:sz w:val="24"/>
          <w:szCs w:val="24"/>
          <w:lang w:eastAsia="sk-SK"/>
        </w:rPr>
        <w:t xml:space="preserve"> v platnom znení</w:t>
      </w:r>
      <w:r w:rsidRPr="004E44C2">
        <w:rPr>
          <w:rFonts w:ascii="Times New Roman" w:eastAsia="Times New Roman" w:hAnsi="Times New Roman" w:cs="Times New Roman"/>
          <w:sz w:val="24"/>
          <w:szCs w:val="24"/>
          <w:lang w:eastAsia="sk-SK"/>
        </w:rPr>
        <w:t>,</w:t>
      </w:r>
      <w:r w:rsidR="00F53D97" w:rsidRPr="004E44C2">
        <w:rPr>
          <w:rFonts w:ascii="Times New Roman" w:eastAsia="Times New Roman" w:hAnsi="Times New Roman" w:cs="Times New Roman"/>
          <w:sz w:val="24"/>
          <w:szCs w:val="24"/>
          <w:lang w:eastAsia="sk-SK"/>
        </w:rPr>
        <w:t xml:space="preserve"> </w:t>
      </w:r>
      <w:r w:rsidR="00C604D2" w:rsidRPr="004E44C2">
        <w:rPr>
          <w:rFonts w:ascii="Times New Roman" w:hAnsi="Times New Roman" w:cs="Times New Roman"/>
          <w:sz w:val="24"/>
          <w:szCs w:val="24"/>
        </w:rPr>
        <w:t>gestor: MF SR, NBS</w:t>
      </w:r>
      <w:r w:rsidR="00C02C4C" w:rsidRPr="004E44C2">
        <w:rPr>
          <w:rFonts w:ascii="Times New Roman" w:hAnsi="Times New Roman" w:cs="Times New Roman"/>
          <w:iCs/>
          <w:sz w:val="24"/>
          <w:szCs w:val="24"/>
        </w:rPr>
        <w:t>,</w:t>
      </w:r>
    </w:p>
    <w:p w14:paraId="7DC57B1F" w14:textId="33DC7D14" w:rsidR="00B1399D" w:rsidRPr="004E44C2" w:rsidRDefault="00B1399D" w:rsidP="00B1399D">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nariadenie Európskeho</w:t>
      </w:r>
      <w:r w:rsidRPr="004E44C2">
        <w:rPr>
          <w:rFonts w:ascii="Times New Roman" w:eastAsia="Times New Roman" w:hAnsi="Times New Roman" w:cs="Times New Roman"/>
          <w:spacing w:val="69"/>
          <w:sz w:val="24"/>
          <w:szCs w:val="24"/>
          <w:lang w:eastAsia="sk-SK"/>
        </w:rPr>
        <w:t xml:space="preserve"> </w:t>
      </w:r>
      <w:r w:rsidRPr="004E44C2">
        <w:rPr>
          <w:rFonts w:ascii="Times New Roman" w:eastAsia="Times New Roman" w:hAnsi="Times New Roman" w:cs="Times New Roman"/>
          <w:sz w:val="24"/>
          <w:szCs w:val="24"/>
          <w:lang w:eastAsia="sk-SK"/>
        </w:rPr>
        <w:t>parlamentu</w:t>
      </w:r>
      <w:r w:rsidRPr="004E44C2">
        <w:rPr>
          <w:rFonts w:ascii="Times New Roman" w:eastAsia="Times New Roman" w:hAnsi="Times New Roman" w:cs="Times New Roman"/>
          <w:spacing w:val="69"/>
          <w:sz w:val="24"/>
          <w:szCs w:val="24"/>
          <w:lang w:eastAsia="sk-SK"/>
        </w:rPr>
        <w:t xml:space="preserve"> </w:t>
      </w:r>
      <w:r w:rsidRPr="004E44C2">
        <w:rPr>
          <w:rFonts w:ascii="Times New Roman" w:eastAsia="Times New Roman" w:hAnsi="Times New Roman" w:cs="Times New Roman"/>
          <w:sz w:val="24"/>
          <w:szCs w:val="24"/>
          <w:lang w:eastAsia="sk-SK"/>
        </w:rPr>
        <w:t>a Rady</w:t>
      </w:r>
      <w:r w:rsidRPr="004E44C2">
        <w:rPr>
          <w:rFonts w:ascii="Times New Roman" w:eastAsia="Times New Roman" w:hAnsi="Times New Roman" w:cs="Times New Roman"/>
          <w:spacing w:val="69"/>
          <w:sz w:val="24"/>
          <w:szCs w:val="24"/>
          <w:lang w:eastAsia="sk-SK"/>
        </w:rPr>
        <w:t xml:space="preserve"> </w:t>
      </w:r>
      <w:r w:rsidRPr="004E44C2">
        <w:rPr>
          <w:rFonts w:ascii="Times New Roman" w:eastAsia="Times New Roman" w:hAnsi="Times New Roman" w:cs="Times New Roman"/>
          <w:sz w:val="24"/>
          <w:szCs w:val="24"/>
          <w:lang w:eastAsia="sk-SK"/>
        </w:rPr>
        <w:t>(EÚ)</w:t>
      </w:r>
      <w:r w:rsidRPr="004E44C2">
        <w:rPr>
          <w:rFonts w:ascii="Times New Roman" w:eastAsia="Times New Roman" w:hAnsi="Times New Roman" w:cs="Times New Roman"/>
          <w:spacing w:val="69"/>
          <w:sz w:val="24"/>
          <w:szCs w:val="24"/>
          <w:lang w:eastAsia="sk-SK"/>
        </w:rPr>
        <w:t xml:space="preserve"> </w:t>
      </w:r>
      <w:r w:rsidRPr="004E44C2">
        <w:rPr>
          <w:rFonts w:ascii="Times New Roman" w:eastAsia="Times New Roman" w:hAnsi="Times New Roman" w:cs="Times New Roman"/>
          <w:sz w:val="24"/>
          <w:szCs w:val="24"/>
          <w:lang w:eastAsia="sk-SK"/>
        </w:rPr>
        <w:t xml:space="preserve">č. </w:t>
      </w:r>
      <w:r w:rsidRPr="004E44C2">
        <w:rPr>
          <w:rFonts w:ascii="Times New Roman" w:eastAsia="Times New Roman" w:hAnsi="Times New Roman" w:cs="Times New Roman"/>
          <w:sz w:val="24"/>
          <w:szCs w:val="24"/>
          <w:u w:val="single"/>
          <w:lang w:eastAsia="sk-SK"/>
        </w:rPr>
        <w:t>575/2013</w:t>
      </w:r>
      <w:r w:rsidRPr="004E44C2">
        <w:rPr>
          <w:rFonts w:ascii="Times New Roman" w:eastAsia="Times New Roman" w:hAnsi="Times New Roman" w:cs="Times New Roman"/>
          <w:sz w:val="24"/>
          <w:szCs w:val="24"/>
          <w:lang w:eastAsia="sk-SK"/>
        </w:rPr>
        <w:t xml:space="preserve"> z 26. júna 2013 o prudenciálnych požiadavkách na úverové inštitúcie a investičné spoločnosti a o zmene nariadenia (EÚ) č. 648/2012 (Ú. v. EÚ L 176, 27.6.2013) v platnom znení, </w:t>
      </w:r>
      <w:r w:rsidR="00C604D2" w:rsidRPr="004E44C2">
        <w:rPr>
          <w:rFonts w:ascii="Times New Roman" w:hAnsi="Times New Roman" w:cs="Times New Roman"/>
          <w:sz w:val="24"/>
          <w:szCs w:val="24"/>
        </w:rPr>
        <w:t>gestor: MF SR, NBS</w:t>
      </w:r>
      <w:r w:rsidRPr="004E44C2">
        <w:rPr>
          <w:rFonts w:ascii="Times New Roman" w:hAnsi="Times New Roman" w:cs="Times New Roman"/>
          <w:sz w:val="24"/>
          <w:szCs w:val="24"/>
        </w:rPr>
        <w:t>,</w:t>
      </w:r>
    </w:p>
    <w:p w14:paraId="1C11572A" w14:textId="2CB7324C" w:rsidR="00B1399D" w:rsidRPr="004E44C2" w:rsidRDefault="00B1399D" w:rsidP="00B1399D">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hAnsi="Times New Roman" w:cs="Times New Roman"/>
          <w:sz w:val="24"/>
          <w:szCs w:val="24"/>
        </w:rPr>
        <w:t xml:space="preserve">nariadenie Európskeho parlamentu a Rady (EÚ) č. </w:t>
      </w:r>
      <w:r w:rsidRPr="004E44C2">
        <w:rPr>
          <w:rFonts w:ascii="Times New Roman" w:hAnsi="Times New Roman" w:cs="Times New Roman"/>
          <w:sz w:val="24"/>
          <w:szCs w:val="24"/>
          <w:u w:val="single"/>
        </w:rPr>
        <w:t>600/2014</w:t>
      </w:r>
      <w:r w:rsidRPr="004E44C2">
        <w:rPr>
          <w:rFonts w:ascii="Times New Roman" w:hAnsi="Times New Roman" w:cs="Times New Roman"/>
          <w:sz w:val="24"/>
          <w:szCs w:val="24"/>
        </w:rPr>
        <w:t xml:space="preserve"> z 15. mája 2014 o trhoch s finančnými nástrojmi, ktorým sa mení nariadenie (EÚ) č. 648/2012 (Ú. v. EÚ L 173, 12.6.2014) v platnom znení, </w:t>
      </w:r>
      <w:r w:rsidR="00C604D2" w:rsidRPr="004E44C2">
        <w:rPr>
          <w:rFonts w:ascii="Times New Roman" w:hAnsi="Times New Roman" w:cs="Times New Roman"/>
          <w:sz w:val="24"/>
          <w:szCs w:val="24"/>
        </w:rPr>
        <w:t>gestor: MF SR, NBS</w:t>
      </w:r>
    </w:p>
    <w:p w14:paraId="6049A652" w14:textId="0B1152C6" w:rsidR="00B1399D" w:rsidRPr="004E44C2" w:rsidRDefault="00B1399D" w:rsidP="00F53D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hAnsi="Times New Roman" w:cs="Times New Roman"/>
          <w:sz w:val="24"/>
          <w:szCs w:val="24"/>
        </w:rPr>
        <w:t xml:space="preserve">nariadenie Európskeho parlamentu a Rady (EÚ) č. </w:t>
      </w:r>
      <w:r w:rsidRPr="004E44C2">
        <w:rPr>
          <w:rFonts w:ascii="Times New Roman" w:hAnsi="Times New Roman" w:cs="Times New Roman"/>
          <w:sz w:val="24"/>
          <w:szCs w:val="24"/>
          <w:u w:val="single"/>
        </w:rPr>
        <w:t>806/2014</w:t>
      </w:r>
      <w:r w:rsidRPr="004E44C2">
        <w:rPr>
          <w:rFonts w:ascii="Times New Roman" w:hAnsi="Times New Roman" w:cs="Times New Roman"/>
          <w:sz w:val="24"/>
          <w:szCs w:val="24"/>
        </w:rPr>
        <w:t xml:space="preserve">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30.7.2014), v platnom znení, </w:t>
      </w:r>
      <w:r w:rsidR="00C604D2" w:rsidRPr="004E44C2">
        <w:rPr>
          <w:rFonts w:ascii="Times New Roman" w:hAnsi="Times New Roman" w:cs="Times New Roman"/>
          <w:sz w:val="24"/>
          <w:szCs w:val="24"/>
        </w:rPr>
        <w:t>gestor: MF SR, NBS</w:t>
      </w:r>
    </w:p>
    <w:p w14:paraId="047E7D3F" w14:textId="32A11C25" w:rsidR="00B1399D" w:rsidRPr="004E44C2" w:rsidRDefault="00B1399D" w:rsidP="00B1399D">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hAnsi="Times New Roman" w:cs="Times New Roman"/>
          <w:sz w:val="24"/>
          <w:szCs w:val="24"/>
        </w:rPr>
        <w:t xml:space="preserve">nariadenie Európskeho parlamentu a Rady (EÚ) </w:t>
      </w:r>
      <w:r w:rsidRPr="004E44C2">
        <w:rPr>
          <w:rFonts w:ascii="Times New Roman" w:hAnsi="Times New Roman" w:cs="Times New Roman"/>
          <w:sz w:val="24"/>
          <w:szCs w:val="24"/>
          <w:u w:val="single"/>
        </w:rPr>
        <w:t>2017/2402</w:t>
      </w:r>
      <w:r w:rsidRPr="004E44C2">
        <w:rPr>
          <w:rFonts w:ascii="Times New Roman" w:hAnsi="Times New Roman" w:cs="Times New Roman"/>
          <w:sz w:val="24"/>
          <w:szCs w:val="24"/>
        </w:rPr>
        <w:t xml:space="preserve"> z 12. decembra 2017, ktorým </w:t>
      </w:r>
      <w:r w:rsidRPr="004E44C2">
        <w:rPr>
          <w:rFonts w:ascii="Times New Roman" w:hAnsi="Times New Roman" w:cs="Times New Roman"/>
          <w:bCs/>
          <w:sz w:val="24"/>
          <w:szCs w:val="24"/>
        </w:rPr>
        <w:t xml:space="preserve">sa stanovuje všeobecný rámec pre sekuritizáciu a vytvára sa osobitný rámec pre jednoduchú, transparentnú a štandardizovanú sekuritizáciu, a ktorým sa menia smernice 2009/65/ES, 2009/138/ES a 2011/61/EÚ a nariadenia (ES) č. 1060/2009 a (EÚ) č. 648/2012 (Ú. v. EÚ L 347, 28.12.2017), </w:t>
      </w:r>
      <w:r w:rsidR="00C604D2" w:rsidRPr="004E44C2">
        <w:rPr>
          <w:rFonts w:ascii="Times New Roman" w:hAnsi="Times New Roman" w:cs="Times New Roman"/>
          <w:sz w:val="24"/>
          <w:szCs w:val="24"/>
        </w:rPr>
        <w:t>gestor: MF SR, NBS</w:t>
      </w:r>
    </w:p>
    <w:p w14:paraId="03978B1E" w14:textId="69C18357" w:rsidR="009C04AA" w:rsidRPr="004E44C2" w:rsidRDefault="009C04AA" w:rsidP="00F53D9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hAnsi="Times New Roman" w:cs="Times New Roman"/>
          <w:sz w:val="24"/>
          <w:szCs w:val="24"/>
        </w:rPr>
        <w:t xml:space="preserve">nariadenie Európskeho parlamentu a Rady (EÚ) </w:t>
      </w:r>
      <w:r w:rsidRPr="004E44C2">
        <w:rPr>
          <w:rFonts w:ascii="Times New Roman" w:hAnsi="Times New Roman" w:cs="Times New Roman"/>
          <w:sz w:val="24"/>
          <w:szCs w:val="24"/>
          <w:u w:val="single"/>
        </w:rPr>
        <w:t>2019/876</w:t>
      </w:r>
      <w:r w:rsidRPr="004E44C2">
        <w:rPr>
          <w:rFonts w:ascii="Times New Roman" w:hAnsi="Times New Roman" w:cs="Times New Roman"/>
          <w:sz w:val="24"/>
          <w:szCs w:val="24"/>
          <w:shd w:val="clear" w:color="auto" w:fill="FFFFFF"/>
        </w:rPr>
        <w:t xml:space="preserve"> z 20. mája 2019, ktorým sa mení nariadenie (EÚ) č.</w:t>
      </w:r>
      <w:r w:rsidRPr="004E44C2">
        <w:rPr>
          <w:rFonts w:ascii="Times New Roman" w:hAnsi="Times New Roman" w:cs="Times New Roman"/>
          <w:sz w:val="24"/>
          <w:szCs w:val="24"/>
        </w:rPr>
        <w:t> </w:t>
      </w:r>
      <w:r w:rsidRPr="004E44C2">
        <w:rPr>
          <w:rFonts w:ascii="Times New Roman" w:hAnsi="Times New Roman" w:cs="Times New Roman"/>
          <w:sz w:val="24"/>
          <w:szCs w:val="24"/>
          <w:shd w:val="clear" w:color="auto" w:fill="FFFFFF"/>
        </w:rPr>
        <w:t xml:space="preserve">575/2013, pokiaľ ide o ukazovateľ finančnej páky, ukazovateľ čistého stabilného financovania, požiadavky na vlastné zdroje a oprávnené záväzky, kreditné riziko protistrany, trhové riziko, expozície voči centrálnym protistranám, expozície voči podnikom kolektívneho investovania, veľkú majetkovú angažovanosť, požiadavky na predkladanie správ a zverejňovanie </w:t>
      </w:r>
      <w:r w:rsidRPr="004E44C2">
        <w:rPr>
          <w:rFonts w:ascii="Times New Roman" w:hAnsi="Times New Roman" w:cs="Times New Roman"/>
          <w:sz w:val="24"/>
          <w:szCs w:val="24"/>
          <w:shd w:val="clear" w:color="auto" w:fill="FFFFFF"/>
        </w:rPr>
        <w:lastRenderedPageBreak/>
        <w:t>informácií, a ktorým sa mení nariadenie (EÚ) č.</w:t>
      </w:r>
      <w:r w:rsidRPr="004E44C2">
        <w:rPr>
          <w:rFonts w:ascii="Times New Roman" w:hAnsi="Times New Roman" w:cs="Times New Roman"/>
          <w:sz w:val="24"/>
          <w:szCs w:val="24"/>
        </w:rPr>
        <w:t> </w:t>
      </w:r>
      <w:r w:rsidRPr="004E44C2">
        <w:rPr>
          <w:rFonts w:ascii="Times New Roman" w:hAnsi="Times New Roman" w:cs="Times New Roman"/>
          <w:sz w:val="24"/>
          <w:szCs w:val="24"/>
          <w:shd w:val="clear" w:color="auto" w:fill="FFFFFF"/>
        </w:rPr>
        <w:t xml:space="preserve">648/2012 </w:t>
      </w:r>
      <w:r w:rsidR="00703A5A" w:rsidRPr="004E44C2">
        <w:rPr>
          <w:rFonts w:ascii="Times New Roman" w:hAnsi="Times New Roman" w:cs="Times New Roman"/>
          <w:sz w:val="24"/>
          <w:szCs w:val="24"/>
        </w:rPr>
        <w:t>(Ú. v. EÚ L 150, 7. 6. 2019),</w:t>
      </w:r>
      <w:r w:rsidR="00F53D97" w:rsidRPr="004E44C2">
        <w:rPr>
          <w:rFonts w:ascii="Times New Roman" w:hAnsi="Times New Roman" w:cs="Times New Roman"/>
          <w:sz w:val="24"/>
          <w:szCs w:val="24"/>
        </w:rPr>
        <w:t xml:space="preserve"> </w:t>
      </w:r>
      <w:r w:rsidR="00C604D2" w:rsidRPr="004E44C2">
        <w:rPr>
          <w:rFonts w:ascii="Times New Roman" w:hAnsi="Times New Roman" w:cs="Times New Roman"/>
          <w:sz w:val="24"/>
          <w:szCs w:val="24"/>
        </w:rPr>
        <w:t>gestor: MF SR, NBS</w:t>
      </w:r>
    </w:p>
    <w:p w14:paraId="67C0BE56" w14:textId="3FD8A0E2" w:rsidR="00B1399D" w:rsidRPr="004E44C2" w:rsidRDefault="00B1399D" w:rsidP="00F53D97">
      <w:pPr>
        <w:pStyle w:val="Odsekzoznamu"/>
        <w:numPr>
          <w:ilvl w:val="0"/>
          <w:numId w:val="3"/>
        </w:numPr>
        <w:spacing w:after="0" w:line="240" w:lineRule="auto"/>
        <w:jc w:val="both"/>
        <w:rPr>
          <w:rFonts w:ascii="Times New Roman" w:eastAsia="Times New Roman" w:hAnsi="Times New Roman" w:cs="Times New Roman"/>
          <w:i/>
          <w:sz w:val="24"/>
          <w:szCs w:val="24"/>
          <w:lang w:eastAsia="sk-SK"/>
        </w:rPr>
      </w:pPr>
      <w:r w:rsidRPr="004E44C2">
        <w:rPr>
          <w:rFonts w:ascii="Times New Roman" w:hAnsi="Times New Roman" w:cs="Times New Roman"/>
          <w:sz w:val="24"/>
          <w:szCs w:val="24"/>
        </w:rPr>
        <w:t xml:space="preserve">delegované nariadenie Komisie (EÚ) </w:t>
      </w:r>
      <w:r w:rsidRPr="004E44C2">
        <w:rPr>
          <w:rFonts w:ascii="Times New Roman" w:hAnsi="Times New Roman" w:cs="Times New Roman"/>
          <w:sz w:val="24"/>
          <w:szCs w:val="24"/>
          <w:u w:val="single"/>
        </w:rPr>
        <w:t>2017/565</w:t>
      </w:r>
      <w:r w:rsidRPr="004E44C2">
        <w:rPr>
          <w:rFonts w:ascii="Times New Roman" w:hAnsi="Times New Roman" w:cs="Times New Roman"/>
          <w:sz w:val="24"/>
          <w:szCs w:val="24"/>
        </w:rPr>
        <w:t xml:space="preserve"> z 25. apríla 2016, ktorým sa dopĺňa smernica Európskeho parlamentu a Rady 2014/65/EÚ, pokiaľ ide o</w:t>
      </w:r>
      <w:r w:rsidR="00BD614F" w:rsidRPr="004E44C2">
        <w:rPr>
          <w:rFonts w:ascii="Times New Roman" w:hAnsi="Times New Roman" w:cs="Times New Roman"/>
          <w:sz w:val="24"/>
          <w:szCs w:val="24"/>
        </w:rPr>
        <w:t> </w:t>
      </w:r>
      <w:r w:rsidRPr="004E44C2">
        <w:rPr>
          <w:rFonts w:ascii="Times New Roman" w:hAnsi="Times New Roman" w:cs="Times New Roman"/>
          <w:sz w:val="24"/>
          <w:szCs w:val="24"/>
        </w:rPr>
        <w:t>organizačné</w:t>
      </w:r>
      <w:r w:rsidR="00BD614F" w:rsidRPr="004E44C2">
        <w:rPr>
          <w:rFonts w:ascii="Times New Roman" w:hAnsi="Times New Roman" w:cs="Times New Roman"/>
          <w:sz w:val="24"/>
          <w:szCs w:val="24"/>
        </w:rPr>
        <w:t xml:space="preserve"> </w:t>
      </w:r>
      <w:r w:rsidRPr="004E44C2">
        <w:rPr>
          <w:rFonts w:ascii="Times New Roman" w:hAnsi="Times New Roman" w:cs="Times New Roman"/>
          <w:sz w:val="24"/>
          <w:szCs w:val="24"/>
        </w:rPr>
        <w:t>požiadavky a</w:t>
      </w:r>
      <w:r w:rsidR="00BD614F" w:rsidRPr="004E44C2">
        <w:rPr>
          <w:rFonts w:ascii="Times New Roman" w:hAnsi="Times New Roman" w:cs="Times New Roman"/>
          <w:sz w:val="24"/>
          <w:szCs w:val="24"/>
        </w:rPr>
        <w:t> </w:t>
      </w:r>
      <w:r w:rsidRPr="004E44C2">
        <w:rPr>
          <w:rFonts w:ascii="Times New Roman" w:hAnsi="Times New Roman" w:cs="Times New Roman"/>
          <w:sz w:val="24"/>
          <w:szCs w:val="24"/>
        </w:rPr>
        <w:t>podmienky</w:t>
      </w:r>
      <w:r w:rsidR="00BD614F" w:rsidRPr="004E44C2">
        <w:rPr>
          <w:rFonts w:ascii="Times New Roman" w:hAnsi="Times New Roman" w:cs="Times New Roman"/>
          <w:sz w:val="24"/>
          <w:szCs w:val="24"/>
        </w:rPr>
        <w:t xml:space="preserve"> </w:t>
      </w:r>
      <w:r w:rsidRPr="004E44C2">
        <w:rPr>
          <w:rFonts w:ascii="Times New Roman" w:hAnsi="Times New Roman" w:cs="Times New Roman"/>
          <w:sz w:val="24"/>
          <w:szCs w:val="24"/>
        </w:rPr>
        <w:t>výkonu činnosti investičných spoločností, ako aj o</w:t>
      </w:r>
      <w:r w:rsidR="00BD614F" w:rsidRPr="004E44C2">
        <w:rPr>
          <w:rFonts w:ascii="Times New Roman" w:hAnsi="Times New Roman" w:cs="Times New Roman"/>
          <w:sz w:val="24"/>
          <w:szCs w:val="24"/>
        </w:rPr>
        <w:t> </w:t>
      </w:r>
      <w:r w:rsidRPr="004E44C2">
        <w:rPr>
          <w:rFonts w:ascii="Times New Roman" w:hAnsi="Times New Roman" w:cs="Times New Roman"/>
          <w:sz w:val="24"/>
          <w:szCs w:val="24"/>
        </w:rPr>
        <w:t>vymedzené</w:t>
      </w:r>
      <w:r w:rsidR="00BD614F" w:rsidRPr="004E44C2">
        <w:rPr>
          <w:rFonts w:ascii="Times New Roman" w:hAnsi="Times New Roman" w:cs="Times New Roman"/>
          <w:sz w:val="24"/>
          <w:szCs w:val="24"/>
        </w:rPr>
        <w:t xml:space="preserve"> </w:t>
      </w:r>
      <w:r w:rsidRPr="004E44C2">
        <w:rPr>
          <w:rFonts w:ascii="Times New Roman" w:hAnsi="Times New Roman" w:cs="Times New Roman"/>
          <w:sz w:val="24"/>
          <w:szCs w:val="24"/>
        </w:rPr>
        <w:t>pojmy na účely uvedenej smernice (</w:t>
      </w:r>
      <w:r w:rsidRPr="004E44C2">
        <w:rPr>
          <w:rStyle w:val="Zvraznenie"/>
          <w:rFonts w:ascii="Times New Roman" w:hAnsi="Times New Roman" w:cs="Times New Roman"/>
          <w:i w:val="0"/>
          <w:sz w:val="24"/>
          <w:szCs w:val="24"/>
        </w:rPr>
        <w:t>Ú. v. EÚ L 87, 31.3.2017</w:t>
      </w:r>
      <w:r w:rsidRPr="004E44C2">
        <w:rPr>
          <w:rFonts w:ascii="Times New Roman" w:hAnsi="Times New Roman" w:cs="Times New Roman"/>
          <w:sz w:val="24"/>
          <w:szCs w:val="24"/>
        </w:rPr>
        <w:t>) v</w:t>
      </w:r>
      <w:r w:rsidR="00BD614F" w:rsidRPr="004E44C2">
        <w:rPr>
          <w:rFonts w:ascii="Times New Roman" w:hAnsi="Times New Roman" w:cs="Times New Roman"/>
          <w:sz w:val="24"/>
          <w:szCs w:val="24"/>
        </w:rPr>
        <w:t> </w:t>
      </w:r>
      <w:r w:rsidRPr="004E44C2">
        <w:rPr>
          <w:rFonts w:ascii="Times New Roman" w:hAnsi="Times New Roman" w:cs="Times New Roman"/>
          <w:sz w:val="24"/>
          <w:szCs w:val="24"/>
        </w:rPr>
        <w:t>platnom</w:t>
      </w:r>
      <w:r w:rsidR="00BD614F" w:rsidRPr="004E44C2">
        <w:rPr>
          <w:rFonts w:ascii="Times New Roman" w:hAnsi="Times New Roman" w:cs="Times New Roman"/>
          <w:sz w:val="24"/>
          <w:szCs w:val="24"/>
        </w:rPr>
        <w:t xml:space="preserve"> </w:t>
      </w:r>
      <w:r w:rsidRPr="004E44C2">
        <w:rPr>
          <w:rFonts w:ascii="Times New Roman" w:hAnsi="Times New Roman" w:cs="Times New Roman"/>
          <w:sz w:val="24"/>
          <w:szCs w:val="24"/>
        </w:rPr>
        <w:t xml:space="preserve">znení, </w:t>
      </w:r>
      <w:r w:rsidR="00C604D2" w:rsidRPr="004E44C2">
        <w:rPr>
          <w:rFonts w:ascii="Times New Roman" w:hAnsi="Times New Roman" w:cs="Times New Roman"/>
          <w:sz w:val="24"/>
          <w:szCs w:val="24"/>
        </w:rPr>
        <w:t>gestor: MF SR, NBS</w:t>
      </w:r>
    </w:p>
    <w:p w14:paraId="152890C9" w14:textId="74A0D6BD" w:rsidR="008A22A7" w:rsidRPr="004E44C2" w:rsidRDefault="008A22A7" w:rsidP="008A22A7">
      <w:pPr>
        <w:pStyle w:val="Odsekzoznamu"/>
        <w:numPr>
          <w:ilvl w:val="0"/>
          <w:numId w:val="3"/>
        </w:numPr>
        <w:spacing w:after="0" w:line="240" w:lineRule="auto"/>
        <w:jc w:val="both"/>
        <w:rPr>
          <w:rFonts w:ascii="Times New Roman" w:eastAsia="Times New Roman" w:hAnsi="Times New Roman" w:cs="Times New Roman"/>
          <w:i/>
          <w:sz w:val="24"/>
          <w:szCs w:val="24"/>
          <w:lang w:eastAsia="sk-SK"/>
        </w:rPr>
      </w:pPr>
      <w:r w:rsidRPr="004E44C2">
        <w:rPr>
          <w:rFonts w:ascii="Times New Roman" w:hAnsi="Times New Roman" w:cs="Times New Roman"/>
          <w:sz w:val="24"/>
          <w:szCs w:val="24"/>
        </w:rPr>
        <w:t xml:space="preserve">delegované nariadenie Komisie (EÚ) č. </w:t>
      </w:r>
      <w:r w:rsidRPr="004E44C2">
        <w:rPr>
          <w:rFonts w:ascii="Times New Roman" w:hAnsi="Times New Roman" w:cs="Times New Roman"/>
          <w:sz w:val="24"/>
          <w:szCs w:val="24"/>
          <w:u w:val="single"/>
        </w:rPr>
        <w:t>2018/389</w:t>
      </w:r>
      <w:r w:rsidRPr="004E44C2">
        <w:rPr>
          <w:rFonts w:ascii="Times New Roman" w:hAnsi="Times New Roman" w:cs="Times New Roman"/>
          <w:sz w:val="24"/>
          <w:szCs w:val="24"/>
        </w:rPr>
        <w:t xml:space="preserve"> z 27. novembra 2017, ktorým sa dopĺňa smernica Európskeho parlamentu a Rady (EÚ) 2015/2366, pokiaľ ide o regulačné technické predpisy pre silnú autentifikáciu zákazníka a spoločné a bezpečné otvorené komunikačné normy (Ú. v. EÚ L 69, 13. 3. 2018), </w:t>
      </w:r>
      <w:r w:rsidR="00C604D2" w:rsidRPr="004E44C2">
        <w:rPr>
          <w:rFonts w:ascii="Times New Roman" w:hAnsi="Times New Roman" w:cs="Times New Roman"/>
          <w:sz w:val="24"/>
          <w:szCs w:val="24"/>
        </w:rPr>
        <w:t>gestor: MF SR, NBS</w:t>
      </w:r>
    </w:p>
    <w:p w14:paraId="4A65B3E6" w14:textId="595B0C4A" w:rsidR="00454131" w:rsidRPr="004E44C2" w:rsidRDefault="00454131" w:rsidP="00454131">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hAnsi="Times New Roman" w:cs="Times New Roman"/>
          <w:sz w:val="24"/>
          <w:szCs w:val="24"/>
        </w:rPr>
        <w:t xml:space="preserve">delegované nariadenie Komisie (EÚ) </w:t>
      </w:r>
      <w:r w:rsidRPr="004E44C2">
        <w:rPr>
          <w:rFonts w:ascii="Times New Roman" w:hAnsi="Times New Roman" w:cs="Times New Roman"/>
          <w:sz w:val="24"/>
          <w:szCs w:val="24"/>
          <w:u w:val="single"/>
        </w:rPr>
        <w:t>201</w:t>
      </w:r>
      <w:r w:rsidR="00B42189" w:rsidRPr="004E44C2">
        <w:rPr>
          <w:rFonts w:ascii="Times New Roman" w:hAnsi="Times New Roman" w:cs="Times New Roman"/>
          <w:sz w:val="24"/>
          <w:szCs w:val="24"/>
          <w:u w:val="single"/>
        </w:rPr>
        <w:t>9</w:t>
      </w:r>
      <w:r w:rsidRPr="004E44C2">
        <w:rPr>
          <w:rFonts w:ascii="Times New Roman" w:hAnsi="Times New Roman" w:cs="Times New Roman"/>
          <w:sz w:val="24"/>
          <w:szCs w:val="24"/>
          <w:u w:val="single"/>
        </w:rPr>
        <w:t>/815</w:t>
      </w:r>
      <w:r w:rsidRPr="004E44C2">
        <w:rPr>
          <w:rFonts w:ascii="Times New Roman" w:hAnsi="Times New Roman" w:cs="Times New Roman"/>
          <w:sz w:val="24"/>
          <w:szCs w:val="24"/>
        </w:rPr>
        <w:t xml:space="preserve"> zo 17. decembra 2018, ktorým sa dopĺňa smernica Európskeho parlamentu a Rady (EÚ) 2004/109/ES, pokiaľ ide o</w:t>
      </w:r>
      <w:r w:rsidR="00B42189" w:rsidRPr="004E44C2">
        <w:rPr>
          <w:rFonts w:ascii="Times New Roman" w:hAnsi="Times New Roman" w:cs="Times New Roman"/>
          <w:sz w:val="24"/>
          <w:szCs w:val="24"/>
        </w:rPr>
        <w:t> </w:t>
      </w:r>
      <w:r w:rsidRPr="004E44C2">
        <w:rPr>
          <w:rFonts w:ascii="Times New Roman" w:hAnsi="Times New Roman" w:cs="Times New Roman"/>
          <w:sz w:val="24"/>
          <w:szCs w:val="24"/>
        </w:rPr>
        <w:t>regulačné technické predpisy o</w:t>
      </w:r>
      <w:r w:rsidR="00C86C8A" w:rsidRPr="004E44C2">
        <w:rPr>
          <w:rFonts w:ascii="Times New Roman" w:hAnsi="Times New Roman" w:cs="Times New Roman"/>
          <w:sz w:val="24"/>
          <w:szCs w:val="24"/>
        </w:rPr>
        <w:t> </w:t>
      </w:r>
      <w:r w:rsidRPr="004E44C2">
        <w:rPr>
          <w:rFonts w:ascii="Times New Roman" w:hAnsi="Times New Roman" w:cs="Times New Roman"/>
          <w:sz w:val="24"/>
          <w:szCs w:val="24"/>
        </w:rPr>
        <w:t>špecifikácii jednotného elektronického formátu vykazovania (Ú. v. EÚ L 143, 29.5.2019)</w:t>
      </w:r>
      <w:r w:rsidR="00C86C8A" w:rsidRPr="004E44C2">
        <w:rPr>
          <w:rFonts w:ascii="Times New Roman" w:hAnsi="Times New Roman" w:cs="Times New Roman"/>
          <w:sz w:val="24"/>
          <w:szCs w:val="24"/>
        </w:rPr>
        <w:t xml:space="preserve"> v platnom znení</w:t>
      </w:r>
      <w:r w:rsidRPr="004E44C2">
        <w:rPr>
          <w:rFonts w:ascii="Times New Roman" w:hAnsi="Times New Roman" w:cs="Times New Roman"/>
          <w:sz w:val="24"/>
          <w:szCs w:val="24"/>
        </w:rPr>
        <w:t xml:space="preserve">, </w:t>
      </w:r>
      <w:r w:rsidR="00C604D2" w:rsidRPr="004E44C2">
        <w:rPr>
          <w:rFonts w:ascii="Times New Roman" w:hAnsi="Times New Roman" w:cs="Times New Roman"/>
          <w:sz w:val="24"/>
          <w:szCs w:val="24"/>
        </w:rPr>
        <w:t>gestor: MF SR, NBS</w:t>
      </w:r>
    </w:p>
    <w:p w14:paraId="5B4BA939" w14:textId="14F36800" w:rsidR="00AF4FE1" w:rsidRPr="004E44C2" w:rsidRDefault="00AF4FE1" w:rsidP="00F53D97">
      <w:pPr>
        <w:pStyle w:val="Odsekzoznamu"/>
        <w:numPr>
          <w:ilvl w:val="0"/>
          <w:numId w:val="3"/>
        </w:numPr>
        <w:spacing w:after="0" w:line="240" w:lineRule="auto"/>
        <w:jc w:val="both"/>
        <w:rPr>
          <w:rFonts w:ascii="Times New Roman" w:eastAsia="Times New Roman" w:hAnsi="Times New Roman" w:cs="Times New Roman"/>
          <w:i/>
          <w:sz w:val="24"/>
          <w:szCs w:val="24"/>
          <w:lang w:eastAsia="sk-SK"/>
        </w:rPr>
      </w:pPr>
      <w:r w:rsidRPr="004E44C2">
        <w:rPr>
          <w:rFonts w:ascii="Times New Roman" w:hAnsi="Times New Roman" w:cs="Times New Roman"/>
          <w:sz w:val="24"/>
          <w:szCs w:val="24"/>
          <w:lang w:eastAsia="sk-SK"/>
        </w:rPr>
        <w:t xml:space="preserve">delegované nariadenie Komisie (EÚ) </w:t>
      </w:r>
      <w:r w:rsidRPr="004E44C2">
        <w:rPr>
          <w:rFonts w:ascii="Times New Roman" w:hAnsi="Times New Roman" w:cs="Times New Roman"/>
          <w:sz w:val="24"/>
          <w:szCs w:val="24"/>
          <w:u w:val="single"/>
          <w:lang w:eastAsia="sk-SK"/>
        </w:rPr>
        <w:t>2018/1108</w:t>
      </w:r>
      <w:r w:rsidRPr="004E44C2">
        <w:rPr>
          <w:rFonts w:ascii="Times New Roman" w:hAnsi="Times New Roman" w:cs="Times New Roman"/>
          <w:sz w:val="24"/>
          <w:szCs w:val="24"/>
          <w:lang w:eastAsia="sk-SK"/>
        </w:rPr>
        <w:t xml:space="preserve"> zo 7. mája 2018, ktorým sa dopĺňa smernica Európskeho parlamentu a Rady (EÚ) 2015/849 o</w:t>
      </w:r>
      <w:r w:rsidR="00310BD7" w:rsidRPr="004E44C2">
        <w:rPr>
          <w:rFonts w:ascii="Times New Roman" w:hAnsi="Times New Roman" w:cs="Times New Roman"/>
          <w:sz w:val="24"/>
          <w:szCs w:val="24"/>
          <w:lang w:eastAsia="sk-SK"/>
        </w:rPr>
        <w:t> </w:t>
      </w:r>
      <w:r w:rsidRPr="004E44C2">
        <w:rPr>
          <w:rFonts w:ascii="Times New Roman" w:hAnsi="Times New Roman" w:cs="Times New Roman"/>
          <w:sz w:val="24"/>
          <w:szCs w:val="24"/>
          <w:lang w:eastAsia="sk-SK"/>
        </w:rPr>
        <w:t>regulačné technické predpisy týkajúce sa kritérií na určenie centrálnych kontaktných miest vydavateľov elektronických peňazí a</w:t>
      </w:r>
      <w:r w:rsidR="00310BD7" w:rsidRPr="004E44C2">
        <w:rPr>
          <w:rFonts w:ascii="Times New Roman" w:hAnsi="Times New Roman" w:cs="Times New Roman"/>
          <w:sz w:val="24"/>
          <w:szCs w:val="24"/>
          <w:lang w:eastAsia="sk-SK"/>
        </w:rPr>
        <w:t> </w:t>
      </w:r>
      <w:r w:rsidRPr="004E44C2">
        <w:rPr>
          <w:rFonts w:ascii="Times New Roman" w:hAnsi="Times New Roman" w:cs="Times New Roman"/>
          <w:sz w:val="24"/>
          <w:szCs w:val="24"/>
          <w:lang w:eastAsia="sk-SK"/>
        </w:rPr>
        <w:t>poskytovateľov</w:t>
      </w:r>
      <w:r w:rsidR="00310BD7" w:rsidRPr="004E44C2">
        <w:rPr>
          <w:rFonts w:ascii="Times New Roman" w:hAnsi="Times New Roman" w:cs="Times New Roman"/>
          <w:sz w:val="24"/>
          <w:szCs w:val="24"/>
          <w:lang w:eastAsia="sk-SK"/>
        </w:rPr>
        <w:t xml:space="preserve"> </w:t>
      </w:r>
      <w:r w:rsidRPr="004E44C2">
        <w:rPr>
          <w:rFonts w:ascii="Times New Roman" w:hAnsi="Times New Roman" w:cs="Times New Roman"/>
          <w:sz w:val="24"/>
          <w:szCs w:val="24"/>
          <w:lang w:eastAsia="sk-SK"/>
        </w:rPr>
        <w:t>platobných služieb a</w:t>
      </w:r>
      <w:r w:rsidR="00310BD7" w:rsidRPr="004E44C2">
        <w:rPr>
          <w:rFonts w:ascii="Times New Roman" w:hAnsi="Times New Roman" w:cs="Times New Roman"/>
          <w:sz w:val="24"/>
          <w:szCs w:val="24"/>
          <w:lang w:eastAsia="sk-SK"/>
        </w:rPr>
        <w:t> </w:t>
      </w:r>
      <w:r w:rsidRPr="004E44C2">
        <w:rPr>
          <w:rFonts w:ascii="Times New Roman" w:hAnsi="Times New Roman" w:cs="Times New Roman"/>
          <w:sz w:val="24"/>
          <w:szCs w:val="24"/>
          <w:lang w:eastAsia="sk-SK"/>
        </w:rPr>
        <w:t>o</w:t>
      </w:r>
      <w:r w:rsidR="00310BD7" w:rsidRPr="004E44C2">
        <w:rPr>
          <w:rFonts w:ascii="Times New Roman" w:hAnsi="Times New Roman" w:cs="Times New Roman"/>
          <w:sz w:val="24"/>
          <w:szCs w:val="24"/>
          <w:lang w:eastAsia="sk-SK"/>
        </w:rPr>
        <w:t> </w:t>
      </w:r>
      <w:r w:rsidRPr="004E44C2">
        <w:rPr>
          <w:rFonts w:ascii="Times New Roman" w:hAnsi="Times New Roman" w:cs="Times New Roman"/>
          <w:sz w:val="24"/>
          <w:szCs w:val="24"/>
          <w:lang w:eastAsia="sk-SK"/>
        </w:rPr>
        <w:t>pravidlá</w:t>
      </w:r>
      <w:r w:rsidR="00310BD7" w:rsidRPr="004E44C2">
        <w:rPr>
          <w:rFonts w:ascii="Times New Roman" w:hAnsi="Times New Roman" w:cs="Times New Roman"/>
          <w:sz w:val="24"/>
          <w:szCs w:val="24"/>
          <w:lang w:eastAsia="sk-SK"/>
        </w:rPr>
        <w:t xml:space="preserve"> </w:t>
      </w:r>
      <w:r w:rsidRPr="004E44C2">
        <w:rPr>
          <w:rFonts w:ascii="Times New Roman" w:hAnsi="Times New Roman" w:cs="Times New Roman"/>
          <w:sz w:val="24"/>
          <w:szCs w:val="24"/>
          <w:lang w:eastAsia="sk-SK"/>
        </w:rPr>
        <w:t xml:space="preserve">pre ich funkcie (Ú. v. EÚ L 203, 10. 8. 2018), gestor: </w:t>
      </w:r>
      <w:r w:rsidR="00B93B56" w:rsidRPr="004E44C2">
        <w:rPr>
          <w:rFonts w:ascii="Times New Roman" w:hAnsi="Times New Roman" w:cs="Times New Roman"/>
          <w:sz w:val="24"/>
          <w:szCs w:val="24"/>
          <w:lang w:eastAsia="sk-SK"/>
        </w:rPr>
        <w:t xml:space="preserve">MV SR, </w:t>
      </w:r>
      <w:r w:rsidRPr="004E44C2">
        <w:rPr>
          <w:rFonts w:ascii="Times New Roman" w:hAnsi="Times New Roman" w:cs="Times New Roman"/>
          <w:sz w:val="24"/>
          <w:szCs w:val="24"/>
          <w:lang w:eastAsia="sk-SK"/>
        </w:rPr>
        <w:t>MF SR, NBS</w:t>
      </w:r>
      <w:r w:rsidR="00FE6751" w:rsidRPr="004E44C2">
        <w:rPr>
          <w:rFonts w:ascii="Times New Roman" w:hAnsi="Times New Roman" w:cs="Times New Roman"/>
          <w:sz w:val="24"/>
          <w:szCs w:val="24"/>
          <w:lang w:eastAsia="sk-SK"/>
        </w:rPr>
        <w:t>,</w:t>
      </w:r>
    </w:p>
    <w:p w14:paraId="6852CB2C" w14:textId="58E977CE" w:rsidR="00DC046F" w:rsidRPr="004E44C2" w:rsidRDefault="00DC046F" w:rsidP="00F53D97">
      <w:pPr>
        <w:pStyle w:val="Odsekzoznamu"/>
        <w:numPr>
          <w:ilvl w:val="0"/>
          <w:numId w:val="3"/>
        </w:numPr>
        <w:spacing w:after="0" w:line="240" w:lineRule="auto"/>
        <w:jc w:val="both"/>
        <w:rPr>
          <w:rStyle w:val="Zvraznenie"/>
          <w:rFonts w:ascii="Times New Roman" w:eastAsia="Times New Roman" w:hAnsi="Times New Roman" w:cs="Times New Roman"/>
          <w:iCs w:val="0"/>
          <w:sz w:val="24"/>
          <w:szCs w:val="24"/>
          <w:lang w:eastAsia="sk-SK"/>
        </w:rPr>
      </w:pPr>
      <w:r w:rsidRPr="004E44C2">
        <w:rPr>
          <w:rFonts w:ascii="Times New Roman" w:hAnsi="Times New Roman" w:cs="Times New Roman"/>
          <w:sz w:val="24"/>
          <w:szCs w:val="24"/>
        </w:rPr>
        <w:t xml:space="preserve">delegované nariadenie Komisie (EÚ) </w:t>
      </w:r>
      <w:r w:rsidRPr="004E44C2">
        <w:rPr>
          <w:rFonts w:ascii="Times New Roman" w:hAnsi="Times New Roman" w:cs="Times New Roman"/>
          <w:sz w:val="24"/>
          <w:szCs w:val="24"/>
          <w:u w:val="single"/>
        </w:rPr>
        <w:t>2019/980</w:t>
      </w:r>
      <w:r w:rsidRPr="004E44C2">
        <w:rPr>
          <w:rFonts w:ascii="Times New Roman" w:hAnsi="Times New Roman" w:cs="Times New Roman"/>
          <w:sz w:val="24"/>
          <w:szCs w:val="24"/>
        </w:rPr>
        <w:t xml:space="preserve"> zo 14. marca 2019, ktorým sa dopĺňa nariadenie Európskeho parlamentu a Rady (EÚ) 2017/1129, pokiaľ ide o</w:t>
      </w:r>
      <w:r w:rsidR="00BD614F" w:rsidRPr="004E44C2">
        <w:rPr>
          <w:rFonts w:ascii="Times New Roman" w:hAnsi="Times New Roman" w:cs="Times New Roman"/>
          <w:sz w:val="24"/>
          <w:szCs w:val="24"/>
        </w:rPr>
        <w:t> </w:t>
      </w:r>
      <w:r w:rsidRPr="004E44C2">
        <w:rPr>
          <w:rFonts w:ascii="Times New Roman" w:hAnsi="Times New Roman" w:cs="Times New Roman"/>
          <w:sz w:val="24"/>
          <w:szCs w:val="24"/>
        </w:rPr>
        <w:t>formát, obsah, preskúmanie a schvaľovanie prospektu, ktorý sa má uverejniť pri verejnej ponuke cenných papierov alebo ich prijatí na obchodovanie na regulovanom trhu, a</w:t>
      </w:r>
      <w:r w:rsidR="00BD614F" w:rsidRPr="004E44C2">
        <w:rPr>
          <w:rFonts w:ascii="Times New Roman" w:hAnsi="Times New Roman" w:cs="Times New Roman"/>
          <w:sz w:val="24"/>
          <w:szCs w:val="24"/>
        </w:rPr>
        <w:t> </w:t>
      </w:r>
      <w:r w:rsidRPr="004E44C2">
        <w:rPr>
          <w:rFonts w:ascii="Times New Roman" w:hAnsi="Times New Roman" w:cs="Times New Roman"/>
          <w:sz w:val="24"/>
          <w:szCs w:val="24"/>
        </w:rPr>
        <w:t>ktorým</w:t>
      </w:r>
      <w:r w:rsidR="00BD614F" w:rsidRPr="004E44C2">
        <w:rPr>
          <w:rFonts w:ascii="Times New Roman" w:hAnsi="Times New Roman" w:cs="Times New Roman"/>
          <w:sz w:val="24"/>
          <w:szCs w:val="24"/>
        </w:rPr>
        <w:t xml:space="preserve"> </w:t>
      </w:r>
      <w:r w:rsidRPr="004E44C2">
        <w:rPr>
          <w:rFonts w:ascii="Times New Roman" w:hAnsi="Times New Roman" w:cs="Times New Roman"/>
          <w:sz w:val="24"/>
          <w:szCs w:val="24"/>
        </w:rPr>
        <w:t xml:space="preserve">sa zrušuje nariadenie Komisie (ES) č. 809/2004 (Ú. v. EÚ </w:t>
      </w:r>
      <w:r w:rsidRPr="004E44C2">
        <w:rPr>
          <w:rStyle w:val="Zvraznenie"/>
          <w:rFonts w:ascii="Times New Roman" w:hAnsi="Times New Roman" w:cs="Times New Roman"/>
          <w:i w:val="0"/>
          <w:sz w:val="24"/>
          <w:szCs w:val="24"/>
        </w:rPr>
        <w:t xml:space="preserve">L 166, 21.6.2019), </w:t>
      </w:r>
      <w:r w:rsidR="00C604D2" w:rsidRPr="004E44C2">
        <w:rPr>
          <w:rFonts w:ascii="Times New Roman" w:hAnsi="Times New Roman" w:cs="Times New Roman"/>
          <w:sz w:val="24"/>
          <w:szCs w:val="24"/>
        </w:rPr>
        <w:t>gestor: MF SR, NBS</w:t>
      </w:r>
    </w:p>
    <w:p w14:paraId="4B494055" w14:textId="77777777" w:rsidR="009C04AA" w:rsidRPr="004E44C2" w:rsidRDefault="009C04AA" w:rsidP="001A45EA">
      <w:pPr>
        <w:spacing w:after="0" w:line="240" w:lineRule="auto"/>
        <w:rPr>
          <w:rFonts w:ascii="Times New Roman" w:eastAsia="Times New Roman" w:hAnsi="Times New Roman" w:cs="Times New Roman"/>
          <w:sz w:val="24"/>
          <w:szCs w:val="24"/>
          <w:lang w:eastAsia="sk-SK"/>
        </w:rPr>
      </w:pPr>
    </w:p>
    <w:p w14:paraId="5435E58E" w14:textId="77777777" w:rsidR="008545C6" w:rsidRPr="004E44C2" w:rsidRDefault="008545C6" w:rsidP="008545C6">
      <w:pPr>
        <w:pStyle w:val="Odsekzoznamu"/>
        <w:numPr>
          <w:ilvl w:val="0"/>
          <w:numId w:val="2"/>
        </w:numPr>
        <w:spacing w:after="0" w:line="240" w:lineRule="auto"/>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v judikatúre Súdneho dvora Európskej únie</w:t>
      </w:r>
    </w:p>
    <w:p w14:paraId="32B448E9" w14:textId="77777777" w:rsidR="008545C6" w:rsidRPr="004E44C2" w:rsidRDefault="008545C6" w:rsidP="008545C6">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rozsudok</w:t>
      </w:r>
      <w:r w:rsidRPr="004E44C2">
        <w:rPr>
          <w:rFonts w:ascii="Times New Roman" w:eastAsia="Times New Roman" w:hAnsi="Times New Roman" w:cs="Times New Roman"/>
          <w:spacing w:val="15"/>
          <w:sz w:val="24"/>
          <w:szCs w:val="24"/>
          <w:lang w:eastAsia="sk-SK"/>
        </w:rPr>
        <w:t xml:space="preserve"> </w:t>
      </w:r>
      <w:r w:rsidRPr="004E44C2">
        <w:rPr>
          <w:rFonts w:ascii="Times New Roman" w:eastAsia="Times New Roman" w:hAnsi="Times New Roman" w:cs="Times New Roman"/>
          <w:sz w:val="24"/>
          <w:szCs w:val="24"/>
          <w:lang w:eastAsia="sk-SK"/>
        </w:rPr>
        <w:t>Súdneho</w:t>
      </w:r>
      <w:r w:rsidRPr="004E44C2">
        <w:rPr>
          <w:rFonts w:ascii="Times New Roman" w:eastAsia="Times New Roman" w:hAnsi="Times New Roman" w:cs="Times New Roman"/>
          <w:spacing w:val="15"/>
          <w:sz w:val="24"/>
          <w:szCs w:val="24"/>
          <w:lang w:eastAsia="sk-SK"/>
        </w:rPr>
        <w:t xml:space="preserve"> </w:t>
      </w:r>
      <w:r w:rsidRPr="004E44C2">
        <w:rPr>
          <w:rFonts w:ascii="Times New Roman" w:eastAsia="Times New Roman" w:hAnsi="Times New Roman" w:cs="Times New Roman"/>
          <w:sz w:val="24"/>
          <w:szCs w:val="24"/>
          <w:lang w:eastAsia="sk-SK"/>
        </w:rPr>
        <w:t>dvora</w:t>
      </w:r>
      <w:r w:rsidRPr="004E44C2">
        <w:rPr>
          <w:rFonts w:ascii="Times New Roman" w:eastAsia="Times New Roman" w:hAnsi="Times New Roman" w:cs="Times New Roman"/>
          <w:spacing w:val="15"/>
          <w:sz w:val="24"/>
          <w:szCs w:val="24"/>
          <w:lang w:eastAsia="sk-SK"/>
        </w:rPr>
        <w:t xml:space="preserve"> </w:t>
      </w:r>
      <w:r w:rsidRPr="004E44C2">
        <w:rPr>
          <w:rFonts w:ascii="Times New Roman" w:eastAsia="Times New Roman" w:hAnsi="Times New Roman" w:cs="Times New Roman"/>
          <w:sz w:val="24"/>
          <w:szCs w:val="24"/>
          <w:lang w:eastAsia="sk-SK"/>
        </w:rPr>
        <w:t>vo</w:t>
      </w:r>
      <w:r w:rsidRPr="004E44C2">
        <w:rPr>
          <w:rFonts w:ascii="Times New Roman" w:eastAsia="Times New Roman" w:hAnsi="Times New Roman" w:cs="Times New Roman"/>
          <w:spacing w:val="15"/>
          <w:sz w:val="24"/>
          <w:szCs w:val="24"/>
          <w:lang w:eastAsia="sk-SK"/>
        </w:rPr>
        <w:t xml:space="preserve"> </w:t>
      </w:r>
      <w:r w:rsidRPr="004E44C2">
        <w:rPr>
          <w:rFonts w:ascii="Times New Roman" w:eastAsia="Times New Roman" w:hAnsi="Times New Roman" w:cs="Times New Roman"/>
          <w:sz w:val="24"/>
          <w:szCs w:val="24"/>
          <w:lang w:eastAsia="sk-SK"/>
        </w:rPr>
        <w:t>veci</w:t>
      </w:r>
      <w:r w:rsidRPr="004E44C2">
        <w:rPr>
          <w:rFonts w:ascii="Times New Roman" w:eastAsia="Times New Roman" w:hAnsi="Times New Roman" w:cs="Times New Roman"/>
          <w:spacing w:val="15"/>
          <w:sz w:val="24"/>
          <w:szCs w:val="24"/>
          <w:lang w:eastAsia="sk-SK"/>
        </w:rPr>
        <w:t xml:space="preserve"> </w:t>
      </w:r>
      <w:r w:rsidRPr="004E44C2">
        <w:rPr>
          <w:rFonts w:ascii="Times New Roman" w:eastAsia="Times New Roman" w:hAnsi="Times New Roman" w:cs="Times New Roman"/>
          <w:sz w:val="24"/>
          <w:szCs w:val="24"/>
          <w:lang w:eastAsia="sk-SK"/>
        </w:rPr>
        <w:t>C-452/04,</w:t>
      </w:r>
      <w:r w:rsidRPr="004E44C2">
        <w:rPr>
          <w:rFonts w:ascii="Times New Roman" w:eastAsia="Times New Roman" w:hAnsi="Times New Roman" w:cs="Times New Roman"/>
          <w:spacing w:val="15"/>
          <w:sz w:val="24"/>
          <w:szCs w:val="24"/>
          <w:lang w:eastAsia="sk-SK"/>
        </w:rPr>
        <w:t xml:space="preserve"> </w:t>
      </w:r>
      <w:r w:rsidRPr="004E44C2">
        <w:rPr>
          <w:rFonts w:ascii="Times New Roman" w:eastAsia="Times New Roman" w:hAnsi="Times New Roman" w:cs="Times New Roman"/>
          <w:sz w:val="24"/>
          <w:szCs w:val="24"/>
          <w:lang w:eastAsia="sk-SK"/>
        </w:rPr>
        <w:t>Fidium</w:t>
      </w:r>
      <w:r w:rsidRPr="004E44C2">
        <w:rPr>
          <w:rFonts w:ascii="Times New Roman" w:eastAsia="Times New Roman" w:hAnsi="Times New Roman" w:cs="Times New Roman"/>
          <w:spacing w:val="15"/>
          <w:sz w:val="24"/>
          <w:szCs w:val="24"/>
          <w:lang w:eastAsia="sk-SK"/>
        </w:rPr>
        <w:t xml:space="preserve"> </w:t>
      </w:r>
      <w:r w:rsidRPr="004E44C2">
        <w:rPr>
          <w:rFonts w:ascii="Times New Roman" w:eastAsia="Times New Roman" w:hAnsi="Times New Roman" w:cs="Times New Roman"/>
          <w:sz w:val="24"/>
          <w:szCs w:val="24"/>
          <w:lang w:eastAsia="sk-SK"/>
        </w:rPr>
        <w:t>Finanz</w:t>
      </w:r>
      <w:r w:rsidRPr="004E44C2">
        <w:rPr>
          <w:rFonts w:ascii="Times New Roman" w:eastAsia="Times New Roman" w:hAnsi="Times New Roman" w:cs="Times New Roman"/>
          <w:spacing w:val="15"/>
          <w:sz w:val="24"/>
          <w:szCs w:val="24"/>
          <w:lang w:eastAsia="sk-SK"/>
        </w:rPr>
        <w:t xml:space="preserve"> </w:t>
      </w:r>
      <w:r w:rsidRPr="004E44C2">
        <w:rPr>
          <w:rFonts w:ascii="Times New Roman" w:eastAsia="Times New Roman" w:hAnsi="Times New Roman" w:cs="Times New Roman"/>
          <w:sz w:val="24"/>
          <w:szCs w:val="24"/>
          <w:lang w:eastAsia="sk-SK"/>
        </w:rPr>
        <w:t>AG</w:t>
      </w:r>
      <w:r w:rsidRPr="004E44C2">
        <w:rPr>
          <w:rFonts w:ascii="Times New Roman" w:eastAsia="Times New Roman" w:hAnsi="Times New Roman" w:cs="Times New Roman"/>
          <w:spacing w:val="15"/>
          <w:sz w:val="24"/>
          <w:szCs w:val="24"/>
          <w:lang w:eastAsia="sk-SK"/>
        </w:rPr>
        <w:t xml:space="preserve"> </w:t>
      </w:r>
      <w:r w:rsidRPr="004E44C2">
        <w:rPr>
          <w:rFonts w:ascii="Times New Roman" w:eastAsia="Times New Roman" w:hAnsi="Times New Roman" w:cs="Times New Roman"/>
          <w:sz w:val="24"/>
          <w:szCs w:val="24"/>
          <w:lang w:eastAsia="sk-SK"/>
        </w:rPr>
        <w:t>proti Bundesanstalt für Finanzdienstleistungsaufsicht, [2006],</w:t>
      </w:r>
    </w:p>
    <w:p w14:paraId="495DE1B2" w14:textId="77777777" w:rsidR="00D9297E" w:rsidRPr="004E44C2" w:rsidRDefault="00D9297E" w:rsidP="00D9297E">
      <w:pPr>
        <w:pStyle w:val="Odsekzoznamu"/>
        <w:spacing w:after="0" w:line="240" w:lineRule="auto"/>
        <w:ind w:left="1068"/>
        <w:jc w:val="both"/>
        <w:rPr>
          <w:rFonts w:ascii="Times New Roman" w:eastAsia="Times New Roman" w:hAnsi="Times New Roman" w:cs="Times New Roman"/>
          <w:sz w:val="24"/>
          <w:szCs w:val="24"/>
          <w:lang w:eastAsia="sk-SK"/>
        </w:rPr>
      </w:pPr>
    </w:p>
    <w:p w14:paraId="31A83558" w14:textId="77777777" w:rsidR="00D9297E" w:rsidRPr="004E44C2" w:rsidRDefault="00D9297E" w:rsidP="006E384A">
      <w:pPr>
        <w:spacing w:after="0" w:line="240" w:lineRule="auto"/>
        <w:ind w:left="1134"/>
        <w:jc w:val="both"/>
        <w:rPr>
          <w:rFonts w:ascii="Times New Roman" w:eastAsia="Times New Roman" w:hAnsi="Times New Roman" w:cs="Times New Roman"/>
          <w:b/>
          <w:sz w:val="24"/>
          <w:szCs w:val="24"/>
          <w:lang w:eastAsia="sk-SK"/>
        </w:rPr>
      </w:pPr>
      <w:r w:rsidRPr="004E44C2">
        <w:rPr>
          <w:rFonts w:ascii="Times New Roman" w:eastAsia="Times New Roman" w:hAnsi="Times New Roman" w:cs="Times New Roman"/>
          <w:b/>
          <w:sz w:val="24"/>
          <w:szCs w:val="24"/>
          <w:lang w:eastAsia="sk-SK"/>
        </w:rPr>
        <w:t xml:space="preserve">Výrok rozhodnutia: </w:t>
      </w:r>
    </w:p>
    <w:p w14:paraId="1D1335FB" w14:textId="77777777" w:rsidR="00D9297E" w:rsidRPr="004E44C2" w:rsidRDefault="009B130A" w:rsidP="006F2597">
      <w:pPr>
        <w:spacing w:after="360" w:line="240" w:lineRule="auto"/>
        <w:ind w:left="1134"/>
        <w:jc w:val="both"/>
        <w:rPr>
          <w:rFonts w:ascii="Times New Roman" w:hAnsi="Times New Roman" w:cs="Times New Roman"/>
          <w:sz w:val="24"/>
          <w:szCs w:val="24"/>
        </w:rPr>
      </w:pPr>
      <w:r w:rsidRPr="004E44C2">
        <w:rPr>
          <w:rFonts w:ascii="Times New Roman" w:hAnsi="Times New Roman" w:cs="Times New Roman"/>
          <w:sz w:val="24"/>
          <w:szCs w:val="24"/>
        </w:rPr>
        <w:t>Vnútroštátna právna úprava, podľa ktorej členský štát na výkon činnosti poskytovania úverov v rámci podnikateľskej činnosti na jeho území spoločnosťou usadenou v</w:t>
      </w:r>
      <w:r w:rsidR="00BD614F" w:rsidRPr="004E44C2">
        <w:rPr>
          <w:rFonts w:ascii="Times New Roman" w:hAnsi="Times New Roman" w:cs="Times New Roman"/>
          <w:sz w:val="24"/>
          <w:szCs w:val="24"/>
        </w:rPr>
        <w:t> </w:t>
      </w:r>
      <w:r w:rsidRPr="004E44C2">
        <w:rPr>
          <w:rFonts w:ascii="Times New Roman" w:hAnsi="Times New Roman" w:cs="Times New Roman"/>
          <w:sz w:val="24"/>
          <w:szCs w:val="24"/>
        </w:rPr>
        <w:t>treťom</w:t>
      </w:r>
      <w:r w:rsidR="00BD614F" w:rsidRPr="004E44C2">
        <w:rPr>
          <w:rFonts w:ascii="Times New Roman" w:hAnsi="Times New Roman" w:cs="Times New Roman"/>
          <w:sz w:val="24"/>
          <w:szCs w:val="24"/>
        </w:rPr>
        <w:t xml:space="preserve"> </w:t>
      </w:r>
      <w:r w:rsidRPr="004E44C2">
        <w:rPr>
          <w:rFonts w:ascii="Times New Roman" w:hAnsi="Times New Roman" w:cs="Times New Roman"/>
          <w:sz w:val="24"/>
          <w:szCs w:val="24"/>
        </w:rPr>
        <w:t>štáte vyžaduje predchádzajúce povolenie a</w:t>
      </w:r>
      <w:r w:rsidR="00BD614F" w:rsidRPr="004E44C2">
        <w:rPr>
          <w:rFonts w:ascii="Times New Roman" w:hAnsi="Times New Roman" w:cs="Times New Roman"/>
          <w:sz w:val="24"/>
          <w:szCs w:val="24"/>
        </w:rPr>
        <w:t> </w:t>
      </w:r>
      <w:r w:rsidRPr="004E44C2">
        <w:rPr>
          <w:rFonts w:ascii="Times New Roman" w:hAnsi="Times New Roman" w:cs="Times New Roman"/>
          <w:sz w:val="24"/>
          <w:szCs w:val="24"/>
        </w:rPr>
        <w:t>podľa</w:t>
      </w:r>
      <w:r w:rsidR="00BD614F" w:rsidRPr="004E44C2">
        <w:rPr>
          <w:rFonts w:ascii="Times New Roman" w:hAnsi="Times New Roman" w:cs="Times New Roman"/>
          <w:sz w:val="24"/>
          <w:szCs w:val="24"/>
        </w:rPr>
        <w:t xml:space="preserve"> </w:t>
      </w:r>
      <w:r w:rsidRPr="004E44C2">
        <w:rPr>
          <w:rFonts w:ascii="Times New Roman" w:hAnsi="Times New Roman" w:cs="Times New Roman"/>
          <w:sz w:val="24"/>
          <w:szCs w:val="24"/>
        </w:rPr>
        <w:t>ktorej sa takéto povolenie musí zamietnuť najmä vtedy, ak uvedená spoločnosť nemá</w:t>
      </w:r>
      <w:r w:rsidR="00BD614F" w:rsidRPr="004E44C2">
        <w:rPr>
          <w:rFonts w:ascii="Times New Roman" w:hAnsi="Times New Roman" w:cs="Times New Roman"/>
          <w:sz w:val="24"/>
          <w:szCs w:val="24"/>
        </w:rPr>
        <w:t xml:space="preserve"> </w:t>
      </w:r>
      <w:r w:rsidRPr="004E44C2">
        <w:rPr>
          <w:rFonts w:ascii="Times New Roman" w:hAnsi="Times New Roman" w:cs="Times New Roman"/>
          <w:sz w:val="24"/>
          <w:szCs w:val="24"/>
        </w:rPr>
        <w:t>svoje ústredie alebo pobočku na tomto území, zasahuje prevažne do výkonu</w:t>
      </w:r>
      <w:r w:rsidR="00BD614F" w:rsidRPr="004E44C2">
        <w:rPr>
          <w:rFonts w:ascii="Times New Roman" w:hAnsi="Times New Roman" w:cs="Times New Roman"/>
          <w:sz w:val="24"/>
          <w:szCs w:val="24"/>
        </w:rPr>
        <w:t xml:space="preserve"> </w:t>
      </w:r>
      <w:r w:rsidRPr="004E44C2">
        <w:rPr>
          <w:rFonts w:ascii="Times New Roman" w:hAnsi="Times New Roman" w:cs="Times New Roman"/>
          <w:sz w:val="24"/>
          <w:szCs w:val="24"/>
        </w:rPr>
        <w:t>slobodného poskytovania služieb v zmysle článku 49 a</w:t>
      </w:r>
      <w:r w:rsidR="00BD614F" w:rsidRPr="004E44C2">
        <w:rPr>
          <w:rFonts w:ascii="Times New Roman" w:hAnsi="Times New Roman" w:cs="Times New Roman"/>
          <w:sz w:val="24"/>
          <w:szCs w:val="24"/>
        </w:rPr>
        <w:t> </w:t>
      </w:r>
      <w:r w:rsidRPr="004E44C2">
        <w:rPr>
          <w:rFonts w:ascii="Times New Roman" w:hAnsi="Times New Roman" w:cs="Times New Roman"/>
          <w:sz w:val="24"/>
          <w:szCs w:val="24"/>
        </w:rPr>
        <w:t>nasl. ES. Spoločnosť</w:t>
      </w:r>
      <w:r w:rsidR="00BD614F" w:rsidRPr="004E44C2">
        <w:rPr>
          <w:rFonts w:ascii="Times New Roman" w:hAnsi="Times New Roman" w:cs="Times New Roman"/>
          <w:sz w:val="24"/>
          <w:szCs w:val="24"/>
        </w:rPr>
        <w:t xml:space="preserve"> </w:t>
      </w:r>
      <w:r w:rsidRPr="004E44C2">
        <w:rPr>
          <w:rFonts w:ascii="Times New Roman" w:hAnsi="Times New Roman" w:cs="Times New Roman"/>
          <w:sz w:val="24"/>
          <w:szCs w:val="24"/>
        </w:rPr>
        <w:t>usadená v</w:t>
      </w:r>
      <w:r w:rsidR="00BD614F" w:rsidRPr="004E44C2">
        <w:rPr>
          <w:rFonts w:ascii="Times New Roman" w:hAnsi="Times New Roman" w:cs="Times New Roman"/>
          <w:sz w:val="24"/>
          <w:szCs w:val="24"/>
        </w:rPr>
        <w:t> </w:t>
      </w:r>
      <w:r w:rsidRPr="004E44C2">
        <w:rPr>
          <w:rFonts w:ascii="Times New Roman" w:hAnsi="Times New Roman" w:cs="Times New Roman"/>
          <w:sz w:val="24"/>
          <w:szCs w:val="24"/>
        </w:rPr>
        <w:t>treťom</w:t>
      </w:r>
      <w:r w:rsidR="00BD614F" w:rsidRPr="004E44C2">
        <w:rPr>
          <w:rFonts w:ascii="Times New Roman" w:hAnsi="Times New Roman" w:cs="Times New Roman"/>
          <w:sz w:val="24"/>
          <w:szCs w:val="24"/>
        </w:rPr>
        <w:t xml:space="preserve"> </w:t>
      </w:r>
      <w:r w:rsidRPr="004E44C2">
        <w:rPr>
          <w:rFonts w:ascii="Times New Roman" w:hAnsi="Times New Roman" w:cs="Times New Roman"/>
          <w:sz w:val="24"/>
          <w:szCs w:val="24"/>
        </w:rPr>
        <w:t>štáte sa nemôže odvolávať na tieto ustanovenia.  </w:t>
      </w:r>
    </w:p>
    <w:p w14:paraId="050A9CD4" w14:textId="77777777" w:rsidR="003A68BE" w:rsidRPr="004E44C2" w:rsidRDefault="008545C6" w:rsidP="00703A5A">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rozsudok</w:t>
      </w:r>
      <w:r w:rsidRPr="004E44C2">
        <w:rPr>
          <w:rFonts w:ascii="Times New Roman" w:eastAsia="Times New Roman" w:hAnsi="Times New Roman" w:cs="Times New Roman"/>
          <w:spacing w:val="7"/>
          <w:sz w:val="24"/>
          <w:szCs w:val="24"/>
          <w:lang w:eastAsia="sk-SK"/>
        </w:rPr>
        <w:t xml:space="preserve"> </w:t>
      </w:r>
      <w:r w:rsidRPr="004E44C2">
        <w:rPr>
          <w:rFonts w:ascii="Times New Roman" w:eastAsia="Times New Roman" w:hAnsi="Times New Roman" w:cs="Times New Roman"/>
          <w:sz w:val="24"/>
          <w:szCs w:val="24"/>
          <w:lang w:eastAsia="sk-SK"/>
        </w:rPr>
        <w:t>Súdneho</w:t>
      </w:r>
      <w:r w:rsidRPr="004E44C2">
        <w:rPr>
          <w:rFonts w:ascii="Times New Roman" w:eastAsia="Times New Roman" w:hAnsi="Times New Roman" w:cs="Times New Roman"/>
          <w:spacing w:val="7"/>
          <w:sz w:val="24"/>
          <w:szCs w:val="24"/>
          <w:lang w:eastAsia="sk-SK"/>
        </w:rPr>
        <w:t xml:space="preserve"> </w:t>
      </w:r>
      <w:r w:rsidRPr="004E44C2">
        <w:rPr>
          <w:rFonts w:ascii="Times New Roman" w:eastAsia="Times New Roman" w:hAnsi="Times New Roman" w:cs="Times New Roman"/>
          <w:sz w:val="24"/>
          <w:szCs w:val="24"/>
          <w:lang w:eastAsia="sk-SK"/>
        </w:rPr>
        <w:t>dvora</w:t>
      </w:r>
      <w:r w:rsidRPr="004E44C2">
        <w:rPr>
          <w:rFonts w:ascii="Times New Roman" w:eastAsia="Times New Roman" w:hAnsi="Times New Roman" w:cs="Times New Roman"/>
          <w:spacing w:val="7"/>
          <w:sz w:val="24"/>
          <w:szCs w:val="24"/>
          <w:lang w:eastAsia="sk-SK"/>
        </w:rPr>
        <w:t xml:space="preserve"> </w:t>
      </w:r>
      <w:r w:rsidRPr="004E44C2">
        <w:rPr>
          <w:rFonts w:ascii="Times New Roman" w:eastAsia="Times New Roman" w:hAnsi="Times New Roman" w:cs="Times New Roman"/>
          <w:sz w:val="24"/>
          <w:szCs w:val="24"/>
          <w:lang w:eastAsia="sk-SK"/>
        </w:rPr>
        <w:t>vo</w:t>
      </w:r>
      <w:r w:rsidRPr="004E44C2">
        <w:rPr>
          <w:rFonts w:ascii="Times New Roman" w:eastAsia="Times New Roman" w:hAnsi="Times New Roman" w:cs="Times New Roman"/>
          <w:spacing w:val="7"/>
          <w:sz w:val="24"/>
          <w:szCs w:val="24"/>
          <w:lang w:eastAsia="sk-SK"/>
        </w:rPr>
        <w:t xml:space="preserve"> </w:t>
      </w:r>
      <w:r w:rsidRPr="004E44C2">
        <w:rPr>
          <w:rFonts w:ascii="Times New Roman" w:eastAsia="Times New Roman" w:hAnsi="Times New Roman" w:cs="Times New Roman"/>
          <w:sz w:val="24"/>
          <w:szCs w:val="24"/>
          <w:lang w:eastAsia="sk-SK"/>
        </w:rPr>
        <w:t>veci</w:t>
      </w:r>
      <w:r w:rsidRPr="004E44C2">
        <w:rPr>
          <w:rFonts w:ascii="Times New Roman" w:eastAsia="Times New Roman" w:hAnsi="Times New Roman" w:cs="Times New Roman"/>
          <w:spacing w:val="7"/>
          <w:sz w:val="24"/>
          <w:szCs w:val="24"/>
          <w:lang w:eastAsia="sk-SK"/>
        </w:rPr>
        <w:t xml:space="preserve"> </w:t>
      </w:r>
      <w:r w:rsidR="009B130A" w:rsidRPr="004E44C2">
        <w:rPr>
          <w:rFonts w:ascii="Times New Roman" w:hAnsi="Times New Roman" w:cs="Times New Roman"/>
          <w:sz w:val="24"/>
          <w:szCs w:val="24"/>
        </w:rPr>
        <w:t>C</w:t>
      </w:r>
      <w:r w:rsidR="009B130A" w:rsidRPr="004E44C2">
        <w:rPr>
          <w:rFonts w:ascii="Times New Roman" w:hAnsi="Times New Roman" w:cs="Times New Roman"/>
          <w:sz w:val="24"/>
          <w:szCs w:val="24"/>
        </w:rPr>
        <w:noBreakHyphen/>
        <w:t>52/17</w:t>
      </w:r>
      <w:r w:rsidR="009B130A" w:rsidRPr="004E44C2">
        <w:rPr>
          <w:rFonts w:ascii="Times New Roman" w:eastAsia="Times New Roman" w:hAnsi="Times New Roman" w:cs="Times New Roman"/>
          <w:sz w:val="24"/>
          <w:szCs w:val="24"/>
          <w:lang w:eastAsia="sk-SK"/>
        </w:rPr>
        <w:t>,</w:t>
      </w:r>
      <w:r w:rsidRPr="004E44C2">
        <w:rPr>
          <w:rFonts w:ascii="Times New Roman" w:eastAsia="Times New Roman" w:hAnsi="Times New Roman" w:cs="Times New Roman"/>
          <w:spacing w:val="7"/>
          <w:sz w:val="24"/>
          <w:szCs w:val="24"/>
          <w:lang w:eastAsia="sk-SK"/>
        </w:rPr>
        <w:t xml:space="preserve"> </w:t>
      </w:r>
      <w:r w:rsidR="009B130A" w:rsidRPr="004E44C2">
        <w:rPr>
          <w:rFonts w:ascii="Times New Roman" w:hAnsi="Times New Roman" w:cs="Times New Roman"/>
          <w:bCs/>
          <w:sz w:val="24"/>
          <w:szCs w:val="24"/>
        </w:rPr>
        <w:t xml:space="preserve">VTB Bank (Austria) AG </w:t>
      </w:r>
      <w:r w:rsidRPr="004E44C2">
        <w:rPr>
          <w:rFonts w:ascii="Times New Roman" w:eastAsia="Times New Roman" w:hAnsi="Times New Roman" w:cs="Times New Roman"/>
          <w:sz w:val="24"/>
          <w:szCs w:val="24"/>
          <w:lang w:eastAsia="sk-SK"/>
        </w:rPr>
        <w:t>proti</w:t>
      </w:r>
      <w:r w:rsidRPr="004E44C2">
        <w:rPr>
          <w:rFonts w:ascii="Times New Roman" w:eastAsia="Times New Roman" w:hAnsi="Times New Roman" w:cs="Times New Roman"/>
          <w:spacing w:val="7"/>
          <w:sz w:val="24"/>
          <w:szCs w:val="24"/>
          <w:lang w:eastAsia="sk-SK"/>
        </w:rPr>
        <w:t xml:space="preserve"> </w:t>
      </w:r>
      <w:r w:rsidR="009B130A" w:rsidRPr="004E44C2">
        <w:rPr>
          <w:rFonts w:ascii="Times New Roman" w:hAnsi="Times New Roman" w:cs="Times New Roman"/>
          <w:bCs/>
          <w:sz w:val="24"/>
          <w:szCs w:val="24"/>
        </w:rPr>
        <w:t>Finanzmarktaufsichtsbehörd</w:t>
      </w:r>
      <w:r w:rsidR="009B130A" w:rsidRPr="004E44C2">
        <w:rPr>
          <w:rFonts w:ascii="Times New Roman" w:eastAsia="Times New Roman" w:hAnsi="Times New Roman" w:cs="Times New Roman"/>
          <w:sz w:val="24"/>
          <w:szCs w:val="24"/>
          <w:lang w:eastAsia="sk-SK"/>
        </w:rPr>
        <w:t>e, [201</w:t>
      </w:r>
      <w:r w:rsidRPr="004E44C2">
        <w:rPr>
          <w:rFonts w:ascii="Times New Roman" w:eastAsia="Times New Roman" w:hAnsi="Times New Roman" w:cs="Times New Roman"/>
          <w:sz w:val="24"/>
          <w:szCs w:val="24"/>
          <w:lang w:eastAsia="sk-SK"/>
        </w:rPr>
        <w:t>8].</w:t>
      </w:r>
    </w:p>
    <w:p w14:paraId="032F1ECD" w14:textId="77777777" w:rsidR="009B130A" w:rsidRPr="004E44C2" w:rsidRDefault="009B130A" w:rsidP="009B130A">
      <w:pPr>
        <w:spacing w:after="0" w:line="240" w:lineRule="auto"/>
        <w:ind w:left="708"/>
        <w:jc w:val="both"/>
        <w:rPr>
          <w:rFonts w:ascii="Times New Roman" w:eastAsia="Times New Roman" w:hAnsi="Times New Roman" w:cs="Times New Roman"/>
          <w:b/>
          <w:sz w:val="24"/>
          <w:szCs w:val="24"/>
          <w:lang w:eastAsia="sk-SK"/>
        </w:rPr>
      </w:pPr>
    </w:p>
    <w:p w14:paraId="41BD5146" w14:textId="77777777" w:rsidR="009B130A" w:rsidRPr="004E44C2" w:rsidRDefault="009B130A" w:rsidP="006E384A">
      <w:pPr>
        <w:spacing w:after="0" w:line="240" w:lineRule="auto"/>
        <w:ind w:left="1134"/>
        <w:jc w:val="both"/>
        <w:rPr>
          <w:rFonts w:ascii="Times New Roman" w:eastAsia="Times New Roman" w:hAnsi="Times New Roman" w:cs="Times New Roman"/>
          <w:b/>
          <w:sz w:val="24"/>
          <w:szCs w:val="24"/>
          <w:lang w:eastAsia="sk-SK"/>
        </w:rPr>
      </w:pPr>
      <w:r w:rsidRPr="004E44C2">
        <w:rPr>
          <w:rFonts w:ascii="Times New Roman" w:eastAsia="Times New Roman" w:hAnsi="Times New Roman" w:cs="Times New Roman"/>
          <w:b/>
          <w:sz w:val="24"/>
          <w:szCs w:val="24"/>
          <w:lang w:eastAsia="sk-SK"/>
        </w:rPr>
        <w:t xml:space="preserve">Výrok rozhodnutia: </w:t>
      </w:r>
    </w:p>
    <w:p w14:paraId="16E3CA1E" w14:textId="77777777" w:rsidR="009B130A" w:rsidRPr="004E44C2" w:rsidRDefault="009B130A" w:rsidP="006F2597">
      <w:pPr>
        <w:pStyle w:val="gmail-c08dispositif"/>
        <w:spacing w:beforeAutospacing="0" w:after="240" w:afterAutospacing="0"/>
        <w:ind w:left="1134"/>
        <w:jc w:val="both"/>
        <w:rPr>
          <w:bCs/>
        </w:rPr>
      </w:pPr>
      <w:r w:rsidRPr="004E44C2">
        <w:rPr>
          <w:bCs/>
        </w:rPr>
        <w:t>1. Článok 64 a článok 65 ods. 1 smernice Európskeho parlamentu a Rady </w:t>
      </w:r>
      <w:bookmarkStart w:id="1" w:name="ctx23"/>
      <w:r w:rsidRPr="004E44C2">
        <w:rPr>
          <w:bCs/>
        </w:rPr>
        <w:t>2013/36</w:t>
      </w:r>
      <w:bookmarkEnd w:id="1"/>
      <w:r w:rsidRPr="004E44C2">
        <w:rPr>
          <w:bCs/>
        </w:rPr>
        <w:t xml:space="preserve">/EÚ z 26. júna 2013 o prístupe k činnosti úverových inštitúcií a prudenciálnom dohľade nad úverovými inštitúciami a investičnými spoločnosťami, o zmene smernice 2002/87/ES a o zrušení smerníc 2006/48/ES </w:t>
      </w:r>
      <w:r w:rsidRPr="004E44C2">
        <w:rPr>
          <w:bCs/>
        </w:rPr>
        <w:lastRenderedPageBreak/>
        <w:t>a 2006/49/ES, ako aj článok 395 ods. 1 a 5 nariadenia Európskeho parlamentu a Rady (EÚ) č. 575/2013 z 26. júna 2013 o prudenciálnych požiadavkách na úverové inštitúcie a investičné spoločnosti a o zmene nariadenia (EÚ) č. 648/2012, sa majú vykladať v tom zmysle, že bránia vnútroštátnej právnej úprave, podľa ktorej sa v prípade prekročenia limitov expozície stanovených v článku 395 ods. 1 nariadenia č. 575/2013 úverovej inštitúcii automaticky ukladajú zrážkové úroky, hoci táto inštitúcia spĺňa podmienky stanovené v článku 395 ods. 5 tohto nariadenia, ktoré jej umožňujú prekročiť uvedené limity.</w:t>
      </w:r>
    </w:p>
    <w:p w14:paraId="3BCDA9A8" w14:textId="26A973AE" w:rsidR="009B130A" w:rsidRPr="004E44C2" w:rsidRDefault="009B130A" w:rsidP="006F2597">
      <w:pPr>
        <w:pStyle w:val="gmail-c02alineaalta"/>
        <w:spacing w:before="0" w:beforeAutospacing="0" w:after="480" w:afterAutospacing="0"/>
        <w:ind w:left="1134"/>
        <w:jc w:val="both"/>
      </w:pPr>
      <w:r w:rsidRPr="004E44C2">
        <w:rPr>
          <w:bCs/>
        </w:rPr>
        <w:t>2.</w:t>
      </w:r>
      <w:r w:rsidR="000A25FD" w:rsidRPr="004E44C2">
        <w:rPr>
          <w:bCs/>
        </w:rPr>
        <w:t xml:space="preserve"> </w:t>
      </w:r>
      <w:r w:rsidRPr="004E44C2">
        <w:rPr>
          <w:bCs/>
        </w:rPr>
        <w:t>Článok 48 ods. 3 nariadenia Európskej centrálnej banky (EÚ) č. 468/2014 zo 16. apríla 2014 o rámci pre spoluprácu v rámci jednotného mechanizmu dohľadu medzi Európskou centrálnou bankou, príslušnými vnútroštátnymi orgánmi a určenými vnútroštátnymi orgánmi (nariadenie o rámci JMD) sa má vykladať v tom zmysle, že v zmysle tohto ustanovenia nemožno postup vo veci dohľadu považovať za formálne začatý, ani keď úverová inštitúcia oznámi vnútroštátnemu orgánu dohľadu prekročenie limitov stanovených v článku 395 ods. 1 nariadenia č. 575/2013, ani keď tento orgán už prijal rozhodnutie v paralelnom konaní týkajúcom sa podobných porušení.</w:t>
      </w:r>
    </w:p>
    <w:p w14:paraId="5BF253D1" w14:textId="77777777" w:rsidR="009B130A" w:rsidRPr="004E44C2" w:rsidRDefault="009B130A" w:rsidP="009B130A">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rozsudok</w:t>
      </w:r>
      <w:r w:rsidRPr="004E44C2">
        <w:rPr>
          <w:rFonts w:ascii="Times New Roman" w:eastAsia="Times New Roman" w:hAnsi="Times New Roman" w:cs="Times New Roman"/>
          <w:spacing w:val="7"/>
          <w:sz w:val="24"/>
          <w:szCs w:val="24"/>
          <w:lang w:eastAsia="sk-SK"/>
        </w:rPr>
        <w:t xml:space="preserve"> </w:t>
      </w:r>
      <w:r w:rsidRPr="004E44C2">
        <w:rPr>
          <w:rFonts w:ascii="Times New Roman" w:eastAsia="Times New Roman" w:hAnsi="Times New Roman" w:cs="Times New Roman"/>
          <w:sz w:val="24"/>
          <w:szCs w:val="24"/>
          <w:lang w:eastAsia="sk-SK"/>
        </w:rPr>
        <w:t>Súdneho</w:t>
      </w:r>
      <w:r w:rsidRPr="004E44C2">
        <w:rPr>
          <w:rFonts w:ascii="Times New Roman" w:eastAsia="Times New Roman" w:hAnsi="Times New Roman" w:cs="Times New Roman"/>
          <w:spacing w:val="7"/>
          <w:sz w:val="24"/>
          <w:szCs w:val="24"/>
          <w:lang w:eastAsia="sk-SK"/>
        </w:rPr>
        <w:t xml:space="preserve"> </w:t>
      </w:r>
      <w:r w:rsidRPr="004E44C2">
        <w:rPr>
          <w:rFonts w:ascii="Times New Roman" w:eastAsia="Times New Roman" w:hAnsi="Times New Roman" w:cs="Times New Roman"/>
          <w:sz w:val="24"/>
          <w:szCs w:val="24"/>
          <w:lang w:eastAsia="sk-SK"/>
        </w:rPr>
        <w:t>dvora</w:t>
      </w:r>
      <w:r w:rsidRPr="004E44C2">
        <w:rPr>
          <w:rFonts w:ascii="Times New Roman" w:eastAsia="Times New Roman" w:hAnsi="Times New Roman" w:cs="Times New Roman"/>
          <w:spacing w:val="7"/>
          <w:sz w:val="24"/>
          <w:szCs w:val="24"/>
          <w:lang w:eastAsia="sk-SK"/>
        </w:rPr>
        <w:t xml:space="preserve"> </w:t>
      </w:r>
      <w:r w:rsidRPr="004E44C2">
        <w:rPr>
          <w:rFonts w:ascii="Times New Roman" w:eastAsia="Times New Roman" w:hAnsi="Times New Roman" w:cs="Times New Roman"/>
          <w:sz w:val="24"/>
          <w:szCs w:val="24"/>
          <w:lang w:eastAsia="sk-SK"/>
        </w:rPr>
        <w:t>vo</w:t>
      </w:r>
      <w:r w:rsidRPr="004E44C2">
        <w:rPr>
          <w:rFonts w:ascii="Times New Roman" w:eastAsia="Times New Roman" w:hAnsi="Times New Roman" w:cs="Times New Roman"/>
          <w:spacing w:val="7"/>
          <w:sz w:val="24"/>
          <w:szCs w:val="24"/>
          <w:lang w:eastAsia="sk-SK"/>
        </w:rPr>
        <w:t xml:space="preserve"> </w:t>
      </w:r>
      <w:r w:rsidRPr="004E44C2">
        <w:rPr>
          <w:rFonts w:ascii="Times New Roman" w:eastAsia="Times New Roman" w:hAnsi="Times New Roman" w:cs="Times New Roman"/>
          <w:sz w:val="24"/>
          <w:szCs w:val="24"/>
          <w:lang w:eastAsia="sk-SK"/>
        </w:rPr>
        <w:t>veci</w:t>
      </w:r>
      <w:r w:rsidRPr="004E44C2">
        <w:rPr>
          <w:rFonts w:ascii="Times New Roman" w:eastAsia="Times New Roman" w:hAnsi="Times New Roman" w:cs="Times New Roman"/>
          <w:spacing w:val="7"/>
          <w:sz w:val="24"/>
          <w:szCs w:val="24"/>
          <w:lang w:eastAsia="sk-SK"/>
        </w:rPr>
        <w:t xml:space="preserve"> </w:t>
      </w:r>
      <w:r w:rsidRPr="004E44C2">
        <w:rPr>
          <w:rFonts w:ascii="Times New Roman" w:hAnsi="Times New Roman" w:cs="Times New Roman"/>
          <w:sz w:val="24"/>
          <w:szCs w:val="24"/>
        </w:rPr>
        <w:t>C</w:t>
      </w:r>
      <w:r w:rsidRPr="004E44C2">
        <w:rPr>
          <w:rFonts w:ascii="Times New Roman" w:hAnsi="Times New Roman" w:cs="Times New Roman"/>
          <w:sz w:val="24"/>
          <w:szCs w:val="24"/>
        </w:rPr>
        <w:noBreakHyphen/>
        <w:t>594/16</w:t>
      </w:r>
      <w:r w:rsidRPr="004E44C2">
        <w:rPr>
          <w:rFonts w:ascii="Times New Roman" w:eastAsia="Times New Roman" w:hAnsi="Times New Roman" w:cs="Times New Roman"/>
          <w:sz w:val="24"/>
          <w:szCs w:val="24"/>
          <w:lang w:eastAsia="sk-SK"/>
        </w:rPr>
        <w:t>,</w:t>
      </w:r>
      <w:r w:rsidRPr="004E44C2">
        <w:rPr>
          <w:rFonts w:ascii="Times New Roman" w:eastAsia="Times New Roman" w:hAnsi="Times New Roman" w:cs="Times New Roman"/>
          <w:spacing w:val="7"/>
          <w:sz w:val="24"/>
          <w:szCs w:val="24"/>
          <w:lang w:eastAsia="sk-SK"/>
        </w:rPr>
        <w:t xml:space="preserve"> </w:t>
      </w:r>
      <w:r w:rsidRPr="004E44C2">
        <w:rPr>
          <w:rFonts w:ascii="Times New Roman" w:hAnsi="Times New Roman" w:cs="Times New Roman"/>
          <w:bCs/>
          <w:sz w:val="24"/>
          <w:szCs w:val="24"/>
        </w:rPr>
        <w:t xml:space="preserve">Enzo Buccioni </w:t>
      </w:r>
      <w:r w:rsidRPr="004E44C2">
        <w:rPr>
          <w:rFonts w:ascii="Times New Roman" w:eastAsia="Times New Roman" w:hAnsi="Times New Roman" w:cs="Times New Roman"/>
          <w:sz w:val="24"/>
          <w:szCs w:val="24"/>
          <w:lang w:eastAsia="sk-SK"/>
        </w:rPr>
        <w:t>proti</w:t>
      </w:r>
      <w:r w:rsidRPr="004E44C2">
        <w:rPr>
          <w:rFonts w:ascii="Times New Roman" w:eastAsia="Times New Roman" w:hAnsi="Times New Roman" w:cs="Times New Roman"/>
          <w:spacing w:val="7"/>
          <w:sz w:val="24"/>
          <w:szCs w:val="24"/>
          <w:lang w:eastAsia="sk-SK"/>
        </w:rPr>
        <w:t xml:space="preserve"> </w:t>
      </w:r>
      <w:r w:rsidRPr="004E44C2">
        <w:rPr>
          <w:rFonts w:ascii="Times New Roman" w:hAnsi="Times New Roman" w:cs="Times New Roman"/>
          <w:bCs/>
          <w:sz w:val="24"/>
          <w:szCs w:val="24"/>
        </w:rPr>
        <w:t>Banca d’Italia za účasti Banca Network Investimenti SpA</w:t>
      </w:r>
      <w:r w:rsidRPr="004E44C2">
        <w:rPr>
          <w:rFonts w:ascii="Times New Roman" w:eastAsia="Times New Roman" w:hAnsi="Times New Roman" w:cs="Times New Roman"/>
          <w:sz w:val="24"/>
          <w:szCs w:val="24"/>
          <w:lang w:eastAsia="sk-SK"/>
        </w:rPr>
        <w:t>, [2018].</w:t>
      </w:r>
    </w:p>
    <w:p w14:paraId="7A866532" w14:textId="77777777" w:rsidR="009B130A" w:rsidRPr="004E44C2" w:rsidRDefault="009B130A" w:rsidP="009B130A">
      <w:pPr>
        <w:spacing w:after="0" w:line="240" w:lineRule="auto"/>
        <w:jc w:val="both"/>
        <w:rPr>
          <w:rFonts w:ascii="Times New Roman" w:eastAsia="Times New Roman" w:hAnsi="Times New Roman" w:cs="Times New Roman"/>
          <w:sz w:val="24"/>
          <w:szCs w:val="24"/>
          <w:lang w:eastAsia="sk-SK"/>
        </w:rPr>
      </w:pPr>
    </w:p>
    <w:p w14:paraId="10E51B10" w14:textId="77777777" w:rsidR="009B130A" w:rsidRPr="004E44C2" w:rsidRDefault="009B130A" w:rsidP="006E384A">
      <w:pPr>
        <w:spacing w:after="0" w:line="240" w:lineRule="auto"/>
        <w:ind w:left="1134"/>
        <w:jc w:val="both"/>
        <w:rPr>
          <w:rFonts w:ascii="Times New Roman" w:eastAsia="Times New Roman" w:hAnsi="Times New Roman" w:cs="Times New Roman"/>
          <w:b/>
          <w:sz w:val="24"/>
          <w:szCs w:val="24"/>
          <w:lang w:eastAsia="sk-SK"/>
        </w:rPr>
      </w:pPr>
      <w:r w:rsidRPr="004E44C2">
        <w:rPr>
          <w:rFonts w:ascii="Times New Roman" w:eastAsia="Times New Roman" w:hAnsi="Times New Roman" w:cs="Times New Roman"/>
          <w:b/>
          <w:sz w:val="24"/>
          <w:szCs w:val="24"/>
          <w:lang w:eastAsia="sk-SK"/>
        </w:rPr>
        <w:t xml:space="preserve">Výrok rozhodnutia: </w:t>
      </w:r>
    </w:p>
    <w:p w14:paraId="404BFDDE" w14:textId="77777777" w:rsidR="009B130A" w:rsidRPr="004E44C2" w:rsidRDefault="009B130A" w:rsidP="006F2597">
      <w:pPr>
        <w:spacing w:line="240" w:lineRule="auto"/>
        <w:ind w:left="1134"/>
        <w:jc w:val="both"/>
        <w:rPr>
          <w:rFonts w:ascii="Times New Roman" w:hAnsi="Times New Roman" w:cs="Times New Roman"/>
          <w:sz w:val="24"/>
          <w:szCs w:val="24"/>
        </w:rPr>
      </w:pPr>
      <w:r w:rsidRPr="004E44C2">
        <w:rPr>
          <w:rFonts w:ascii="Times New Roman" w:hAnsi="Times New Roman" w:cs="Times New Roman"/>
          <w:bCs/>
          <w:sz w:val="24"/>
          <w:szCs w:val="24"/>
        </w:rPr>
        <w:t>Článok 53 ods. 1 smernice Európskeho parlamentu a Rady </w:t>
      </w:r>
      <w:bookmarkStart w:id="2" w:name="ctx21"/>
      <w:r w:rsidRPr="004E44C2">
        <w:rPr>
          <w:rFonts w:ascii="Times New Roman" w:hAnsi="Times New Roman" w:cs="Times New Roman"/>
          <w:bCs/>
          <w:sz w:val="24"/>
          <w:szCs w:val="24"/>
        </w:rPr>
        <w:t>2013/36</w:t>
      </w:r>
      <w:bookmarkEnd w:id="2"/>
      <w:r w:rsidRPr="004E44C2">
        <w:rPr>
          <w:rFonts w:ascii="Times New Roman" w:hAnsi="Times New Roman" w:cs="Times New Roman"/>
          <w:bCs/>
          <w:sz w:val="24"/>
          <w:szCs w:val="24"/>
        </w:rPr>
        <w:t>/EÚ z 26. júna 2013 o prístupe k činnosti úverových inštitúcií a prudenciálnom dohľade nad úverovými inštitúciami a investičnými spoločnosťami, o zmene smernice 2002/87/ES a o zrušení smerníc 2006/48/ES a 2006/49/ES, sa má vykladať v tom zmysle, že nebráni tomu, aby príslušné orgány členských štátov sprístupnili dôverné informácie osobe, ktorá o ne požiada, na účely začatia občianskoprávneho alebo obchodného súdneho konania zameraného na ochranu majetkových záujmov, ktoré mali byť poškodené v dôsledku začatia nútenej likvidácie úverovej inštitúcie. Žiadosť o sprístupnenie informácií sa však musí vzťahovať na informácie, v súvislosti s ktorými žiadateľ predložil presné a súhlasné indície nasvedčujúce tomu, že uvedené informácie sa ukazujú ako relevantné na účely občianskoprávneho alebo obchodného súdneho konania, ktorého predmet musí byť žiadateľom presne identifikovaný, pričom predmetné informácie sa nesmú použiť mimo takého konania. Príslušným orgánom a súdom prináleží, aby pred sprístupnením každej z požadovaných dôverných informácií zaručili rovnováhu medzi záujmom žiadateľa na disponovanie dotknutými informáciami a záujmami súvisiacimi so zachovaním dôvernosti informácií, na ktoré sa vzťahuje povinnosť zachovávať služobné tajomstvo.</w:t>
      </w:r>
      <w:r w:rsidRPr="004E44C2">
        <w:rPr>
          <w:rFonts w:ascii="Times New Roman" w:hAnsi="Times New Roman" w:cs="Times New Roman"/>
          <w:sz w:val="24"/>
          <w:szCs w:val="24"/>
        </w:rPr>
        <w:t>  </w:t>
      </w:r>
    </w:p>
    <w:p w14:paraId="5CD49B0D" w14:textId="77777777" w:rsidR="002119D1" w:rsidRPr="004E44C2" w:rsidRDefault="002119D1" w:rsidP="006F2597">
      <w:pPr>
        <w:spacing w:line="240" w:lineRule="auto"/>
        <w:ind w:left="1134"/>
        <w:jc w:val="both"/>
        <w:rPr>
          <w:rFonts w:ascii="Times New Roman" w:hAnsi="Times New Roman" w:cs="Times New Roman"/>
          <w:sz w:val="24"/>
          <w:szCs w:val="24"/>
        </w:rPr>
      </w:pPr>
    </w:p>
    <w:p w14:paraId="3E570B4F" w14:textId="77777777" w:rsidR="008545C6" w:rsidRPr="004E44C2" w:rsidRDefault="008545C6" w:rsidP="008545C6">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4E44C2">
        <w:rPr>
          <w:rFonts w:ascii="Times New Roman" w:eastAsia="Times New Roman" w:hAnsi="Times New Roman" w:cs="Times New Roman"/>
          <w:b/>
          <w:bCs/>
          <w:sz w:val="24"/>
          <w:szCs w:val="24"/>
          <w:lang w:eastAsia="sk-SK"/>
        </w:rPr>
        <w:t>Záväzky Slovenskej republiky vo vzťahu k Európskej únii:</w:t>
      </w:r>
    </w:p>
    <w:p w14:paraId="2C59B17D" w14:textId="77777777" w:rsidR="00703A5A" w:rsidRDefault="00EE3B2A" w:rsidP="00EE3B2A">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Lehota</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na</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prebratie</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smernice</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2019/878 je</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stanovená</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do</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28. decembra 2020</w:t>
      </w:r>
      <w:r w:rsidR="00703A5A" w:rsidRPr="004E44C2">
        <w:rPr>
          <w:rFonts w:ascii="Times New Roman" w:eastAsia="Times New Roman" w:hAnsi="Times New Roman" w:cs="Times New Roman"/>
          <w:sz w:val="24"/>
          <w:szCs w:val="24"/>
          <w:lang w:eastAsia="sk-SK"/>
        </w:rPr>
        <w:t xml:space="preserve"> s výnimkou niektorých </w:t>
      </w:r>
      <w:r w:rsidR="006419F9" w:rsidRPr="004E44C2">
        <w:rPr>
          <w:rFonts w:ascii="Times New Roman" w:eastAsia="Times New Roman" w:hAnsi="Times New Roman" w:cs="Times New Roman"/>
          <w:sz w:val="24"/>
          <w:szCs w:val="24"/>
          <w:lang w:eastAsia="sk-SK"/>
        </w:rPr>
        <w:t>bodov v článku 1</w:t>
      </w:r>
      <w:r w:rsidR="00703A5A" w:rsidRPr="004E44C2">
        <w:rPr>
          <w:rFonts w:ascii="Times New Roman" w:eastAsia="Times New Roman" w:hAnsi="Times New Roman" w:cs="Times New Roman"/>
          <w:sz w:val="24"/>
          <w:szCs w:val="24"/>
          <w:lang w:eastAsia="sk-SK"/>
        </w:rPr>
        <w:t>.</w:t>
      </w:r>
    </w:p>
    <w:p w14:paraId="227AA321" w14:textId="1F107217" w:rsidR="00383198" w:rsidRPr="004E44C2" w:rsidRDefault="00383198" w:rsidP="00383198">
      <w:pPr>
        <w:pStyle w:val="Odsekzoznamu"/>
        <w:spacing w:after="0" w:line="240" w:lineRule="auto"/>
        <w:jc w:val="both"/>
        <w:rPr>
          <w:rFonts w:ascii="Times New Roman" w:eastAsia="Times New Roman" w:hAnsi="Times New Roman" w:cs="Times New Roman"/>
          <w:sz w:val="24"/>
          <w:szCs w:val="24"/>
          <w:lang w:eastAsia="sk-SK"/>
        </w:rPr>
      </w:pPr>
      <w:r w:rsidRPr="00383198">
        <w:rPr>
          <w:rFonts w:ascii="Times New Roman" w:eastAsia="Times New Roman" w:hAnsi="Times New Roman" w:cs="Times New Roman"/>
          <w:sz w:val="24"/>
          <w:szCs w:val="24"/>
          <w:lang w:eastAsia="sk-SK"/>
        </w:rPr>
        <w:t>Lehota na prebratie článku 2 smernice 2019/879 je stanovená do 28. decembra 2020.</w:t>
      </w:r>
    </w:p>
    <w:p w14:paraId="75EBE872" w14:textId="141EF0AC" w:rsidR="008077B4" w:rsidRPr="004E44C2" w:rsidRDefault="00703A5A" w:rsidP="008077B4">
      <w:pPr>
        <w:pStyle w:val="Odsekzoznamu"/>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Lehota</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na</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prebratie</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smernice</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2019/2034 je</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stanovená</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do</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26. júna 2021</w:t>
      </w:r>
      <w:r w:rsidR="007B44D4" w:rsidRPr="004E44C2">
        <w:rPr>
          <w:rFonts w:ascii="Times New Roman" w:eastAsia="Times New Roman" w:hAnsi="Times New Roman" w:cs="Times New Roman"/>
          <w:sz w:val="24"/>
          <w:szCs w:val="24"/>
          <w:lang w:eastAsia="sk-SK"/>
        </w:rPr>
        <w:t xml:space="preserve"> s výnimkou </w:t>
      </w:r>
      <w:r w:rsidR="0037035C" w:rsidRPr="004E44C2">
        <w:rPr>
          <w:rFonts w:ascii="Times New Roman" w:eastAsia="Times New Roman" w:hAnsi="Times New Roman" w:cs="Times New Roman"/>
          <w:sz w:val="24"/>
          <w:szCs w:val="24"/>
          <w:lang w:eastAsia="sk-SK"/>
        </w:rPr>
        <w:t xml:space="preserve"> </w:t>
      </w:r>
      <w:r w:rsidR="008077B4" w:rsidRPr="004E44C2">
        <w:rPr>
          <w:rFonts w:ascii="Times New Roman" w:eastAsia="Times New Roman" w:hAnsi="Times New Roman" w:cs="Times New Roman"/>
          <w:sz w:val="24"/>
          <w:szCs w:val="24"/>
          <w:lang w:eastAsia="sk-SK"/>
        </w:rPr>
        <w:t>článku 64 bod 5, pri ktorom bola stanovená lehota do 26.3. 2020.</w:t>
      </w:r>
    </w:p>
    <w:p w14:paraId="3BF50362" w14:textId="3CB62122" w:rsidR="000B55DC" w:rsidRPr="004E44C2" w:rsidRDefault="000B55DC" w:rsidP="000B55DC">
      <w:pPr>
        <w:pStyle w:val="Odsekzoznamu"/>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lastRenderedPageBreak/>
        <w:t>Lehota na prebratie smernice 2019/2177 je stanovená do 30. júna 2021 s výnimkou článku 2 bodu 1</w:t>
      </w:r>
      <w:r w:rsidR="0008583C" w:rsidRPr="004E44C2">
        <w:rPr>
          <w:rFonts w:ascii="Times New Roman" w:eastAsia="Times New Roman" w:hAnsi="Times New Roman" w:cs="Times New Roman"/>
          <w:sz w:val="24"/>
          <w:szCs w:val="24"/>
          <w:lang w:eastAsia="sk-SK"/>
        </w:rPr>
        <w:t>, pri ktorom je stanovená lehota do 30.6</w:t>
      </w:r>
      <w:r w:rsidRPr="004E44C2">
        <w:rPr>
          <w:rFonts w:ascii="Times New Roman" w:eastAsia="Times New Roman" w:hAnsi="Times New Roman" w:cs="Times New Roman"/>
          <w:sz w:val="24"/>
          <w:szCs w:val="24"/>
          <w:lang w:eastAsia="sk-SK"/>
        </w:rPr>
        <w:t>.</w:t>
      </w:r>
      <w:r w:rsidR="0008583C" w:rsidRPr="004E44C2">
        <w:rPr>
          <w:rFonts w:ascii="Times New Roman" w:eastAsia="Times New Roman" w:hAnsi="Times New Roman" w:cs="Times New Roman"/>
          <w:sz w:val="24"/>
          <w:szCs w:val="24"/>
          <w:lang w:eastAsia="sk-SK"/>
        </w:rPr>
        <w:t xml:space="preserve"> 2020.</w:t>
      </w:r>
    </w:p>
    <w:p w14:paraId="5E686828" w14:textId="2CB3840D" w:rsidR="00454131" w:rsidRPr="004E44C2" w:rsidRDefault="00383198" w:rsidP="00454131">
      <w:pPr>
        <w:pStyle w:val="Odsekzoznamu"/>
        <w:spacing w:after="0" w:line="240" w:lineRule="auto"/>
        <w:jc w:val="both"/>
        <w:rPr>
          <w:rFonts w:ascii="Times New Roman" w:eastAsia="Times New Roman" w:hAnsi="Times New Roman" w:cs="Times New Roman"/>
          <w:sz w:val="24"/>
          <w:szCs w:val="24"/>
          <w:lang w:eastAsia="sk-SK"/>
        </w:rPr>
      </w:pPr>
      <w:r w:rsidRPr="00383198">
        <w:rPr>
          <w:rFonts w:ascii="Times New Roman" w:eastAsia="Times New Roman" w:hAnsi="Times New Roman" w:cs="Times New Roman"/>
          <w:sz w:val="24"/>
          <w:szCs w:val="24"/>
          <w:lang w:eastAsia="sk-SK"/>
        </w:rPr>
        <w:t xml:space="preserve">Lehota na prebratie smernice 2013/50/EÚ bola </w:t>
      </w:r>
      <w:r>
        <w:rPr>
          <w:rFonts w:ascii="Times New Roman" w:eastAsia="Times New Roman" w:hAnsi="Times New Roman" w:cs="Times New Roman"/>
          <w:sz w:val="24"/>
          <w:szCs w:val="24"/>
          <w:lang w:eastAsia="sk-SK"/>
        </w:rPr>
        <w:t xml:space="preserve">stanovená do </w:t>
      </w:r>
      <w:r w:rsidRPr="00383198">
        <w:rPr>
          <w:rFonts w:ascii="Times New Roman" w:eastAsia="Times New Roman" w:hAnsi="Times New Roman" w:cs="Times New Roman"/>
          <w:sz w:val="24"/>
          <w:szCs w:val="24"/>
          <w:lang w:eastAsia="sk-SK"/>
        </w:rPr>
        <w:t>26. novembra 2015.</w:t>
      </w:r>
    </w:p>
    <w:p w14:paraId="418F9E91" w14:textId="057128F7" w:rsidR="008545C6" w:rsidRPr="004E44C2" w:rsidRDefault="00703A5A" w:rsidP="00703A5A">
      <w:pPr>
        <w:pStyle w:val="Odsekzoznamu"/>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L</w:t>
      </w:r>
      <w:r w:rsidR="00EE3B2A" w:rsidRPr="004E44C2">
        <w:rPr>
          <w:rFonts w:ascii="Times New Roman" w:eastAsia="Times New Roman" w:hAnsi="Times New Roman" w:cs="Times New Roman"/>
          <w:sz w:val="24"/>
          <w:szCs w:val="24"/>
          <w:lang w:eastAsia="sk-SK"/>
        </w:rPr>
        <w:t>ehota</w:t>
      </w:r>
      <w:r w:rsidR="00EE3B2A" w:rsidRPr="004E44C2">
        <w:rPr>
          <w:rFonts w:ascii="Times New Roman" w:eastAsia="Times New Roman" w:hAnsi="Times New Roman" w:cs="Times New Roman"/>
          <w:spacing w:val="82"/>
          <w:sz w:val="24"/>
          <w:szCs w:val="24"/>
          <w:lang w:eastAsia="sk-SK"/>
        </w:rPr>
        <w:t xml:space="preserve"> </w:t>
      </w:r>
      <w:r w:rsidR="007B44D4" w:rsidRPr="004E44C2">
        <w:rPr>
          <w:rFonts w:ascii="Times New Roman" w:eastAsia="Times New Roman" w:hAnsi="Times New Roman" w:cs="Times New Roman"/>
          <w:sz w:val="24"/>
          <w:szCs w:val="24"/>
          <w:lang w:eastAsia="sk-SK"/>
        </w:rPr>
        <w:t>na</w:t>
      </w:r>
      <w:r w:rsidR="007B44D4" w:rsidRPr="004E44C2">
        <w:rPr>
          <w:rFonts w:ascii="Times New Roman" w:eastAsia="Times New Roman" w:hAnsi="Times New Roman" w:cs="Times New Roman"/>
          <w:spacing w:val="82"/>
          <w:sz w:val="24"/>
          <w:szCs w:val="24"/>
          <w:lang w:eastAsia="sk-SK"/>
        </w:rPr>
        <w:t xml:space="preserve"> </w:t>
      </w:r>
      <w:r w:rsidR="007B44D4" w:rsidRPr="004E44C2">
        <w:rPr>
          <w:rFonts w:ascii="Times New Roman" w:eastAsia="Times New Roman" w:hAnsi="Times New Roman" w:cs="Times New Roman"/>
          <w:sz w:val="24"/>
          <w:szCs w:val="24"/>
          <w:lang w:eastAsia="sk-SK"/>
        </w:rPr>
        <w:t>prebratie</w:t>
      </w:r>
      <w:r w:rsidR="007B44D4" w:rsidRPr="004E44C2">
        <w:rPr>
          <w:rFonts w:ascii="Times New Roman" w:eastAsia="Times New Roman" w:hAnsi="Times New Roman" w:cs="Times New Roman"/>
          <w:spacing w:val="82"/>
          <w:sz w:val="24"/>
          <w:szCs w:val="24"/>
          <w:lang w:eastAsia="sk-SK"/>
        </w:rPr>
        <w:t xml:space="preserve"> </w:t>
      </w:r>
      <w:r w:rsidR="007B44D4" w:rsidRPr="004E44C2">
        <w:rPr>
          <w:rFonts w:ascii="Times New Roman" w:eastAsia="Times New Roman" w:hAnsi="Times New Roman" w:cs="Times New Roman"/>
          <w:sz w:val="24"/>
          <w:szCs w:val="24"/>
          <w:lang w:eastAsia="sk-SK"/>
        </w:rPr>
        <w:t>smernice 2013/36</w:t>
      </w:r>
      <w:r w:rsidR="0008583C" w:rsidRPr="004E44C2">
        <w:rPr>
          <w:rFonts w:ascii="Times New Roman" w:eastAsia="Times New Roman" w:hAnsi="Times New Roman" w:cs="Times New Roman"/>
          <w:sz w:val="24"/>
          <w:szCs w:val="24"/>
          <w:lang w:eastAsia="sk-SK"/>
        </w:rPr>
        <w:t>/EÚ</w:t>
      </w:r>
      <w:r w:rsidR="007A5E5D" w:rsidRPr="004E44C2">
        <w:rPr>
          <w:rFonts w:ascii="Times New Roman" w:eastAsia="Times New Roman" w:hAnsi="Times New Roman" w:cs="Times New Roman"/>
          <w:sz w:val="24"/>
          <w:szCs w:val="24"/>
          <w:lang w:eastAsia="sk-SK"/>
        </w:rPr>
        <w:t xml:space="preserve"> bola </w:t>
      </w:r>
      <w:r w:rsidR="00EE3B2A" w:rsidRPr="004E44C2">
        <w:rPr>
          <w:rFonts w:ascii="Times New Roman" w:eastAsia="Times New Roman" w:hAnsi="Times New Roman" w:cs="Times New Roman"/>
          <w:sz w:val="24"/>
          <w:szCs w:val="24"/>
          <w:lang w:eastAsia="sk-SK"/>
        </w:rPr>
        <w:t>stanovená</w:t>
      </w:r>
      <w:r w:rsidR="00EE3B2A" w:rsidRPr="004E44C2">
        <w:rPr>
          <w:rFonts w:ascii="Times New Roman" w:eastAsia="Times New Roman" w:hAnsi="Times New Roman" w:cs="Times New Roman"/>
          <w:spacing w:val="22"/>
          <w:sz w:val="24"/>
          <w:szCs w:val="24"/>
          <w:lang w:eastAsia="sk-SK"/>
        </w:rPr>
        <w:t xml:space="preserve"> </w:t>
      </w:r>
      <w:r w:rsidR="00492483" w:rsidRPr="004E44C2">
        <w:rPr>
          <w:rFonts w:ascii="Times New Roman" w:eastAsia="Times New Roman" w:hAnsi="Times New Roman" w:cs="Times New Roman"/>
          <w:sz w:val="24"/>
          <w:szCs w:val="24"/>
          <w:lang w:eastAsia="sk-SK"/>
        </w:rPr>
        <w:t xml:space="preserve">do </w:t>
      </w:r>
      <w:r w:rsidR="007B44D4" w:rsidRPr="004E44C2">
        <w:rPr>
          <w:rFonts w:ascii="Times New Roman" w:hAnsi="Times New Roman" w:cs="Times New Roman"/>
          <w:sz w:val="24"/>
          <w:szCs w:val="24"/>
        </w:rPr>
        <w:t>31.</w:t>
      </w:r>
      <w:r w:rsidR="00AF118E" w:rsidRPr="004E44C2">
        <w:rPr>
          <w:rFonts w:ascii="Times New Roman" w:hAnsi="Times New Roman" w:cs="Times New Roman"/>
          <w:sz w:val="24"/>
          <w:szCs w:val="24"/>
        </w:rPr>
        <w:t xml:space="preserve"> decembra</w:t>
      </w:r>
      <w:r w:rsidR="007B44D4" w:rsidRPr="004E44C2">
        <w:rPr>
          <w:rFonts w:ascii="Times New Roman" w:hAnsi="Times New Roman" w:cs="Times New Roman"/>
          <w:sz w:val="24"/>
          <w:szCs w:val="24"/>
        </w:rPr>
        <w:t xml:space="preserve"> 2013</w:t>
      </w:r>
      <w:r w:rsidR="00FC287C" w:rsidRPr="004E44C2">
        <w:rPr>
          <w:rFonts w:ascii="Times New Roman" w:eastAsia="Times New Roman" w:hAnsi="Times New Roman" w:cs="Times New Roman"/>
          <w:sz w:val="24"/>
          <w:szCs w:val="24"/>
          <w:lang w:eastAsia="sk-SK"/>
        </w:rPr>
        <w:t>.</w:t>
      </w:r>
    </w:p>
    <w:p w14:paraId="568B2C05" w14:textId="04B2F726" w:rsidR="00A5791A" w:rsidRPr="004E44C2" w:rsidRDefault="00A5791A" w:rsidP="00703A5A">
      <w:pPr>
        <w:pStyle w:val="Odsekzoznamu"/>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 xml:space="preserve">Lehota na prebratie smernice 2014/59/EÚ bola stanovená do </w:t>
      </w:r>
      <w:r w:rsidR="00454131" w:rsidRPr="004E44C2">
        <w:rPr>
          <w:rFonts w:ascii="Times New Roman" w:hAnsi="Times New Roman" w:cs="Times New Roman"/>
          <w:sz w:val="24"/>
          <w:szCs w:val="24"/>
        </w:rPr>
        <w:t>31. decembra 2014.</w:t>
      </w:r>
    </w:p>
    <w:p w14:paraId="553602FE" w14:textId="6571AE7E" w:rsidR="00AF118E" w:rsidRPr="004E44C2" w:rsidRDefault="00AF118E" w:rsidP="00AF118E">
      <w:pPr>
        <w:pStyle w:val="Odsekzoznamu"/>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Lehota</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na</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prebratie</w:t>
      </w:r>
      <w:r w:rsidRPr="004E44C2">
        <w:rPr>
          <w:rFonts w:ascii="Times New Roman" w:eastAsia="Times New Roman" w:hAnsi="Times New Roman" w:cs="Times New Roman"/>
          <w:spacing w:val="82"/>
          <w:sz w:val="24"/>
          <w:szCs w:val="24"/>
          <w:lang w:eastAsia="sk-SK"/>
        </w:rPr>
        <w:t xml:space="preserve"> </w:t>
      </w:r>
      <w:r w:rsidRPr="004E44C2">
        <w:rPr>
          <w:rFonts w:ascii="Times New Roman" w:eastAsia="Times New Roman" w:hAnsi="Times New Roman" w:cs="Times New Roman"/>
          <w:sz w:val="24"/>
          <w:szCs w:val="24"/>
          <w:lang w:eastAsia="sk-SK"/>
        </w:rPr>
        <w:t>smernice 2015/2366</w:t>
      </w:r>
      <w:r w:rsidR="007A5E5D" w:rsidRPr="004E44C2">
        <w:rPr>
          <w:rFonts w:ascii="Times New Roman" w:eastAsia="Times New Roman" w:hAnsi="Times New Roman" w:cs="Times New Roman"/>
          <w:sz w:val="24"/>
          <w:szCs w:val="24"/>
          <w:lang w:eastAsia="sk-SK"/>
        </w:rPr>
        <w:t xml:space="preserve"> bola</w:t>
      </w:r>
      <w:r w:rsidRPr="004E44C2">
        <w:rPr>
          <w:rFonts w:ascii="Times New Roman" w:eastAsia="Times New Roman" w:hAnsi="Times New Roman" w:cs="Times New Roman"/>
          <w:sz w:val="24"/>
          <w:szCs w:val="24"/>
          <w:lang w:eastAsia="sk-SK"/>
        </w:rPr>
        <w:t xml:space="preserve"> stanovená</w:t>
      </w:r>
      <w:r w:rsidRPr="004E44C2">
        <w:rPr>
          <w:rFonts w:ascii="Times New Roman" w:eastAsia="Times New Roman" w:hAnsi="Times New Roman" w:cs="Times New Roman"/>
          <w:spacing w:val="22"/>
          <w:sz w:val="24"/>
          <w:szCs w:val="24"/>
          <w:lang w:eastAsia="sk-SK"/>
        </w:rPr>
        <w:t xml:space="preserve"> </w:t>
      </w:r>
      <w:r w:rsidRPr="004E44C2">
        <w:rPr>
          <w:rFonts w:ascii="Times New Roman" w:eastAsia="Times New Roman" w:hAnsi="Times New Roman" w:cs="Times New Roman"/>
          <w:sz w:val="24"/>
          <w:szCs w:val="24"/>
          <w:lang w:eastAsia="sk-SK"/>
        </w:rPr>
        <w:t xml:space="preserve">do </w:t>
      </w:r>
      <w:r w:rsidRPr="004E44C2">
        <w:rPr>
          <w:rFonts w:ascii="Times New Roman" w:hAnsi="Times New Roman" w:cs="Times New Roman"/>
          <w:sz w:val="24"/>
          <w:szCs w:val="24"/>
        </w:rPr>
        <w:t>13. januára 201</w:t>
      </w:r>
      <w:r w:rsidR="0008583C" w:rsidRPr="004E44C2">
        <w:rPr>
          <w:rFonts w:ascii="Times New Roman" w:hAnsi="Times New Roman" w:cs="Times New Roman"/>
          <w:sz w:val="24"/>
          <w:szCs w:val="24"/>
        </w:rPr>
        <w:t>8</w:t>
      </w:r>
      <w:r w:rsidRPr="004E44C2">
        <w:rPr>
          <w:rFonts w:ascii="Times New Roman" w:eastAsia="Times New Roman" w:hAnsi="Times New Roman" w:cs="Times New Roman"/>
          <w:sz w:val="24"/>
          <w:szCs w:val="24"/>
          <w:lang w:eastAsia="sk-SK"/>
        </w:rPr>
        <w:t>.</w:t>
      </w:r>
    </w:p>
    <w:p w14:paraId="3DC303F5" w14:textId="77777777" w:rsidR="008545C6" w:rsidRPr="004E44C2" w:rsidRDefault="008545C6" w:rsidP="008545C6">
      <w:pPr>
        <w:pStyle w:val="Odsekzoznamu"/>
        <w:spacing w:after="0" w:line="240" w:lineRule="auto"/>
        <w:rPr>
          <w:rFonts w:ascii="Times New Roman" w:eastAsia="Times New Roman" w:hAnsi="Times New Roman" w:cs="Times New Roman"/>
          <w:sz w:val="24"/>
          <w:szCs w:val="24"/>
          <w:lang w:eastAsia="sk-SK"/>
        </w:rPr>
      </w:pPr>
    </w:p>
    <w:p w14:paraId="7D7B9B54" w14:textId="762C9F8E" w:rsidR="00F9215F" w:rsidRPr="004E44C2" w:rsidRDefault="00F9215F" w:rsidP="00BD614F">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4E44C2">
        <w:rPr>
          <w:rFonts w:ascii="Times New Roman" w:hAnsi="Times New Roman" w:cs="Times New Roman"/>
          <w:sz w:val="24"/>
          <w:szCs w:val="24"/>
        </w:rPr>
        <w:t xml:space="preserve">Proti SR nebolo začaté konanie v rámci „EÚ Pilot“, ani nebol začatý postup </w:t>
      </w:r>
      <w:r w:rsidR="000966F7" w:rsidRPr="004E44C2">
        <w:rPr>
          <w:rFonts w:ascii="Times New Roman" w:hAnsi="Times New Roman" w:cs="Times New Roman"/>
          <w:sz w:val="24"/>
          <w:szCs w:val="24"/>
        </w:rPr>
        <w:t xml:space="preserve">Európskej komisie, alebo konanie Súdneho dvora Európskej únie proti Slovenskej republike </w:t>
      </w:r>
      <w:r w:rsidRPr="004E44C2">
        <w:rPr>
          <w:rFonts w:ascii="Times New Roman" w:hAnsi="Times New Roman" w:cs="Times New Roman"/>
          <w:sz w:val="24"/>
          <w:szCs w:val="24"/>
        </w:rPr>
        <w:t>podľa čl. 258 až 260 Zmluvy o fungovaní Európskej únie</w:t>
      </w:r>
      <w:r w:rsidR="000966F7" w:rsidRPr="004E44C2">
        <w:rPr>
          <w:rFonts w:ascii="Times New Roman" w:hAnsi="Times New Roman" w:cs="Times New Roman"/>
          <w:sz w:val="24"/>
          <w:szCs w:val="24"/>
        </w:rPr>
        <w:t xml:space="preserve"> v platnom znení</w:t>
      </w:r>
      <w:r w:rsidRPr="004E44C2">
        <w:rPr>
          <w:rFonts w:ascii="Times New Roman" w:hAnsi="Times New Roman" w:cs="Times New Roman"/>
          <w:sz w:val="24"/>
          <w:szCs w:val="24"/>
        </w:rPr>
        <w:t>.</w:t>
      </w:r>
      <w:r w:rsidRPr="004E44C2">
        <w:rPr>
          <w:rFonts w:ascii="Times New Roman" w:eastAsia="Times New Roman" w:hAnsi="Times New Roman" w:cs="Times New Roman"/>
          <w:sz w:val="24"/>
          <w:szCs w:val="24"/>
          <w:lang w:eastAsia="sk-SK"/>
        </w:rPr>
        <w:t xml:space="preserve"> </w:t>
      </w:r>
    </w:p>
    <w:p w14:paraId="0A02D0BE" w14:textId="77777777" w:rsidR="00F9215F" w:rsidRPr="004E44C2" w:rsidRDefault="00F9215F" w:rsidP="00FC287C">
      <w:pPr>
        <w:pStyle w:val="Odsekzoznamu"/>
        <w:spacing w:after="0" w:line="240" w:lineRule="auto"/>
        <w:rPr>
          <w:rFonts w:ascii="Times New Roman" w:eastAsia="Times New Roman" w:hAnsi="Times New Roman" w:cs="Times New Roman"/>
          <w:sz w:val="24"/>
          <w:szCs w:val="24"/>
          <w:lang w:eastAsia="sk-SK"/>
        </w:rPr>
      </w:pPr>
    </w:p>
    <w:p w14:paraId="290EB9CE" w14:textId="74146AB6" w:rsidR="00FC287C" w:rsidRPr="004E44C2" w:rsidRDefault="00FC287C" w:rsidP="00FC287C">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4E44C2">
        <w:rPr>
          <w:rFonts w:ascii="Times New Roman" w:hAnsi="Times New Roman" w:cs="Times New Roman"/>
          <w:bCs/>
          <w:sz w:val="24"/>
          <w:szCs w:val="24"/>
        </w:rPr>
        <w:t>Smernica 2013/36/EÚ bola prebratá do zákona č. 483/2001 Z. z. o bankách a o zmene a doplnení niektorých zákonov v znení neskorších predpisov, do zákona č.</w:t>
      </w:r>
      <w:r w:rsidR="00DC0F4E" w:rsidRPr="004E44C2">
        <w:rPr>
          <w:rFonts w:ascii="Times New Roman" w:hAnsi="Times New Roman" w:cs="Times New Roman"/>
          <w:bCs/>
          <w:sz w:val="24"/>
          <w:szCs w:val="24"/>
        </w:rPr>
        <w:t> </w:t>
      </w:r>
      <w:r w:rsidRPr="004E44C2">
        <w:rPr>
          <w:rFonts w:ascii="Times New Roman" w:hAnsi="Times New Roman" w:cs="Times New Roman"/>
          <w:bCs/>
          <w:sz w:val="24"/>
          <w:szCs w:val="24"/>
        </w:rPr>
        <w:t>566/2001</w:t>
      </w:r>
      <w:r w:rsidR="00DC0F4E" w:rsidRPr="004E44C2">
        <w:rPr>
          <w:rFonts w:ascii="Times New Roman" w:hAnsi="Times New Roman" w:cs="Times New Roman"/>
          <w:bCs/>
          <w:sz w:val="24"/>
          <w:szCs w:val="24"/>
        </w:rPr>
        <w:t> </w:t>
      </w:r>
      <w:r w:rsidRPr="004E44C2">
        <w:rPr>
          <w:rFonts w:ascii="Times New Roman" w:hAnsi="Times New Roman" w:cs="Times New Roman"/>
          <w:bCs/>
          <w:sz w:val="24"/>
          <w:szCs w:val="24"/>
        </w:rPr>
        <w:t>Z.</w:t>
      </w:r>
      <w:r w:rsidR="00DC0F4E" w:rsidRPr="004E44C2">
        <w:rPr>
          <w:rFonts w:ascii="Times New Roman" w:hAnsi="Times New Roman" w:cs="Times New Roman"/>
          <w:bCs/>
          <w:sz w:val="24"/>
          <w:szCs w:val="24"/>
        </w:rPr>
        <w:t> </w:t>
      </w:r>
      <w:r w:rsidRPr="004E44C2">
        <w:rPr>
          <w:rFonts w:ascii="Times New Roman" w:hAnsi="Times New Roman" w:cs="Times New Roman"/>
          <w:bCs/>
          <w:sz w:val="24"/>
          <w:szCs w:val="24"/>
        </w:rPr>
        <w:t xml:space="preserve">z. o cenných papieroch a investičných službách a o zmene a doplnení niektorých zákonov (zákon o cenných papieroch) v znení </w:t>
      </w:r>
      <w:r w:rsidR="00C516E1" w:rsidRPr="004E44C2">
        <w:rPr>
          <w:rFonts w:ascii="Times New Roman" w:hAnsi="Times New Roman" w:cs="Times New Roman"/>
          <w:bCs/>
          <w:sz w:val="24"/>
          <w:szCs w:val="24"/>
        </w:rPr>
        <w:t>neskorších predpisov,</w:t>
      </w:r>
      <w:r w:rsidR="00DF77BD" w:rsidRPr="004E44C2">
        <w:rPr>
          <w:rFonts w:ascii="Times New Roman" w:hAnsi="Times New Roman" w:cs="Times New Roman"/>
          <w:sz w:val="24"/>
          <w:szCs w:val="24"/>
        </w:rPr>
        <w:t xml:space="preserve"> do zákona č. 513/1991 Zb. Obchodný zákonník v znení neskorších predpisov, do zákona </w:t>
      </w:r>
      <w:r w:rsidR="00EB09DC" w:rsidRPr="004E44C2">
        <w:rPr>
          <w:rFonts w:ascii="Times New Roman" w:hAnsi="Times New Roman" w:cs="Times New Roman"/>
          <w:sz w:val="24"/>
          <w:szCs w:val="24"/>
        </w:rPr>
        <w:t xml:space="preserve">Národnej rady Slovenskej republiky </w:t>
      </w:r>
      <w:r w:rsidR="00DF77BD" w:rsidRPr="004E44C2">
        <w:rPr>
          <w:rFonts w:ascii="Times New Roman" w:hAnsi="Times New Roman" w:cs="Times New Roman"/>
          <w:sz w:val="24"/>
          <w:szCs w:val="24"/>
        </w:rPr>
        <w:t xml:space="preserve">č. 566/1992 Zb. o Národnej banke Slovenska v znení neskorších predpisov, </w:t>
      </w:r>
      <w:r w:rsidRPr="004E44C2">
        <w:rPr>
          <w:rFonts w:ascii="Times New Roman" w:hAnsi="Times New Roman" w:cs="Times New Roman"/>
          <w:bCs/>
          <w:sz w:val="24"/>
          <w:szCs w:val="24"/>
        </w:rPr>
        <w:t xml:space="preserve">do zákona </w:t>
      </w:r>
      <w:r w:rsidRPr="004E44C2">
        <w:rPr>
          <w:rFonts w:ascii="Times New Roman" w:hAnsi="Times New Roman" w:cs="Times New Roman"/>
          <w:sz w:val="24"/>
          <w:szCs w:val="24"/>
        </w:rPr>
        <w:t>č.</w:t>
      </w:r>
      <w:r w:rsidRPr="004E44C2">
        <w:rPr>
          <w:rFonts w:ascii="Times New Roman" w:hAnsi="Times New Roman" w:cs="Times New Roman"/>
          <w:bCs/>
          <w:sz w:val="24"/>
          <w:szCs w:val="24"/>
        </w:rPr>
        <w:t> </w:t>
      </w:r>
      <w:r w:rsidRPr="004E44C2">
        <w:rPr>
          <w:rFonts w:ascii="Times New Roman" w:hAnsi="Times New Roman" w:cs="Times New Roman"/>
          <w:sz w:val="24"/>
          <w:szCs w:val="24"/>
        </w:rPr>
        <w:t>747/2004 Z. z. o </w:t>
      </w:r>
      <w:r w:rsidRPr="004E44C2">
        <w:rPr>
          <w:rFonts w:ascii="Times New Roman" w:hAnsi="Times New Roman" w:cs="Times New Roman"/>
          <w:bCs/>
          <w:sz w:val="24"/>
          <w:szCs w:val="24"/>
        </w:rPr>
        <w:t xml:space="preserve">dohľade nad finančným trhom a o zmene a doplnení niektorých zákonov </w:t>
      </w:r>
      <w:r w:rsidRPr="004E44C2">
        <w:rPr>
          <w:rFonts w:ascii="Times New Roman" w:hAnsi="Times New Roman" w:cs="Times New Roman"/>
          <w:sz w:val="24"/>
          <w:szCs w:val="24"/>
        </w:rPr>
        <w:t>v znení neskorších predpisov</w:t>
      </w:r>
      <w:r w:rsidR="00DF77BD" w:rsidRPr="004E44C2">
        <w:rPr>
          <w:rFonts w:ascii="Times New Roman" w:hAnsi="Times New Roman" w:cs="Times New Roman"/>
          <w:sz w:val="24"/>
          <w:szCs w:val="24"/>
        </w:rPr>
        <w:t xml:space="preserve">, do zákona č. 540/2007 Z. z. o audítoroch, audite a dohľade nad výkonom auditu a o zmene a doplnení zákona č. 431/2002 Z. z. o účtovníctve v znení neskorších predpisov, do zákona č. 186/2009 Z. z. o finančnom sprostredkovaní a finančnom poradenstve a o zmene a doplnení niektorých zákonov v znení neskorších predpisov, do zákona č. 371/2014 Z. z. o riešení krízových situácií na finančnom trhu a o zmene a doplnení niektorých zákonov v znení neskorších predpisov, do zákona č. 39/2015 Z. z. o poisťovníctve a o zmene a doplnení niektorých zákonov, do zákona č. 423/2015 Z. z. o štatutárnom audite a o zmene a doplnení zákona č. 431/2002 Z. z. o účtovníctve v znení neskorších predpisov. </w:t>
      </w:r>
    </w:p>
    <w:p w14:paraId="05A1F5E5" w14:textId="18AF5912" w:rsidR="005C3DF0" w:rsidRPr="004E44C2" w:rsidRDefault="00383198" w:rsidP="005C3DF0">
      <w:pPr>
        <w:pStyle w:val="Odsekzoznamu"/>
        <w:spacing w:after="0" w:line="240" w:lineRule="auto"/>
        <w:jc w:val="both"/>
        <w:rPr>
          <w:rFonts w:ascii="Times New Roman" w:eastAsia="Times New Roman" w:hAnsi="Times New Roman" w:cs="Times New Roman"/>
          <w:sz w:val="24"/>
          <w:szCs w:val="24"/>
          <w:lang w:eastAsia="sk-SK"/>
        </w:rPr>
      </w:pPr>
      <w:r w:rsidRPr="00383198">
        <w:rPr>
          <w:rFonts w:ascii="Times New Roman" w:eastAsia="Times New Roman" w:hAnsi="Times New Roman" w:cs="Times New Roman"/>
          <w:sz w:val="24"/>
          <w:szCs w:val="24"/>
          <w:lang w:eastAsia="sk-SK"/>
        </w:rPr>
        <w:t>Smernica 2013/50/EÚ bola prebratá do zákona č. 429/2002 Z. z. o burze cenných papierov v znení neskorších predpisov, do zákona č. 747/2004 Z. z. o dohľade nad finančným trhom a o zmene a doplnení niektorých zákonov v znení neskorších predpisov, do zákona č. 566/2001 Z. z. o cenných papieroch a investičných službách a o zmene a doplnení niektorých zákonov (zákon o cenných papieroch) v znení neskorších predpisov.</w:t>
      </w:r>
    </w:p>
    <w:p w14:paraId="6EB72FE0" w14:textId="2D096781" w:rsidR="00957886" w:rsidRPr="004E44C2" w:rsidRDefault="00957886" w:rsidP="003D26AE">
      <w:pPr>
        <w:spacing w:after="0" w:line="240" w:lineRule="auto"/>
        <w:ind w:left="708"/>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 xml:space="preserve">Smernica 2014/59/EÚ bola prebratá do zákona č. 371/2014 Z. z. o riešení krízových situácií na finančnom trhu a o zmene a doplnení niektorých zákonov v znení neskorších predpisov, do zákona č. 483/2001 Z. z. o bankách a o zmene a doplnení niektorých zákonov v znení neskorších predpisov, </w:t>
      </w:r>
      <w:r w:rsidR="003D26AE" w:rsidRPr="004E44C2">
        <w:rPr>
          <w:rFonts w:ascii="Times New Roman" w:hAnsi="Times New Roman" w:cs="Times New Roman"/>
          <w:bCs/>
          <w:sz w:val="24"/>
          <w:szCs w:val="24"/>
        </w:rPr>
        <w:t>do zákona č. 566/2001 Z. z. o cenných papieroch a investičných službách a o zmene a doplnení niektorých zákonov (zákon o cenných papieroch) v znení neskorších predpisov</w:t>
      </w:r>
      <w:r w:rsidR="003313D7" w:rsidRPr="004E44C2">
        <w:rPr>
          <w:rFonts w:ascii="Times New Roman" w:hAnsi="Times New Roman" w:cs="Times New Roman"/>
          <w:bCs/>
          <w:sz w:val="24"/>
          <w:szCs w:val="24"/>
        </w:rPr>
        <w:t xml:space="preserve">, do zákona </w:t>
      </w:r>
      <w:r w:rsidR="003313D7" w:rsidRPr="004E44C2">
        <w:rPr>
          <w:rFonts w:ascii="Times New Roman" w:hAnsi="Times New Roman" w:cs="Times New Roman"/>
          <w:sz w:val="24"/>
          <w:szCs w:val="24"/>
        </w:rPr>
        <w:t>č.</w:t>
      </w:r>
      <w:r w:rsidR="003313D7" w:rsidRPr="004E44C2">
        <w:rPr>
          <w:rFonts w:ascii="Times New Roman" w:hAnsi="Times New Roman" w:cs="Times New Roman"/>
          <w:bCs/>
          <w:sz w:val="24"/>
          <w:szCs w:val="24"/>
        </w:rPr>
        <w:t> </w:t>
      </w:r>
      <w:r w:rsidR="003313D7" w:rsidRPr="004E44C2">
        <w:rPr>
          <w:rFonts w:ascii="Times New Roman" w:hAnsi="Times New Roman" w:cs="Times New Roman"/>
          <w:sz w:val="24"/>
          <w:szCs w:val="24"/>
        </w:rPr>
        <w:t>747/2004 Z. z. o </w:t>
      </w:r>
      <w:r w:rsidR="003313D7" w:rsidRPr="004E44C2">
        <w:rPr>
          <w:rFonts w:ascii="Times New Roman" w:hAnsi="Times New Roman" w:cs="Times New Roman"/>
          <w:bCs/>
          <w:sz w:val="24"/>
          <w:szCs w:val="24"/>
        </w:rPr>
        <w:t xml:space="preserve">dohľade nad finančným trhom a o zmene a doplnení niektorých zákonov </w:t>
      </w:r>
      <w:r w:rsidR="003313D7" w:rsidRPr="004E44C2">
        <w:rPr>
          <w:rFonts w:ascii="Times New Roman" w:hAnsi="Times New Roman" w:cs="Times New Roman"/>
          <w:sz w:val="24"/>
          <w:szCs w:val="24"/>
        </w:rPr>
        <w:t>v znení neskorších predpisov, do zákona</w:t>
      </w:r>
      <w:r w:rsidR="00EB09DC" w:rsidRPr="004E44C2">
        <w:rPr>
          <w:rFonts w:ascii="Times New Roman" w:hAnsi="Times New Roman" w:cs="Times New Roman"/>
          <w:sz w:val="24"/>
          <w:szCs w:val="24"/>
        </w:rPr>
        <w:t xml:space="preserve"> Národnej rady Slovenskej republiky č. 118/1996 Z. z. o ochrane vkladov a o zmene a doplnení niektorých zákonov v znení neskorších predpisov</w:t>
      </w:r>
      <w:r w:rsidR="003D26AE" w:rsidRPr="004E44C2">
        <w:rPr>
          <w:rFonts w:ascii="Times New Roman" w:hAnsi="Times New Roman" w:cs="Times New Roman"/>
          <w:bCs/>
          <w:sz w:val="24"/>
          <w:szCs w:val="24"/>
        </w:rPr>
        <w:t xml:space="preserve"> a do zákona č. 7/2005 Z. z. </w:t>
      </w:r>
      <w:r w:rsidR="003D26AE" w:rsidRPr="004E44C2">
        <w:rPr>
          <w:rFonts w:ascii="Times New Roman" w:eastAsia="Times New Roman" w:hAnsi="Times New Roman" w:cs="Times New Roman"/>
          <w:sz w:val="24"/>
          <w:szCs w:val="24"/>
          <w:lang w:eastAsia="sk-SK"/>
        </w:rPr>
        <w:t>o konkurze a reštrukturalizácii a o zmene a</w:t>
      </w:r>
      <w:r w:rsidR="002119D1" w:rsidRPr="004E44C2">
        <w:rPr>
          <w:rFonts w:ascii="Times New Roman" w:eastAsia="Times New Roman" w:hAnsi="Times New Roman" w:cs="Times New Roman"/>
          <w:sz w:val="24"/>
          <w:szCs w:val="24"/>
          <w:lang w:eastAsia="sk-SK"/>
        </w:rPr>
        <w:t> </w:t>
      </w:r>
      <w:r w:rsidR="003D26AE" w:rsidRPr="004E44C2">
        <w:rPr>
          <w:rFonts w:ascii="Times New Roman" w:eastAsia="Times New Roman" w:hAnsi="Times New Roman" w:cs="Times New Roman"/>
          <w:sz w:val="24"/>
          <w:szCs w:val="24"/>
          <w:lang w:eastAsia="sk-SK"/>
        </w:rPr>
        <w:t>doplnení niektorých zákonov v znení neskorších predpisov.</w:t>
      </w:r>
    </w:p>
    <w:p w14:paraId="5CD9A996" w14:textId="4CA2D9A2" w:rsidR="00C0332F" w:rsidRPr="004E44C2" w:rsidRDefault="00C0332F" w:rsidP="00DD7D3D">
      <w:pPr>
        <w:spacing w:line="240" w:lineRule="auto"/>
        <w:ind w:left="709"/>
        <w:jc w:val="both"/>
        <w:rPr>
          <w:rFonts w:ascii="Times New Roman" w:hAnsi="Times New Roman" w:cs="Times New Roman"/>
          <w:sz w:val="24"/>
          <w:szCs w:val="24"/>
        </w:rPr>
      </w:pPr>
      <w:r w:rsidRPr="004E44C2">
        <w:rPr>
          <w:rFonts w:ascii="Times New Roman" w:hAnsi="Times New Roman" w:cs="Times New Roman"/>
          <w:sz w:val="24"/>
          <w:szCs w:val="24"/>
          <w:shd w:val="clear" w:color="auto" w:fill="FFFFFF"/>
        </w:rPr>
        <w:t xml:space="preserve">Smernica </w:t>
      </w:r>
      <w:r w:rsidRPr="004E44C2">
        <w:rPr>
          <w:rFonts w:ascii="Times New Roman" w:hAnsi="Times New Roman" w:cs="Times New Roman"/>
          <w:sz w:val="24"/>
          <w:szCs w:val="24"/>
        </w:rPr>
        <w:t xml:space="preserve">2015/2366 bola prebratá do zákona č. 492/2009 Z. z. o platobných službách a o zmene a doplnení niektorých zákonov v znení </w:t>
      </w:r>
      <w:r w:rsidR="00957886" w:rsidRPr="004E44C2">
        <w:rPr>
          <w:rFonts w:ascii="Times New Roman" w:hAnsi="Times New Roman" w:cs="Times New Roman"/>
          <w:sz w:val="24"/>
          <w:szCs w:val="24"/>
        </w:rPr>
        <w:t>neskorších predpisov</w:t>
      </w:r>
      <w:r w:rsidR="00DD7D3D" w:rsidRPr="004E44C2">
        <w:rPr>
          <w:rFonts w:ascii="Times New Roman" w:hAnsi="Times New Roman" w:cs="Times New Roman"/>
          <w:sz w:val="24"/>
          <w:szCs w:val="24"/>
        </w:rPr>
        <w:t>, do zákona č. 747/2004 Z. z. o dohľade nad finančným trhom a o zmene a doplnení niektorých zákonov v znení neskorších predpisov, do zákona č. 483/2001 Z. z. o bankách a o zmene a doplnení niektorých zákonov v znení neskorších predpisov</w:t>
      </w:r>
      <w:r w:rsidR="002119D1" w:rsidRPr="004E44C2">
        <w:rPr>
          <w:rFonts w:ascii="Times New Roman" w:hAnsi="Times New Roman" w:cs="Times New Roman"/>
          <w:sz w:val="24"/>
          <w:szCs w:val="24"/>
        </w:rPr>
        <w:t xml:space="preserve">, </w:t>
      </w:r>
      <w:r w:rsidR="00DD7D3D" w:rsidRPr="004E44C2">
        <w:rPr>
          <w:rFonts w:ascii="Times New Roman" w:hAnsi="Times New Roman" w:cs="Times New Roman"/>
          <w:sz w:val="24"/>
          <w:szCs w:val="24"/>
        </w:rPr>
        <w:t xml:space="preserve">do zákona </w:t>
      </w:r>
      <w:r w:rsidR="002119D1" w:rsidRPr="004E44C2">
        <w:rPr>
          <w:rFonts w:ascii="Times New Roman" w:hAnsi="Times New Roman" w:cs="Times New Roman"/>
          <w:sz w:val="24"/>
          <w:szCs w:val="24"/>
        </w:rPr>
        <w:lastRenderedPageBreak/>
        <w:t xml:space="preserve">Národnej rady Slovenskej republiky </w:t>
      </w:r>
      <w:r w:rsidR="00DD7D3D" w:rsidRPr="004E44C2">
        <w:rPr>
          <w:rFonts w:ascii="Times New Roman" w:hAnsi="Times New Roman" w:cs="Times New Roman"/>
          <w:sz w:val="24"/>
          <w:szCs w:val="24"/>
        </w:rPr>
        <w:t>č.</w:t>
      </w:r>
      <w:r w:rsidR="00E3335B" w:rsidRPr="004E44C2">
        <w:rPr>
          <w:rFonts w:ascii="Times New Roman" w:hAnsi="Times New Roman" w:cs="Times New Roman"/>
          <w:sz w:val="24"/>
          <w:szCs w:val="24"/>
        </w:rPr>
        <w:t> </w:t>
      </w:r>
      <w:r w:rsidR="00DD7D3D" w:rsidRPr="004E44C2">
        <w:rPr>
          <w:rFonts w:ascii="Times New Roman" w:hAnsi="Times New Roman" w:cs="Times New Roman"/>
          <w:sz w:val="24"/>
          <w:szCs w:val="24"/>
        </w:rPr>
        <w:t>566/1992 Zb. o Národnej banke Slovenska v znení neskorších predpisov</w:t>
      </w:r>
      <w:r w:rsidR="002119D1" w:rsidRPr="004E44C2">
        <w:rPr>
          <w:rFonts w:ascii="Times New Roman" w:hAnsi="Times New Roman" w:cs="Times New Roman"/>
          <w:sz w:val="24"/>
          <w:szCs w:val="24"/>
        </w:rPr>
        <w:t>, do zákona č. 160/2015 Z. z. Civilný sporový poriadok, do zákona č. 162/2015 Z. z. Správny súdny poriadok, do zákona č. 391/2015 Z. z. o alternatívnom riešení spotrebiteľských sporov a o zmene a doplnení niektorých zákonov, do zákona č. 351/2011 Z. z. o elektronických komunikáciách, do zákona č.</w:t>
      </w:r>
      <w:r w:rsidR="002A6C7C" w:rsidRPr="004E44C2">
        <w:rPr>
          <w:rFonts w:ascii="Times New Roman" w:hAnsi="Times New Roman" w:cs="Times New Roman"/>
          <w:sz w:val="24"/>
          <w:szCs w:val="24"/>
        </w:rPr>
        <w:t> </w:t>
      </w:r>
      <w:r w:rsidR="002119D1" w:rsidRPr="004E44C2">
        <w:rPr>
          <w:rFonts w:ascii="Times New Roman" w:hAnsi="Times New Roman" w:cs="Times New Roman"/>
          <w:sz w:val="24"/>
          <w:szCs w:val="24"/>
        </w:rPr>
        <w:t>266/2005 Z. z. o ochrane spotrebiteľa pri finančných službách na diaľku a o zmene a doplnení niektorých zákonov a do zákona č. 460/1992 Zb. Ústava Slovenskej republiky</w:t>
      </w:r>
      <w:r w:rsidR="00957886" w:rsidRPr="004E44C2">
        <w:rPr>
          <w:rFonts w:ascii="Times New Roman" w:hAnsi="Times New Roman" w:cs="Times New Roman"/>
          <w:sz w:val="24"/>
          <w:szCs w:val="24"/>
        </w:rPr>
        <w:t>.</w:t>
      </w:r>
    </w:p>
    <w:p w14:paraId="34FAD0D4" w14:textId="77777777" w:rsidR="00703A5A" w:rsidRPr="004E44C2" w:rsidRDefault="00703A5A" w:rsidP="00FC287C">
      <w:pPr>
        <w:spacing w:after="0" w:line="240" w:lineRule="auto"/>
        <w:jc w:val="both"/>
        <w:rPr>
          <w:rFonts w:ascii="Times New Roman" w:eastAsia="Times New Roman" w:hAnsi="Times New Roman" w:cs="Times New Roman"/>
          <w:sz w:val="24"/>
          <w:szCs w:val="24"/>
          <w:lang w:eastAsia="sk-SK"/>
        </w:rPr>
      </w:pPr>
    </w:p>
    <w:p w14:paraId="152A2950" w14:textId="77777777" w:rsidR="00FC287C" w:rsidRPr="004E44C2" w:rsidRDefault="00FC287C" w:rsidP="00FC287C">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4E44C2">
        <w:rPr>
          <w:rFonts w:ascii="Times New Roman" w:eastAsia="Times New Roman" w:hAnsi="Times New Roman" w:cs="Times New Roman"/>
          <w:b/>
          <w:bCs/>
          <w:sz w:val="24"/>
          <w:szCs w:val="24"/>
          <w:lang w:eastAsia="sk-SK"/>
        </w:rPr>
        <w:t>Návrh zákona je zlučiteľný s právom Európskej únie:</w:t>
      </w:r>
    </w:p>
    <w:p w14:paraId="0D7FA2CE" w14:textId="77777777" w:rsidR="00FC287C" w:rsidRPr="004E44C2" w:rsidRDefault="00FC287C" w:rsidP="00FC287C">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4E44C2">
        <w:rPr>
          <w:rFonts w:ascii="Times New Roman" w:eastAsia="Times New Roman" w:hAnsi="Times New Roman" w:cs="Times New Roman"/>
          <w:sz w:val="24"/>
          <w:szCs w:val="24"/>
          <w:lang w:eastAsia="sk-SK"/>
        </w:rPr>
        <w:t>úplne.</w:t>
      </w:r>
    </w:p>
    <w:p w14:paraId="749569E9" w14:textId="77777777" w:rsidR="00FE77D3" w:rsidRPr="004E44C2" w:rsidRDefault="00FE77D3">
      <w:pPr>
        <w:rPr>
          <w:rFonts w:ascii="Times New Roman" w:hAnsi="Times New Roman" w:cs="Times New Roman"/>
          <w:sz w:val="24"/>
          <w:szCs w:val="24"/>
        </w:rPr>
      </w:pPr>
    </w:p>
    <w:sectPr w:rsidR="00FE77D3" w:rsidRPr="004E44C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48F96" w14:textId="77777777" w:rsidR="00491B03" w:rsidRDefault="00491B03" w:rsidP="00C4408B">
      <w:pPr>
        <w:spacing w:after="0" w:line="240" w:lineRule="auto"/>
      </w:pPr>
      <w:r>
        <w:separator/>
      </w:r>
    </w:p>
  </w:endnote>
  <w:endnote w:type="continuationSeparator" w:id="0">
    <w:p w14:paraId="19D2C35E" w14:textId="77777777" w:rsidR="00491B03" w:rsidRDefault="00491B03" w:rsidP="00C4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994682"/>
      <w:docPartObj>
        <w:docPartGallery w:val="Page Numbers (Bottom of Page)"/>
        <w:docPartUnique/>
      </w:docPartObj>
    </w:sdtPr>
    <w:sdtEndPr>
      <w:rPr>
        <w:rFonts w:ascii="Times New Roman" w:hAnsi="Times New Roman" w:cs="Times New Roman"/>
        <w:sz w:val="24"/>
        <w:szCs w:val="24"/>
      </w:rPr>
    </w:sdtEndPr>
    <w:sdtContent>
      <w:p w14:paraId="3676FF63" w14:textId="6EC8BBCC" w:rsidR="00C4408B" w:rsidRPr="00C4408B" w:rsidRDefault="00C4408B">
        <w:pPr>
          <w:pStyle w:val="Pta"/>
          <w:jc w:val="right"/>
          <w:rPr>
            <w:rFonts w:ascii="Times New Roman" w:hAnsi="Times New Roman" w:cs="Times New Roman"/>
            <w:sz w:val="24"/>
            <w:szCs w:val="24"/>
          </w:rPr>
        </w:pPr>
        <w:r w:rsidRPr="00C4408B">
          <w:rPr>
            <w:rFonts w:ascii="Times New Roman" w:hAnsi="Times New Roman" w:cs="Times New Roman"/>
            <w:sz w:val="24"/>
            <w:szCs w:val="24"/>
          </w:rPr>
          <w:fldChar w:fldCharType="begin"/>
        </w:r>
        <w:r w:rsidRPr="00C4408B">
          <w:rPr>
            <w:rFonts w:ascii="Times New Roman" w:hAnsi="Times New Roman" w:cs="Times New Roman"/>
            <w:sz w:val="24"/>
            <w:szCs w:val="24"/>
          </w:rPr>
          <w:instrText>PAGE   \* MERGEFORMAT</w:instrText>
        </w:r>
        <w:r w:rsidRPr="00C4408B">
          <w:rPr>
            <w:rFonts w:ascii="Times New Roman" w:hAnsi="Times New Roman" w:cs="Times New Roman"/>
            <w:sz w:val="24"/>
            <w:szCs w:val="24"/>
          </w:rPr>
          <w:fldChar w:fldCharType="separate"/>
        </w:r>
        <w:r w:rsidR="00693C75">
          <w:rPr>
            <w:rFonts w:ascii="Times New Roman" w:hAnsi="Times New Roman" w:cs="Times New Roman"/>
            <w:noProof/>
            <w:sz w:val="24"/>
            <w:szCs w:val="24"/>
          </w:rPr>
          <w:t>6</w:t>
        </w:r>
        <w:r w:rsidRPr="00C4408B">
          <w:rPr>
            <w:rFonts w:ascii="Times New Roman" w:hAnsi="Times New Roman" w:cs="Times New Roman"/>
            <w:sz w:val="24"/>
            <w:szCs w:val="24"/>
          </w:rPr>
          <w:fldChar w:fldCharType="end"/>
        </w:r>
      </w:p>
    </w:sdtContent>
  </w:sdt>
  <w:p w14:paraId="5799057B" w14:textId="77777777" w:rsidR="00C4408B" w:rsidRDefault="00C4408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F283A" w14:textId="77777777" w:rsidR="00491B03" w:rsidRDefault="00491B03" w:rsidP="00C4408B">
      <w:pPr>
        <w:spacing w:after="0" w:line="240" w:lineRule="auto"/>
      </w:pPr>
      <w:r>
        <w:separator/>
      </w:r>
    </w:p>
  </w:footnote>
  <w:footnote w:type="continuationSeparator" w:id="0">
    <w:p w14:paraId="0B743F22" w14:textId="77777777" w:rsidR="00491B03" w:rsidRDefault="00491B03" w:rsidP="00C44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D45"/>
    <w:multiLevelType w:val="hybridMultilevel"/>
    <w:tmpl w:val="560A2A9C"/>
    <w:lvl w:ilvl="0" w:tplc="854E6A9C">
      <w:start w:val="1"/>
      <w:numFmt w:val="bullet"/>
      <w:lvlText w:val="-"/>
      <w:lvlJc w:val="left"/>
      <w:pPr>
        <w:ind w:left="1068" w:hanging="360"/>
      </w:pPr>
      <w:rPr>
        <w:rFonts w:ascii="Times New Roman" w:eastAsia="Times New Roman" w:hAnsi="Times New Roman" w:cs="Times New Roman" w:hint="default"/>
        <w:sz w:val="24"/>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CC636CC"/>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1604CF"/>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047495"/>
    <w:multiLevelType w:val="hybridMultilevel"/>
    <w:tmpl w:val="8C923D42"/>
    <w:lvl w:ilvl="0" w:tplc="F39C2EE0">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464723"/>
    <w:multiLevelType w:val="hybridMultilevel"/>
    <w:tmpl w:val="6E6E07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B515B8A"/>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F7215EE"/>
    <w:multiLevelType w:val="hybridMultilevel"/>
    <w:tmpl w:val="2D4C2E7A"/>
    <w:lvl w:ilvl="0" w:tplc="291A588A">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EA"/>
    <w:rsid w:val="00060915"/>
    <w:rsid w:val="00070450"/>
    <w:rsid w:val="0008583C"/>
    <w:rsid w:val="000966F7"/>
    <w:rsid w:val="00096AAA"/>
    <w:rsid w:val="000A25FD"/>
    <w:rsid w:val="000B55DC"/>
    <w:rsid w:val="000D5A2E"/>
    <w:rsid w:val="000E0215"/>
    <w:rsid w:val="00153A48"/>
    <w:rsid w:val="00157566"/>
    <w:rsid w:val="00162679"/>
    <w:rsid w:val="00190910"/>
    <w:rsid w:val="001A45EA"/>
    <w:rsid w:val="001C1B33"/>
    <w:rsid w:val="001C51C8"/>
    <w:rsid w:val="001F76F8"/>
    <w:rsid w:val="00206E90"/>
    <w:rsid w:val="002119D1"/>
    <w:rsid w:val="00227F46"/>
    <w:rsid w:val="002368B5"/>
    <w:rsid w:val="00263193"/>
    <w:rsid w:val="002756D7"/>
    <w:rsid w:val="0028065B"/>
    <w:rsid w:val="0029721F"/>
    <w:rsid w:val="002A6C7C"/>
    <w:rsid w:val="00310BD7"/>
    <w:rsid w:val="003236C4"/>
    <w:rsid w:val="00324745"/>
    <w:rsid w:val="003313D7"/>
    <w:rsid w:val="0037035C"/>
    <w:rsid w:val="0037545C"/>
    <w:rsid w:val="00383198"/>
    <w:rsid w:val="003852A4"/>
    <w:rsid w:val="003A68BE"/>
    <w:rsid w:val="003A7079"/>
    <w:rsid w:val="003D26AE"/>
    <w:rsid w:val="003F4A13"/>
    <w:rsid w:val="00420E4F"/>
    <w:rsid w:val="00421C1D"/>
    <w:rsid w:val="00452619"/>
    <w:rsid w:val="00454131"/>
    <w:rsid w:val="0046235E"/>
    <w:rsid w:val="00491B03"/>
    <w:rsid w:val="00492483"/>
    <w:rsid w:val="004976EE"/>
    <w:rsid w:val="004E44C2"/>
    <w:rsid w:val="00500B5E"/>
    <w:rsid w:val="00545C2B"/>
    <w:rsid w:val="00573428"/>
    <w:rsid w:val="005C3DF0"/>
    <w:rsid w:val="005D058B"/>
    <w:rsid w:val="005F011A"/>
    <w:rsid w:val="005F2A3E"/>
    <w:rsid w:val="006374BB"/>
    <w:rsid w:val="006419F9"/>
    <w:rsid w:val="006457F5"/>
    <w:rsid w:val="00647DE8"/>
    <w:rsid w:val="0066120D"/>
    <w:rsid w:val="00661EEE"/>
    <w:rsid w:val="00677E30"/>
    <w:rsid w:val="00693C75"/>
    <w:rsid w:val="006A0004"/>
    <w:rsid w:val="006B2F95"/>
    <w:rsid w:val="006D7811"/>
    <w:rsid w:val="006E384A"/>
    <w:rsid w:val="006F2597"/>
    <w:rsid w:val="00703A5A"/>
    <w:rsid w:val="00717F51"/>
    <w:rsid w:val="00747158"/>
    <w:rsid w:val="007828B6"/>
    <w:rsid w:val="007A5D57"/>
    <w:rsid w:val="007A5E5D"/>
    <w:rsid w:val="007B44D4"/>
    <w:rsid w:val="007D096C"/>
    <w:rsid w:val="007E4D20"/>
    <w:rsid w:val="008077B4"/>
    <w:rsid w:val="00851397"/>
    <w:rsid w:val="008545C6"/>
    <w:rsid w:val="008A22A7"/>
    <w:rsid w:val="00902C5A"/>
    <w:rsid w:val="00957886"/>
    <w:rsid w:val="00964067"/>
    <w:rsid w:val="00966B70"/>
    <w:rsid w:val="009B130A"/>
    <w:rsid w:val="009C04AA"/>
    <w:rsid w:val="009C6860"/>
    <w:rsid w:val="009E472E"/>
    <w:rsid w:val="00A142A1"/>
    <w:rsid w:val="00A23908"/>
    <w:rsid w:val="00A5791A"/>
    <w:rsid w:val="00A6678A"/>
    <w:rsid w:val="00AC4665"/>
    <w:rsid w:val="00AF118E"/>
    <w:rsid w:val="00AF20F9"/>
    <w:rsid w:val="00AF4FE1"/>
    <w:rsid w:val="00B00EB7"/>
    <w:rsid w:val="00B11CB7"/>
    <w:rsid w:val="00B1399D"/>
    <w:rsid w:val="00B33547"/>
    <w:rsid w:val="00B375F3"/>
    <w:rsid w:val="00B42189"/>
    <w:rsid w:val="00B4704E"/>
    <w:rsid w:val="00B64C78"/>
    <w:rsid w:val="00B852D3"/>
    <w:rsid w:val="00B93B56"/>
    <w:rsid w:val="00B95454"/>
    <w:rsid w:val="00BB1DDF"/>
    <w:rsid w:val="00BD50F9"/>
    <w:rsid w:val="00BD614F"/>
    <w:rsid w:val="00BE7CAB"/>
    <w:rsid w:val="00BF61D8"/>
    <w:rsid w:val="00C02C4C"/>
    <w:rsid w:val="00C0332F"/>
    <w:rsid w:val="00C4408B"/>
    <w:rsid w:val="00C516E1"/>
    <w:rsid w:val="00C604D2"/>
    <w:rsid w:val="00C86C8A"/>
    <w:rsid w:val="00CC4402"/>
    <w:rsid w:val="00D2667D"/>
    <w:rsid w:val="00D67546"/>
    <w:rsid w:val="00D927F4"/>
    <w:rsid w:val="00D9297E"/>
    <w:rsid w:val="00DA57D0"/>
    <w:rsid w:val="00DA5F66"/>
    <w:rsid w:val="00DC046F"/>
    <w:rsid w:val="00DC0F4E"/>
    <w:rsid w:val="00DD7D3D"/>
    <w:rsid w:val="00DE539C"/>
    <w:rsid w:val="00DF77BD"/>
    <w:rsid w:val="00E3335B"/>
    <w:rsid w:val="00E43F17"/>
    <w:rsid w:val="00E7659F"/>
    <w:rsid w:val="00EB09DC"/>
    <w:rsid w:val="00ED29B3"/>
    <w:rsid w:val="00EE3B2A"/>
    <w:rsid w:val="00F15AB7"/>
    <w:rsid w:val="00F2168D"/>
    <w:rsid w:val="00F314EF"/>
    <w:rsid w:val="00F43F25"/>
    <w:rsid w:val="00F45F0B"/>
    <w:rsid w:val="00F53D97"/>
    <w:rsid w:val="00F9215F"/>
    <w:rsid w:val="00FB7EF9"/>
    <w:rsid w:val="00FC287C"/>
    <w:rsid w:val="00FE03BB"/>
    <w:rsid w:val="00FE2B7D"/>
    <w:rsid w:val="00FE6751"/>
    <w:rsid w:val="00FE77D3"/>
    <w:rsid w:val="00FF0C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4A9B"/>
  <w15:docId w15:val="{9908D2B7-CF96-40FC-807C-D78F3359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1A45EA"/>
  </w:style>
  <w:style w:type="character" w:styleId="Hypertextovprepojenie">
    <w:name w:val="Hyperlink"/>
    <w:basedOn w:val="Predvolenpsmoodseku"/>
    <w:uiPriority w:val="99"/>
    <w:semiHidden/>
    <w:unhideWhenUsed/>
    <w:rsid w:val="001A45EA"/>
    <w:rPr>
      <w:color w:val="0000FF"/>
      <w:u w:val="single"/>
    </w:rPr>
  </w:style>
  <w:style w:type="paragraph" w:styleId="Odsekzoznamu">
    <w:name w:val="List Paragraph"/>
    <w:basedOn w:val="Normlny"/>
    <w:uiPriority w:val="34"/>
    <w:qFormat/>
    <w:rsid w:val="001A45EA"/>
    <w:pPr>
      <w:ind w:left="720"/>
      <w:contextualSpacing/>
    </w:pPr>
  </w:style>
  <w:style w:type="character" w:customStyle="1" w:styleId="awspan1">
    <w:name w:val="awspan1"/>
    <w:basedOn w:val="Predvolenpsmoodseku"/>
    <w:rsid w:val="00B11CB7"/>
    <w:rPr>
      <w:rFonts w:cs="Times New Roman"/>
      <w:color w:val="000000"/>
      <w:sz w:val="24"/>
      <w:szCs w:val="24"/>
    </w:rPr>
  </w:style>
  <w:style w:type="character" w:styleId="Zvraznenie">
    <w:name w:val="Emphasis"/>
    <w:basedOn w:val="Predvolenpsmoodseku"/>
    <w:uiPriority w:val="20"/>
    <w:qFormat/>
    <w:rsid w:val="00DC046F"/>
    <w:rPr>
      <w:i/>
      <w:iCs/>
    </w:rPr>
  </w:style>
  <w:style w:type="paragraph" w:styleId="Normlnywebov">
    <w:name w:val="Normal (Web)"/>
    <w:basedOn w:val="Normlny"/>
    <w:uiPriority w:val="99"/>
    <w:semiHidden/>
    <w:unhideWhenUsed/>
    <w:rsid w:val="00DC046F"/>
    <w:pPr>
      <w:spacing w:before="100" w:beforeAutospacing="1" w:after="100" w:afterAutospacing="1" w:line="240" w:lineRule="auto"/>
    </w:pPr>
    <w:rPr>
      <w:rFonts w:ascii="Times New Roman" w:hAnsi="Times New Roman" w:cs="Times New Roman"/>
      <w:sz w:val="24"/>
      <w:szCs w:val="24"/>
      <w:lang w:eastAsia="sk-SK"/>
    </w:rPr>
  </w:style>
  <w:style w:type="paragraph" w:customStyle="1" w:styleId="gmail-c02alineaalta">
    <w:name w:val="gmail-c02alineaalta"/>
    <w:basedOn w:val="Normlny"/>
    <w:rsid w:val="009B130A"/>
    <w:pPr>
      <w:spacing w:before="100" w:beforeAutospacing="1" w:after="100" w:afterAutospacing="1" w:line="240" w:lineRule="auto"/>
    </w:pPr>
    <w:rPr>
      <w:rFonts w:ascii="Times New Roman" w:hAnsi="Times New Roman" w:cs="Times New Roman"/>
      <w:sz w:val="24"/>
      <w:szCs w:val="24"/>
      <w:lang w:eastAsia="sk-SK"/>
    </w:rPr>
  </w:style>
  <w:style w:type="paragraph" w:customStyle="1" w:styleId="gmail-c08dispositif">
    <w:name w:val="gmail-c08dispositif"/>
    <w:basedOn w:val="Normlny"/>
    <w:rsid w:val="009B130A"/>
    <w:pPr>
      <w:spacing w:before="100" w:beforeAutospacing="1" w:after="100" w:afterAutospacing="1" w:line="240" w:lineRule="auto"/>
    </w:pPr>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90910"/>
    <w:rPr>
      <w:sz w:val="16"/>
      <w:szCs w:val="16"/>
    </w:rPr>
  </w:style>
  <w:style w:type="paragraph" w:styleId="Textkomentra">
    <w:name w:val="annotation text"/>
    <w:basedOn w:val="Normlny"/>
    <w:link w:val="TextkomentraChar"/>
    <w:uiPriority w:val="99"/>
    <w:semiHidden/>
    <w:unhideWhenUsed/>
    <w:rsid w:val="00190910"/>
    <w:pPr>
      <w:spacing w:line="240" w:lineRule="auto"/>
    </w:pPr>
    <w:rPr>
      <w:sz w:val="20"/>
      <w:szCs w:val="20"/>
    </w:rPr>
  </w:style>
  <w:style w:type="character" w:customStyle="1" w:styleId="TextkomentraChar">
    <w:name w:val="Text komentára Char"/>
    <w:basedOn w:val="Predvolenpsmoodseku"/>
    <w:link w:val="Textkomentra"/>
    <w:uiPriority w:val="99"/>
    <w:semiHidden/>
    <w:rsid w:val="00190910"/>
    <w:rPr>
      <w:sz w:val="20"/>
      <w:szCs w:val="20"/>
    </w:rPr>
  </w:style>
  <w:style w:type="paragraph" w:styleId="Predmetkomentra">
    <w:name w:val="annotation subject"/>
    <w:basedOn w:val="Textkomentra"/>
    <w:next w:val="Textkomentra"/>
    <w:link w:val="PredmetkomentraChar"/>
    <w:uiPriority w:val="99"/>
    <w:semiHidden/>
    <w:unhideWhenUsed/>
    <w:rsid w:val="00190910"/>
    <w:rPr>
      <w:b/>
      <w:bCs/>
    </w:rPr>
  </w:style>
  <w:style w:type="character" w:customStyle="1" w:styleId="PredmetkomentraChar">
    <w:name w:val="Predmet komentára Char"/>
    <w:basedOn w:val="TextkomentraChar"/>
    <w:link w:val="Predmetkomentra"/>
    <w:uiPriority w:val="99"/>
    <w:semiHidden/>
    <w:rsid w:val="00190910"/>
    <w:rPr>
      <w:b/>
      <w:bCs/>
      <w:sz w:val="20"/>
      <w:szCs w:val="20"/>
    </w:rPr>
  </w:style>
  <w:style w:type="paragraph" w:styleId="Textbubliny">
    <w:name w:val="Balloon Text"/>
    <w:basedOn w:val="Normlny"/>
    <w:link w:val="TextbublinyChar"/>
    <w:uiPriority w:val="99"/>
    <w:semiHidden/>
    <w:unhideWhenUsed/>
    <w:rsid w:val="0019091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0910"/>
    <w:rPr>
      <w:rFonts w:ascii="Segoe UI" w:hAnsi="Segoe UI" w:cs="Segoe UI"/>
      <w:sz w:val="18"/>
      <w:szCs w:val="18"/>
    </w:rPr>
  </w:style>
  <w:style w:type="paragraph" w:styleId="Hlavika">
    <w:name w:val="header"/>
    <w:basedOn w:val="Normlny"/>
    <w:link w:val="HlavikaChar"/>
    <w:uiPriority w:val="99"/>
    <w:unhideWhenUsed/>
    <w:rsid w:val="00C440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408B"/>
  </w:style>
  <w:style w:type="paragraph" w:styleId="Pta">
    <w:name w:val="footer"/>
    <w:basedOn w:val="Normlny"/>
    <w:link w:val="PtaChar"/>
    <w:uiPriority w:val="99"/>
    <w:unhideWhenUsed/>
    <w:rsid w:val="00C4408B"/>
    <w:pPr>
      <w:tabs>
        <w:tab w:val="center" w:pos="4536"/>
        <w:tab w:val="right" w:pos="9072"/>
      </w:tabs>
      <w:spacing w:after="0" w:line="240" w:lineRule="auto"/>
    </w:pPr>
  </w:style>
  <w:style w:type="character" w:customStyle="1" w:styleId="PtaChar">
    <w:name w:val="Päta Char"/>
    <w:basedOn w:val="Predvolenpsmoodseku"/>
    <w:link w:val="Pta"/>
    <w:uiPriority w:val="99"/>
    <w:rsid w:val="00C4408B"/>
  </w:style>
  <w:style w:type="paragraph" w:styleId="Zkladntext">
    <w:name w:val="Body Text"/>
    <w:basedOn w:val="Normlny"/>
    <w:link w:val="ZkladntextChar"/>
    <w:uiPriority w:val="99"/>
    <w:semiHidden/>
    <w:unhideWhenUsed/>
    <w:rsid w:val="003D26AE"/>
    <w:pPr>
      <w:spacing w:after="120" w:line="240" w:lineRule="auto"/>
    </w:pPr>
    <w:rPr>
      <w:rFonts w:ascii="Times New Roman" w:hAnsi="Times New Roman" w:cs="Times New Roman"/>
      <w:sz w:val="24"/>
      <w:szCs w:val="24"/>
      <w:lang w:eastAsia="cs-CZ"/>
    </w:rPr>
  </w:style>
  <w:style w:type="character" w:customStyle="1" w:styleId="ZkladntextChar">
    <w:name w:val="Základný text Char"/>
    <w:basedOn w:val="Predvolenpsmoodseku"/>
    <w:link w:val="Zkladntext"/>
    <w:uiPriority w:val="99"/>
    <w:semiHidden/>
    <w:rsid w:val="003D26AE"/>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787">
      <w:bodyDiv w:val="1"/>
      <w:marLeft w:val="0"/>
      <w:marRight w:val="0"/>
      <w:marTop w:val="0"/>
      <w:marBottom w:val="0"/>
      <w:divBdr>
        <w:top w:val="none" w:sz="0" w:space="0" w:color="auto"/>
        <w:left w:val="none" w:sz="0" w:space="0" w:color="auto"/>
        <w:bottom w:val="none" w:sz="0" w:space="0" w:color="auto"/>
        <w:right w:val="none" w:sz="0" w:space="0" w:color="auto"/>
      </w:divBdr>
    </w:div>
    <w:div w:id="151721829">
      <w:bodyDiv w:val="1"/>
      <w:marLeft w:val="0"/>
      <w:marRight w:val="0"/>
      <w:marTop w:val="0"/>
      <w:marBottom w:val="0"/>
      <w:divBdr>
        <w:top w:val="none" w:sz="0" w:space="0" w:color="auto"/>
        <w:left w:val="none" w:sz="0" w:space="0" w:color="auto"/>
        <w:bottom w:val="none" w:sz="0" w:space="0" w:color="auto"/>
        <w:right w:val="none" w:sz="0" w:space="0" w:color="auto"/>
      </w:divBdr>
    </w:div>
    <w:div w:id="452945780">
      <w:bodyDiv w:val="1"/>
      <w:marLeft w:val="0"/>
      <w:marRight w:val="0"/>
      <w:marTop w:val="0"/>
      <w:marBottom w:val="0"/>
      <w:divBdr>
        <w:top w:val="none" w:sz="0" w:space="0" w:color="auto"/>
        <w:left w:val="none" w:sz="0" w:space="0" w:color="auto"/>
        <w:bottom w:val="none" w:sz="0" w:space="0" w:color="auto"/>
        <w:right w:val="none" w:sz="0" w:space="0" w:color="auto"/>
      </w:divBdr>
    </w:div>
    <w:div w:id="789325907">
      <w:bodyDiv w:val="1"/>
      <w:marLeft w:val="0"/>
      <w:marRight w:val="0"/>
      <w:marTop w:val="0"/>
      <w:marBottom w:val="0"/>
      <w:divBdr>
        <w:top w:val="none" w:sz="0" w:space="0" w:color="auto"/>
        <w:left w:val="none" w:sz="0" w:space="0" w:color="auto"/>
        <w:bottom w:val="none" w:sz="0" w:space="0" w:color="auto"/>
        <w:right w:val="none" w:sz="0" w:space="0" w:color="auto"/>
      </w:divBdr>
    </w:div>
    <w:div w:id="1137456382">
      <w:bodyDiv w:val="1"/>
      <w:marLeft w:val="0"/>
      <w:marRight w:val="0"/>
      <w:marTop w:val="0"/>
      <w:marBottom w:val="0"/>
      <w:divBdr>
        <w:top w:val="none" w:sz="0" w:space="0" w:color="auto"/>
        <w:left w:val="none" w:sz="0" w:space="0" w:color="auto"/>
        <w:bottom w:val="none" w:sz="0" w:space="0" w:color="auto"/>
        <w:right w:val="none" w:sz="0" w:space="0" w:color="auto"/>
      </w:divBdr>
    </w:div>
    <w:div w:id="1212420100">
      <w:bodyDiv w:val="1"/>
      <w:marLeft w:val="0"/>
      <w:marRight w:val="0"/>
      <w:marTop w:val="0"/>
      <w:marBottom w:val="0"/>
      <w:divBdr>
        <w:top w:val="none" w:sz="0" w:space="0" w:color="auto"/>
        <w:left w:val="none" w:sz="0" w:space="0" w:color="auto"/>
        <w:bottom w:val="none" w:sz="0" w:space="0" w:color="auto"/>
        <w:right w:val="none" w:sz="0" w:space="0" w:color="auto"/>
      </w:divBdr>
    </w:div>
    <w:div w:id="1237351565">
      <w:bodyDiv w:val="1"/>
      <w:marLeft w:val="0"/>
      <w:marRight w:val="0"/>
      <w:marTop w:val="0"/>
      <w:marBottom w:val="0"/>
      <w:divBdr>
        <w:top w:val="none" w:sz="0" w:space="0" w:color="auto"/>
        <w:left w:val="none" w:sz="0" w:space="0" w:color="auto"/>
        <w:bottom w:val="none" w:sz="0" w:space="0" w:color="auto"/>
        <w:right w:val="none" w:sz="0" w:space="0" w:color="auto"/>
      </w:divBdr>
    </w:div>
    <w:div w:id="1575628961">
      <w:bodyDiv w:val="1"/>
      <w:marLeft w:val="0"/>
      <w:marRight w:val="0"/>
      <w:marTop w:val="0"/>
      <w:marBottom w:val="0"/>
      <w:divBdr>
        <w:top w:val="none" w:sz="0" w:space="0" w:color="auto"/>
        <w:left w:val="none" w:sz="0" w:space="0" w:color="auto"/>
        <w:bottom w:val="none" w:sz="0" w:space="0" w:color="auto"/>
        <w:right w:val="none" w:sz="0" w:space="0" w:color="auto"/>
      </w:divBdr>
      <w:divsChild>
        <w:div w:id="1246257514">
          <w:marLeft w:val="0"/>
          <w:marRight w:val="0"/>
          <w:marTop w:val="200"/>
          <w:marBottom w:val="200"/>
          <w:divBdr>
            <w:top w:val="single" w:sz="8" w:space="0" w:color="000000"/>
            <w:left w:val="single" w:sz="8" w:space="0" w:color="000000"/>
            <w:bottom w:val="single" w:sz="8" w:space="0" w:color="000000"/>
            <w:right w:val="single" w:sz="8" w:space="0" w:color="000000"/>
          </w:divBdr>
          <w:divsChild>
            <w:div w:id="2019771552">
              <w:marLeft w:val="0"/>
              <w:marRight w:val="0"/>
              <w:marTop w:val="0"/>
              <w:marBottom w:val="0"/>
              <w:divBdr>
                <w:top w:val="none" w:sz="0" w:space="0" w:color="auto"/>
                <w:left w:val="none" w:sz="0" w:space="0" w:color="auto"/>
                <w:bottom w:val="none" w:sz="0" w:space="0" w:color="auto"/>
                <w:right w:val="none" w:sz="0" w:space="0" w:color="auto"/>
              </w:divBdr>
            </w:div>
            <w:div w:id="1562908705">
              <w:marLeft w:val="0"/>
              <w:marRight w:val="0"/>
              <w:marTop w:val="0"/>
              <w:marBottom w:val="0"/>
              <w:divBdr>
                <w:top w:val="none" w:sz="0" w:space="0" w:color="auto"/>
                <w:left w:val="none" w:sz="0" w:space="0" w:color="auto"/>
                <w:bottom w:val="none" w:sz="0" w:space="0" w:color="auto"/>
                <w:right w:val="none" w:sz="0" w:space="0" w:color="auto"/>
              </w:divBdr>
              <w:divsChild>
                <w:div w:id="1439638040">
                  <w:marLeft w:val="0"/>
                  <w:marRight w:val="0"/>
                  <w:marTop w:val="0"/>
                  <w:marBottom w:val="0"/>
                  <w:divBdr>
                    <w:top w:val="none" w:sz="0" w:space="0" w:color="auto"/>
                    <w:left w:val="none" w:sz="0" w:space="0" w:color="auto"/>
                    <w:bottom w:val="none" w:sz="0" w:space="0" w:color="auto"/>
                    <w:right w:val="none" w:sz="0" w:space="0" w:color="auto"/>
                  </w:divBdr>
                </w:div>
                <w:div w:id="402411772">
                  <w:marLeft w:val="0"/>
                  <w:marRight w:val="0"/>
                  <w:marTop w:val="0"/>
                  <w:marBottom w:val="0"/>
                  <w:divBdr>
                    <w:top w:val="none" w:sz="0" w:space="0" w:color="auto"/>
                    <w:left w:val="none" w:sz="0" w:space="0" w:color="auto"/>
                    <w:bottom w:val="none" w:sz="0" w:space="0" w:color="auto"/>
                    <w:right w:val="none" w:sz="0" w:space="0" w:color="auto"/>
                  </w:divBdr>
                </w:div>
                <w:div w:id="1747923190">
                  <w:marLeft w:val="0"/>
                  <w:marRight w:val="0"/>
                  <w:marTop w:val="0"/>
                  <w:marBottom w:val="0"/>
                  <w:divBdr>
                    <w:top w:val="none" w:sz="0" w:space="0" w:color="auto"/>
                    <w:left w:val="none" w:sz="0" w:space="0" w:color="auto"/>
                    <w:bottom w:val="none" w:sz="0" w:space="0" w:color="auto"/>
                    <w:right w:val="none" w:sz="0" w:space="0" w:color="auto"/>
                  </w:divBdr>
                </w:div>
                <w:div w:id="1874152532">
                  <w:marLeft w:val="0"/>
                  <w:marRight w:val="0"/>
                  <w:marTop w:val="0"/>
                  <w:marBottom w:val="0"/>
                  <w:divBdr>
                    <w:top w:val="none" w:sz="0" w:space="0" w:color="auto"/>
                    <w:left w:val="none" w:sz="0" w:space="0" w:color="auto"/>
                    <w:bottom w:val="none" w:sz="0" w:space="0" w:color="auto"/>
                    <w:right w:val="none" w:sz="0" w:space="0" w:color="auto"/>
                  </w:divBdr>
                </w:div>
                <w:div w:id="1521747052">
                  <w:marLeft w:val="0"/>
                  <w:marRight w:val="0"/>
                  <w:marTop w:val="0"/>
                  <w:marBottom w:val="0"/>
                  <w:divBdr>
                    <w:top w:val="none" w:sz="0" w:space="0" w:color="auto"/>
                    <w:left w:val="none" w:sz="0" w:space="0" w:color="auto"/>
                    <w:bottom w:val="none" w:sz="0" w:space="0" w:color="auto"/>
                    <w:right w:val="none" w:sz="0" w:space="0" w:color="auto"/>
                  </w:divBdr>
                </w:div>
                <w:div w:id="595795166">
                  <w:marLeft w:val="0"/>
                  <w:marRight w:val="0"/>
                  <w:marTop w:val="0"/>
                  <w:marBottom w:val="0"/>
                  <w:divBdr>
                    <w:top w:val="none" w:sz="0" w:space="0" w:color="auto"/>
                    <w:left w:val="none" w:sz="0" w:space="0" w:color="auto"/>
                    <w:bottom w:val="none" w:sz="0" w:space="0" w:color="auto"/>
                    <w:right w:val="none" w:sz="0" w:space="0" w:color="auto"/>
                  </w:divBdr>
                </w:div>
                <w:div w:id="2009020374">
                  <w:marLeft w:val="0"/>
                  <w:marRight w:val="0"/>
                  <w:marTop w:val="0"/>
                  <w:marBottom w:val="0"/>
                  <w:divBdr>
                    <w:top w:val="none" w:sz="0" w:space="0" w:color="auto"/>
                    <w:left w:val="none" w:sz="0" w:space="0" w:color="auto"/>
                    <w:bottom w:val="none" w:sz="0" w:space="0" w:color="auto"/>
                    <w:right w:val="none" w:sz="0" w:space="0" w:color="auto"/>
                  </w:divBdr>
                </w:div>
                <w:div w:id="352003855">
                  <w:marLeft w:val="0"/>
                  <w:marRight w:val="0"/>
                  <w:marTop w:val="0"/>
                  <w:marBottom w:val="0"/>
                  <w:divBdr>
                    <w:top w:val="none" w:sz="0" w:space="0" w:color="auto"/>
                    <w:left w:val="none" w:sz="0" w:space="0" w:color="auto"/>
                    <w:bottom w:val="none" w:sz="0" w:space="0" w:color="auto"/>
                    <w:right w:val="none" w:sz="0" w:space="0" w:color="auto"/>
                  </w:divBdr>
                </w:div>
                <w:div w:id="143477547">
                  <w:marLeft w:val="0"/>
                  <w:marRight w:val="0"/>
                  <w:marTop w:val="0"/>
                  <w:marBottom w:val="0"/>
                  <w:divBdr>
                    <w:top w:val="none" w:sz="0" w:space="0" w:color="auto"/>
                    <w:left w:val="none" w:sz="0" w:space="0" w:color="auto"/>
                    <w:bottom w:val="none" w:sz="0" w:space="0" w:color="auto"/>
                    <w:right w:val="none" w:sz="0" w:space="0" w:color="auto"/>
                  </w:divBdr>
                </w:div>
                <w:div w:id="1018967760">
                  <w:marLeft w:val="0"/>
                  <w:marRight w:val="0"/>
                  <w:marTop w:val="0"/>
                  <w:marBottom w:val="0"/>
                  <w:divBdr>
                    <w:top w:val="none" w:sz="0" w:space="0" w:color="auto"/>
                    <w:left w:val="none" w:sz="0" w:space="0" w:color="auto"/>
                    <w:bottom w:val="none" w:sz="0" w:space="0" w:color="auto"/>
                    <w:right w:val="none" w:sz="0" w:space="0" w:color="auto"/>
                  </w:divBdr>
                </w:div>
                <w:div w:id="1509978040">
                  <w:marLeft w:val="0"/>
                  <w:marRight w:val="0"/>
                  <w:marTop w:val="0"/>
                  <w:marBottom w:val="0"/>
                  <w:divBdr>
                    <w:top w:val="none" w:sz="0" w:space="0" w:color="auto"/>
                    <w:left w:val="none" w:sz="0" w:space="0" w:color="auto"/>
                    <w:bottom w:val="none" w:sz="0" w:space="0" w:color="auto"/>
                    <w:right w:val="none" w:sz="0" w:space="0" w:color="auto"/>
                  </w:divBdr>
                </w:div>
                <w:div w:id="550654893">
                  <w:marLeft w:val="0"/>
                  <w:marRight w:val="0"/>
                  <w:marTop w:val="0"/>
                  <w:marBottom w:val="0"/>
                  <w:divBdr>
                    <w:top w:val="none" w:sz="0" w:space="0" w:color="auto"/>
                    <w:left w:val="none" w:sz="0" w:space="0" w:color="auto"/>
                    <w:bottom w:val="none" w:sz="0" w:space="0" w:color="auto"/>
                    <w:right w:val="none" w:sz="0" w:space="0" w:color="auto"/>
                  </w:divBdr>
                </w:div>
                <w:div w:id="1171992351">
                  <w:marLeft w:val="0"/>
                  <w:marRight w:val="0"/>
                  <w:marTop w:val="0"/>
                  <w:marBottom w:val="0"/>
                  <w:divBdr>
                    <w:top w:val="none" w:sz="0" w:space="0" w:color="auto"/>
                    <w:left w:val="none" w:sz="0" w:space="0" w:color="auto"/>
                    <w:bottom w:val="none" w:sz="0" w:space="0" w:color="auto"/>
                    <w:right w:val="none" w:sz="0" w:space="0" w:color="auto"/>
                  </w:divBdr>
                </w:div>
                <w:div w:id="1292055417">
                  <w:marLeft w:val="0"/>
                  <w:marRight w:val="0"/>
                  <w:marTop w:val="0"/>
                  <w:marBottom w:val="0"/>
                  <w:divBdr>
                    <w:top w:val="none" w:sz="0" w:space="0" w:color="auto"/>
                    <w:left w:val="none" w:sz="0" w:space="0" w:color="auto"/>
                    <w:bottom w:val="none" w:sz="0" w:space="0" w:color="auto"/>
                    <w:right w:val="none" w:sz="0" w:space="0" w:color="auto"/>
                  </w:divBdr>
                </w:div>
                <w:div w:id="834495857">
                  <w:marLeft w:val="0"/>
                  <w:marRight w:val="0"/>
                  <w:marTop w:val="0"/>
                  <w:marBottom w:val="0"/>
                  <w:divBdr>
                    <w:top w:val="none" w:sz="0" w:space="0" w:color="auto"/>
                    <w:left w:val="none" w:sz="0" w:space="0" w:color="auto"/>
                    <w:bottom w:val="none" w:sz="0" w:space="0" w:color="auto"/>
                    <w:right w:val="none" w:sz="0" w:space="0" w:color="auto"/>
                  </w:divBdr>
                </w:div>
                <w:div w:id="8598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6712">
          <w:marLeft w:val="0"/>
          <w:marRight w:val="0"/>
          <w:marTop w:val="200"/>
          <w:marBottom w:val="200"/>
          <w:divBdr>
            <w:top w:val="single" w:sz="8" w:space="0" w:color="000000"/>
            <w:left w:val="single" w:sz="8" w:space="0" w:color="000000"/>
            <w:bottom w:val="single" w:sz="8" w:space="0" w:color="000000"/>
            <w:right w:val="single" w:sz="8" w:space="0" w:color="000000"/>
          </w:divBdr>
          <w:divsChild>
            <w:div w:id="997268095">
              <w:marLeft w:val="0"/>
              <w:marRight w:val="0"/>
              <w:marTop w:val="0"/>
              <w:marBottom w:val="0"/>
              <w:divBdr>
                <w:top w:val="none" w:sz="0" w:space="0" w:color="auto"/>
                <w:left w:val="none" w:sz="0" w:space="0" w:color="auto"/>
                <w:bottom w:val="none" w:sz="0" w:space="0" w:color="auto"/>
                <w:right w:val="none" w:sz="0" w:space="0" w:color="auto"/>
              </w:divBdr>
            </w:div>
            <w:div w:id="2014448117">
              <w:marLeft w:val="0"/>
              <w:marRight w:val="0"/>
              <w:marTop w:val="0"/>
              <w:marBottom w:val="0"/>
              <w:divBdr>
                <w:top w:val="none" w:sz="0" w:space="0" w:color="auto"/>
                <w:left w:val="none" w:sz="0" w:space="0" w:color="auto"/>
                <w:bottom w:val="none" w:sz="0" w:space="0" w:color="auto"/>
                <w:right w:val="none" w:sz="0" w:space="0" w:color="auto"/>
              </w:divBdr>
              <w:divsChild>
                <w:div w:id="136994361">
                  <w:marLeft w:val="0"/>
                  <w:marRight w:val="0"/>
                  <w:marTop w:val="0"/>
                  <w:marBottom w:val="0"/>
                  <w:divBdr>
                    <w:top w:val="none" w:sz="0" w:space="0" w:color="auto"/>
                    <w:left w:val="none" w:sz="0" w:space="0" w:color="auto"/>
                    <w:bottom w:val="none" w:sz="0" w:space="0" w:color="auto"/>
                    <w:right w:val="none" w:sz="0" w:space="0" w:color="auto"/>
                  </w:divBdr>
                </w:div>
                <w:div w:id="1103840420">
                  <w:marLeft w:val="0"/>
                  <w:marRight w:val="0"/>
                  <w:marTop w:val="0"/>
                  <w:marBottom w:val="0"/>
                  <w:divBdr>
                    <w:top w:val="none" w:sz="0" w:space="0" w:color="auto"/>
                    <w:left w:val="none" w:sz="0" w:space="0" w:color="auto"/>
                    <w:bottom w:val="none" w:sz="0" w:space="0" w:color="auto"/>
                    <w:right w:val="none" w:sz="0" w:space="0" w:color="auto"/>
                  </w:divBdr>
                </w:div>
                <w:div w:id="1831169621">
                  <w:marLeft w:val="0"/>
                  <w:marRight w:val="0"/>
                  <w:marTop w:val="0"/>
                  <w:marBottom w:val="0"/>
                  <w:divBdr>
                    <w:top w:val="none" w:sz="0" w:space="0" w:color="auto"/>
                    <w:left w:val="none" w:sz="0" w:space="0" w:color="auto"/>
                    <w:bottom w:val="none" w:sz="0" w:space="0" w:color="auto"/>
                    <w:right w:val="none" w:sz="0" w:space="0" w:color="auto"/>
                  </w:divBdr>
                </w:div>
                <w:div w:id="1308126267">
                  <w:marLeft w:val="0"/>
                  <w:marRight w:val="0"/>
                  <w:marTop w:val="0"/>
                  <w:marBottom w:val="0"/>
                  <w:divBdr>
                    <w:top w:val="none" w:sz="0" w:space="0" w:color="auto"/>
                    <w:left w:val="none" w:sz="0" w:space="0" w:color="auto"/>
                    <w:bottom w:val="none" w:sz="0" w:space="0" w:color="auto"/>
                    <w:right w:val="none" w:sz="0" w:space="0" w:color="auto"/>
                  </w:divBdr>
                </w:div>
                <w:div w:id="1281644739">
                  <w:marLeft w:val="0"/>
                  <w:marRight w:val="0"/>
                  <w:marTop w:val="0"/>
                  <w:marBottom w:val="0"/>
                  <w:divBdr>
                    <w:top w:val="none" w:sz="0" w:space="0" w:color="auto"/>
                    <w:left w:val="none" w:sz="0" w:space="0" w:color="auto"/>
                    <w:bottom w:val="none" w:sz="0" w:space="0" w:color="auto"/>
                    <w:right w:val="none" w:sz="0" w:space="0" w:color="auto"/>
                  </w:divBdr>
                </w:div>
                <w:div w:id="1489705944">
                  <w:marLeft w:val="0"/>
                  <w:marRight w:val="0"/>
                  <w:marTop w:val="0"/>
                  <w:marBottom w:val="0"/>
                  <w:divBdr>
                    <w:top w:val="none" w:sz="0" w:space="0" w:color="auto"/>
                    <w:left w:val="none" w:sz="0" w:space="0" w:color="auto"/>
                    <w:bottom w:val="none" w:sz="0" w:space="0" w:color="auto"/>
                    <w:right w:val="none" w:sz="0" w:space="0" w:color="auto"/>
                  </w:divBdr>
                </w:div>
                <w:div w:id="874586650">
                  <w:marLeft w:val="0"/>
                  <w:marRight w:val="0"/>
                  <w:marTop w:val="0"/>
                  <w:marBottom w:val="0"/>
                  <w:divBdr>
                    <w:top w:val="none" w:sz="0" w:space="0" w:color="auto"/>
                    <w:left w:val="none" w:sz="0" w:space="0" w:color="auto"/>
                    <w:bottom w:val="none" w:sz="0" w:space="0" w:color="auto"/>
                    <w:right w:val="none" w:sz="0" w:space="0" w:color="auto"/>
                  </w:divBdr>
                </w:div>
                <w:div w:id="857233771">
                  <w:marLeft w:val="0"/>
                  <w:marRight w:val="0"/>
                  <w:marTop w:val="0"/>
                  <w:marBottom w:val="0"/>
                  <w:divBdr>
                    <w:top w:val="none" w:sz="0" w:space="0" w:color="auto"/>
                    <w:left w:val="none" w:sz="0" w:space="0" w:color="auto"/>
                    <w:bottom w:val="none" w:sz="0" w:space="0" w:color="auto"/>
                    <w:right w:val="none" w:sz="0" w:space="0" w:color="auto"/>
                  </w:divBdr>
                  <w:divsChild>
                    <w:div w:id="570044893">
                      <w:marLeft w:val="0"/>
                      <w:marRight w:val="0"/>
                      <w:marTop w:val="0"/>
                      <w:marBottom w:val="0"/>
                      <w:divBdr>
                        <w:top w:val="none" w:sz="0" w:space="0" w:color="auto"/>
                        <w:left w:val="none" w:sz="0" w:space="0" w:color="auto"/>
                        <w:bottom w:val="none" w:sz="0" w:space="0" w:color="auto"/>
                        <w:right w:val="none" w:sz="0" w:space="0" w:color="auto"/>
                      </w:divBdr>
                    </w:div>
                    <w:div w:id="801532607">
                      <w:marLeft w:val="0"/>
                      <w:marRight w:val="0"/>
                      <w:marTop w:val="0"/>
                      <w:marBottom w:val="0"/>
                      <w:divBdr>
                        <w:top w:val="none" w:sz="0" w:space="0" w:color="auto"/>
                        <w:left w:val="none" w:sz="0" w:space="0" w:color="auto"/>
                        <w:bottom w:val="none" w:sz="0" w:space="0" w:color="auto"/>
                        <w:right w:val="none" w:sz="0" w:space="0" w:color="auto"/>
                      </w:divBdr>
                    </w:div>
                    <w:div w:id="1823933786">
                      <w:marLeft w:val="0"/>
                      <w:marRight w:val="0"/>
                      <w:marTop w:val="0"/>
                      <w:marBottom w:val="0"/>
                      <w:divBdr>
                        <w:top w:val="none" w:sz="0" w:space="0" w:color="auto"/>
                        <w:left w:val="none" w:sz="0" w:space="0" w:color="auto"/>
                        <w:bottom w:val="none" w:sz="0" w:space="0" w:color="auto"/>
                        <w:right w:val="none" w:sz="0" w:space="0" w:color="auto"/>
                      </w:divBdr>
                    </w:div>
                    <w:div w:id="762994954">
                      <w:marLeft w:val="0"/>
                      <w:marRight w:val="0"/>
                      <w:marTop w:val="0"/>
                      <w:marBottom w:val="0"/>
                      <w:divBdr>
                        <w:top w:val="none" w:sz="0" w:space="0" w:color="auto"/>
                        <w:left w:val="none" w:sz="0" w:space="0" w:color="auto"/>
                        <w:bottom w:val="none" w:sz="0" w:space="0" w:color="auto"/>
                        <w:right w:val="none" w:sz="0" w:space="0" w:color="auto"/>
                      </w:divBdr>
                    </w:div>
                    <w:div w:id="1006901631">
                      <w:marLeft w:val="0"/>
                      <w:marRight w:val="0"/>
                      <w:marTop w:val="0"/>
                      <w:marBottom w:val="0"/>
                      <w:divBdr>
                        <w:top w:val="none" w:sz="0" w:space="0" w:color="auto"/>
                        <w:left w:val="none" w:sz="0" w:space="0" w:color="auto"/>
                        <w:bottom w:val="none" w:sz="0" w:space="0" w:color="auto"/>
                        <w:right w:val="none" w:sz="0" w:space="0" w:color="auto"/>
                      </w:divBdr>
                    </w:div>
                  </w:divsChild>
                </w:div>
                <w:div w:id="1984845639">
                  <w:marLeft w:val="0"/>
                  <w:marRight w:val="0"/>
                  <w:marTop w:val="0"/>
                  <w:marBottom w:val="0"/>
                  <w:divBdr>
                    <w:top w:val="none" w:sz="0" w:space="0" w:color="auto"/>
                    <w:left w:val="none" w:sz="0" w:space="0" w:color="auto"/>
                    <w:bottom w:val="none" w:sz="0" w:space="0" w:color="auto"/>
                    <w:right w:val="none" w:sz="0" w:space="0" w:color="auto"/>
                  </w:divBdr>
                </w:div>
                <w:div w:id="1323898042">
                  <w:marLeft w:val="0"/>
                  <w:marRight w:val="0"/>
                  <w:marTop w:val="0"/>
                  <w:marBottom w:val="0"/>
                  <w:divBdr>
                    <w:top w:val="none" w:sz="0" w:space="0" w:color="auto"/>
                    <w:left w:val="none" w:sz="0" w:space="0" w:color="auto"/>
                    <w:bottom w:val="none" w:sz="0" w:space="0" w:color="auto"/>
                    <w:right w:val="none" w:sz="0" w:space="0" w:color="auto"/>
                  </w:divBdr>
                </w:div>
                <w:div w:id="798260656">
                  <w:marLeft w:val="0"/>
                  <w:marRight w:val="0"/>
                  <w:marTop w:val="0"/>
                  <w:marBottom w:val="0"/>
                  <w:divBdr>
                    <w:top w:val="none" w:sz="0" w:space="0" w:color="auto"/>
                    <w:left w:val="none" w:sz="0" w:space="0" w:color="auto"/>
                    <w:bottom w:val="none" w:sz="0" w:space="0" w:color="auto"/>
                    <w:right w:val="none" w:sz="0" w:space="0" w:color="auto"/>
                  </w:divBdr>
                </w:div>
                <w:div w:id="1772044063">
                  <w:marLeft w:val="0"/>
                  <w:marRight w:val="0"/>
                  <w:marTop w:val="0"/>
                  <w:marBottom w:val="0"/>
                  <w:divBdr>
                    <w:top w:val="none" w:sz="0" w:space="0" w:color="auto"/>
                    <w:left w:val="none" w:sz="0" w:space="0" w:color="auto"/>
                    <w:bottom w:val="none" w:sz="0" w:space="0" w:color="auto"/>
                    <w:right w:val="none" w:sz="0" w:space="0" w:color="auto"/>
                  </w:divBdr>
                </w:div>
                <w:div w:id="450512629">
                  <w:marLeft w:val="0"/>
                  <w:marRight w:val="0"/>
                  <w:marTop w:val="0"/>
                  <w:marBottom w:val="0"/>
                  <w:divBdr>
                    <w:top w:val="none" w:sz="0" w:space="0" w:color="auto"/>
                    <w:left w:val="none" w:sz="0" w:space="0" w:color="auto"/>
                    <w:bottom w:val="none" w:sz="0" w:space="0" w:color="auto"/>
                    <w:right w:val="none" w:sz="0" w:space="0" w:color="auto"/>
                  </w:divBdr>
                </w:div>
                <w:div w:id="805582631">
                  <w:marLeft w:val="0"/>
                  <w:marRight w:val="0"/>
                  <w:marTop w:val="0"/>
                  <w:marBottom w:val="0"/>
                  <w:divBdr>
                    <w:top w:val="none" w:sz="0" w:space="0" w:color="auto"/>
                    <w:left w:val="none" w:sz="0" w:space="0" w:color="auto"/>
                    <w:bottom w:val="none" w:sz="0" w:space="0" w:color="auto"/>
                    <w:right w:val="none" w:sz="0" w:space="0" w:color="auto"/>
                  </w:divBdr>
                </w:div>
                <w:div w:id="1582449039">
                  <w:marLeft w:val="0"/>
                  <w:marRight w:val="0"/>
                  <w:marTop w:val="0"/>
                  <w:marBottom w:val="0"/>
                  <w:divBdr>
                    <w:top w:val="none" w:sz="0" w:space="0" w:color="auto"/>
                    <w:left w:val="none" w:sz="0" w:space="0" w:color="auto"/>
                    <w:bottom w:val="none" w:sz="0" w:space="0" w:color="auto"/>
                    <w:right w:val="none" w:sz="0" w:space="0" w:color="auto"/>
                  </w:divBdr>
                </w:div>
                <w:div w:id="365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3897">
          <w:marLeft w:val="0"/>
          <w:marRight w:val="0"/>
          <w:marTop w:val="200"/>
          <w:marBottom w:val="200"/>
          <w:divBdr>
            <w:top w:val="single" w:sz="8" w:space="0" w:color="000000"/>
            <w:left w:val="single" w:sz="8" w:space="0" w:color="000000"/>
            <w:bottom w:val="single" w:sz="8" w:space="0" w:color="000000"/>
            <w:right w:val="single" w:sz="8" w:space="0" w:color="000000"/>
          </w:divBdr>
          <w:divsChild>
            <w:div w:id="183446295">
              <w:marLeft w:val="0"/>
              <w:marRight w:val="0"/>
              <w:marTop w:val="0"/>
              <w:marBottom w:val="0"/>
              <w:divBdr>
                <w:top w:val="none" w:sz="0" w:space="0" w:color="auto"/>
                <w:left w:val="none" w:sz="0" w:space="0" w:color="auto"/>
                <w:bottom w:val="none" w:sz="0" w:space="0" w:color="auto"/>
                <w:right w:val="none" w:sz="0" w:space="0" w:color="auto"/>
              </w:divBdr>
            </w:div>
            <w:div w:id="1816215414">
              <w:marLeft w:val="0"/>
              <w:marRight w:val="0"/>
              <w:marTop w:val="0"/>
              <w:marBottom w:val="0"/>
              <w:divBdr>
                <w:top w:val="none" w:sz="0" w:space="0" w:color="auto"/>
                <w:left w:val="none" w:sz="0" w:space="0" w:color="auto"/>
                <w:bottom w:val="none" w:sz="0" w:space="0" w:color="auto"/>
                <w:right w:val="none" w:sz="0" w:space="0" w:color="auto"/>
              </w:divBdr>
              <w:divsChild>
                <w:div w:id="730422277">
                  <w:marLeft w:val="0"/>
                  <w:marRight w:val="0"/>
                  <w:marTop w:val="0"/>
                  <w:marBottom w:val="0"/>
                  <w:divBdr>
                    <w:top w:val="none" w:sz="0" w:space="0" w:color="auto"/>
                    <w:left w:val="none" w:sz="0" w:space="0" w:color="auto"/>
                    <w:bottom w:val="none" w:sz="0" w:space="0" w:color="auto"/>
                    <w:right w:val="none" w:sz="0" w:space="0" w:color="auto"/>
                  </w:divBdr>
                </w:div>
                <w:div w:id="1643272966">
                  <w:marLeft w:val="0"/>
                  <w:marRight w:val="0"/>
                  <w:marTop w:val="0"/>
                  <w:marBottom w:val="0"/>
                  <w:divBdr>
                    <w:top w:val="none" w:sz="0" w:space="0" w:color="auto"/>
                    <w:left w:val="none" w:sz="0" w:space="0" w:color="auto"/>
                    <w:bottom w:val="none" w:sz="0" w:space="0" w:color="auto"/>
                    <w:right w:val="none" w:sz="0" w:space="0" w:color="auto"/>
                  </w:divBdr>
                </w:div>
                <w:div w:id="466165788">
                  <w:marLeft w:val="0"/>
                  <w:marRight w:val="0"/>
                  <w:marTop w:val="0"/>
                  <w:marBottom w:val="0"/>
                  <w:divBdr>
                    <w:top w:val="none" w:sz="0" w:space="0" w:color="auto"/>
                    <w:left w:val="none" w:sz="0" w:space="0" w:color="auto"/>
                    <w:bottom w:val="none" w:sz="0" w:space="0" w:color="auto"/>
                    <w:right w:val="none" w:sz="0" w:space="0" w:color="auto"/>
                  </w:divBdr>
                </w:div>
                <w:div w:id="1804813624">
                  <w:marLeft w:val="0"/>
                  <w:marRight w:val="0"/>
                  <w:marTop w:val="0"/>
                  <w:marBottom w:val="0"/>
                  <w:divBdr>
                    <w:top w:val="none" w:sz="0" w:space="0" w:color="auto"/>
                    <w:left w:val="none" w:sz="0" w:space="0" w:color="auto"/>
                    <w:bottom w:val="none" w:sz="0" w:space="0" w:color="auto"/>
                    <w:right w:val="none" w:sz="0" w:space="0" w:color="auto"/>
                  </w:divBdr>
                </w:div>
                <w:div w:id="2138718749">
                  <w:marLeft w:val="0"/>
                  <w:marRight w:val="0"/>
                  <w:marTop w:val="0"/>
                  <w:marBottom w:val="0"/>
                  <w:divBdr>
                    <w:top w:val="none" w:sz="0" w:space="0" w:color="auto"/>
                    <w:left w:val="none" w:sz="0" w:space="0" w:color="auto"/>
                    <w:bottom w:val="none" w:sz="0" w:space="0" w:color="auto"/>
                    <w:right w:val="none" w:sz="0" w:space="0" w:color="auto"/>
                  </w:divBdr>
                </w:div>
                <w:div w:id="2134978130">
                  <w:marLeft w:val="0"/>
                  <w:marRight w:val="0"/>
                  <w:marTop w:val="0"/>
                  <w:marBottom w:val="0"/>
                  <w:divBdr>
                    <w:top w:val="none" w:sz="0" w:space="0" w:color="auto"/>
                    <w:left w:val="none" w:sz="0" w:space="0" w:color="auto"/>
                    <w:bottom w:val="none" w:sz="0" w:space="0" w:color="auto"/>
                    <w:right w:val="none" w:sz="0" w:space="0" w:color="auto"/>
                  </w:divBdr>
                </w:div>
                <w:div w:id="229577305">
                  <w:marLeft w:val="0"/>
                  <w:marRight w:val="0"/>
                  <w:marTop w:val="0"/>
                  <w:marBottom w:val="0"/>
                  <w:divBdr>
                    <w:top w:val="none" w:sz="0" w:space="0" w:color="auto"/>
                    <w:left w:val="none" w:sz="0" w:space="0" w:color="auto"/>
                    <w:bottom w:val="none" w:sz="0" w:space="0" w:color="auto"/>
                    <w:right w:val="none" w:sz="0" w:space="0" w:color="auto"/>
                  </w:divBdr>
                </w:div>
                <w:div w:id="2103799897">
                  <w:marLeft w:val="0"/>
                  <w:marRight w:val="0"/>
                  <w:marTop w:val="0"/>
                  <w:marBottom w:val="0"/>
                  <w:divBdr>
                    <w:top w:val="none" w:sz="0" w:space="0" w:color="auto"/>
                    <w:left w:val="none" w:sz="0" w:space="0" w:color="auto"/>
                    <w:bottom w:val="none" w:sz="0" w:space="0" w:color="auto"/>
                    <w:right w:val="none" w:sz="0" w:space="0" w:color="auto"/>
                  </w:divBdr>
                </w:div>
                <w:div w:id="987133181">
                  <w:marLeft w:val="0"/>
                  <w:marRight w:val="0"/>
                  <w:marTop w:val="0"/>
                  <w:marBottom w:val="0"/>
                  <w:divBdr>
                    <w:top w:val="none" w:sz="0" w:space="0" w:color="auto"/>
                    <w:left w:val="none" w:sz="0" w:space="0" w:color="auto"/>
                    <w:bottom w:val="none" w:sz="0" w:space="0" w:color="auto"/>
                    <w:right w:val="none" w:sz="0" w:space="0" w:color="auto"/>
                  </w:divBdr>
                </w:div>
                <w:div w:id="1066488103">
                  <w:marLeft w:val="0"/>
                  <w:marRight w:val="0"/>
                  <w:marTop w:val="0"/>
                  <w:marBottom w:val="0"/>
                  <w:divBdr>
                    <w:top w:val="none" w:sz="0" w:space="0" w:color="auto"/>
                    <w:left w:val="none" w:sz="0" w:space="0" w:color="auto"/>
                    <w:bottom w:val="none" w:sz="0" w:space="0" w:color="auto"/>
                    <w:right w:val="none" w:sz="0" w:space="0" w:color="auto"/>
                  </w:divBdr>
                </w:div>
                <w:div w:id="1810245834">
                  <w:marLeft w:val="0"/>
                  <w:marRight w:val="0"/>
                  <w:marTop w:val="0"/>
                  <w:marBottom w:val="0"/>
                  <w:divBdr>
                    <w:top w:val="none" w:sz="0" w:space="0" w:color="auto"/>
                    <w:left w:val="none" w:sz="0" w:space="0" w:color="auto"/>
                    <w:bottom w:val="none" w:sz="0" w:space="0" w:color="auto"/>
                    <w:right w:val="none" w:sz="0" w:space="0" w:color="auto"/>
                  </w:divBdr>
                </w:div>
                <w:div w:id="17708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2467</Words>
  <Characters>14068</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worknbde</dc:creator>
  <cp:lastModifiedBy>Bartikova Anna</cp:lastModifiedBy>
  <cp:revision>2</cp:revision>
  <cp:lastPrinted>2020-07-17T10:12:00Z</cp:lastPrinted>
  <dcterms:created xsi:type="dcterms:W3CDTF">2020-08-13T07:50:00Z</dcterms:created>
  <dcterms:modified xsi:type="dcterms:W3CDTF">2020-08-13T07:50:00Z</dcterms:modified>
</cp:coreProperties>
</file>