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91" w:rsidRPr="00181470" w:rsidRDefault="00ED6F91" w:rsidP="009903DA">
      <w:pPr>
        <w:pStyle w:val="Nzov"/>
      </w:pPr>
      <w:r w:rsidRPr="00181470">
        <w:t>DOLOŽKA ZLUČITEĽNOSTI</w:t>
      </w:r>
    </w:p>
    <w:p w:rsidR="00ED6F91" w:rsidRPr="00181470" w:rsidRDefault="00B550E2" w:rsidP="009903DA">
      <w:pPr>
        <w:pStyle w:val="Zkladntext0"/>
        <w:pBdr>
          <w:bottom w:val="single" w:sz="12" w:space="1" w:color="auto"/>
        </w:pBdr>
        <w:jc w:val="center"/>
        <w:rPr>
          <w:b/>
          <w:bCs/>
          <w:szCs w:val="24"/>
        </w:rPr>
      </w:pPr>
      <w:r w:rsidRPr="00181470">
        <w:rPr>
          <w:b/>
          <w:bCs/>
          <w:szCs w:val="24"/>
        </w:rPr>
        <w:t xml:space="preserve">návrhu </w:t>
      </w:r>
      <w:r w:rsidRPr="00181470">
        <w:rPr>
          <w:b/>
          <w:szCs w:val="24"/>
        </w:rPr>
        <w:t xml:space="preserve">zákona, ktorým sa mení a dopĺňa zákon č. 222/2004 Z. z. o dani z pridanej hodnoty v znení neskorších predpisov </w:t>
      </w:r>
      <w:r w:rsidR="001664F5" w:rsidRPr="00181470">
        <w:rPr>
          <w:b/>
          <w:bCs/>
          <w:szCs w:val="24"/>
        </w:rPr>
        <w:t>s</w:t>
      </w:r>
      <w:r w:rsidR="00ED6F91" w:rsidRPr="00181470">
        <w:rPr>
          <w:b/>
          <w:bCs/>
          <w:szCs w:val="24"/>
        </w:rPr>
        <w:t> právom Európskej únie</w:t>
      </w:r>
    </w:p>
    <w:p w:rsidR="00EB633F" w:rsidRPr="00181470" w:rsidRDefault="00EB633F" w:rsidP="009903DA">
      <w:pPr>
        <w:pStyle w:val="Zkladntext0"/>
        <w:pBdr>
          <w:bottom w:val="single" w:sz="12" w:space="1" w:color="auto"/>
        </w:pBdr>
        <w:jc w:val="center"/>
        <w:rPr>
          <w:b/>
          <w:bCs/>
          <w:szCs w:val="24"/>
        </w:rPr>
      </w:pPr>
    </w:p>
    <w:p w:rsidR="007A4ABF" w:rsidRPr="00181470" w:rsidRDefault="007A4ABF" w:rsidP="009903DA">
      <w:pPr>
        <w:pStyle w:val="Zkladntext0"/>
        <w:jc w:val="both"/>
        <w:rPr>
          <w:szCs w:val="24"/>
        </w:rPr>
      </w:pPr>
    </w:p>
    <w:p w:rsidR="00ED6F91" w:rsidRPr="00181470" w:rsidRDefault="00ED6F91" w:rsidP="009903DA">
      <w:pPr>
        <w:jc w:val="center"/>
        <w:rPr>
          <w:rFonts w:ascii="Times New Roman" w:hAnsi="Times New Roman" w:cs="Times New Roman"/>
          <w:b/>
          <w:bCs/>
        </w:rPr>
      </w:pPr>
    </w:p>
    <w:p w:rsidR="00ED6F91" w:rsidRPr="00181470" w:rsidRDefault="00AB1CCC" w:rsidP="009903DA">
      <w:pPr>
        <w:numPr>
          <w:ilvl w:val="0"/>
          <w:numId w:val="1"/>
        </w:numPr>
        <w:jc w:val="both"/>
        <w:rPr>
          <w:rFonts w:ascii="Times New Roman" w:hAnsi="Times New Roman" w:cs="Times New Roman"/>
        </w:rPr>
      </w:pPr>
      <w:r w:rsidRPr="00181470">
        <w:rPr>
          <w:rFonts w:ascii="Times New Roman" w:hAnsi="Times New Roman" w:cs="Times New Roman"/>
          <w:b/>
          <w:bCs/>
        </w:rPr>
        <w:t>Navrhovateľ</w:t>
      </w:r>
      <w:r w:rsidR="00593275">
        <w:rPr>
          <w:rFonts w:ascii="Times New Roman" w:hAnsi="Times New Roman" w:cs="Times New Roman"/>
          <w:b/>
          <w:bCs/>
        </w:rPr>
        <w:t xml:space="preserve"> </w:t>
      </w:r>
      <w:r w:rsidR="00ED6F91" w:rsidRPr="00181470">
        <w:rPr>
          <w:rFonts w:ascii="Times New Roman" w:hAnsi="Times New Roman" w:cs="Times New Roman"/>
          <w:b/>
          <w:bCs/>
        </w:rPr>
        <w:t>zákona:</w:t>
      </w:r>
    </w:p>
    <w:p w:rsidR="00411CA2" w:rsidRDefault="00411CA2" w:rsidP="009903DA">
      <w:pPr>
        <w:ind w:firstLine="425"/>
        <w:jc w:val="both"/>
        <w:rPr>
          <w:rFonts w:ascii="Times New Roman" w:hAnsi="Times New Roman" w:cs="Times New Roman"/>
        </w:rPr>
      </w:pPr>
    </w:p>
    <w:p w:rsidR="00B648DC" w:rsidRDefault="00B04AF1" w:rsidP="009903DA">
      <w:pPr>
        <w:ind w:firstLine="425"/>
        <w:jc w:val="both"/>
        <w:rPr>
          <w:rFonts w:ascii="Times New Roman" w:hAnsi="Times New Roman" w:cs="Times New Roman"/>
        </w:rPr>
      </w:pPr>
      <w:r>
        <w:rPr>
          <w:rFonts w:ascii="Times New Roman" w:hAnsi="Times New Roman" w:cs="Times New Roman"/>
        </w:rPr>
        <w:t>Ministerstvo financií</w:t>
      </w:r>
      <w:r w:rsidR="00817460">
        <w:rPr>
          <w:rFonts w:ascii="Times New Roman" w:hAnsi="Times New Roman" w:cs="Times New Roman"/>
        </w:rPr>
        <w:t xml:space="preserve"> </w:t>
      </w:r>
      <w:r w:rsidR="009643F5">
        <w:rPr>
          <w:rFonts w:ascii="Times New Roman" w:hAnsi="Times New Roman" w:cs="Times New Roman"/>
        </w:rPr>
        <w:t>Slovenskej republiky</w:t>
      </w:r>
      <w:r w:rsidR="00ED6F91" w:rsidRPr="00181470">
        <w:rPr>
          <w:rFonts w:ascii="Times New Roman" w:hAnsi="Times New Roman" w:cs="Times New Roman"/>
        </w:rPr>
        <w:t xml:space="preserve">. </w:t>
      </w:r>
    </w:p>
    <w:p w:rsidR="00B648DC" w:rsidRPr="00B648DC" w:rsidRDefault="00B648DC" w:rsidP="009903DA">
      <w:pPr>
        <w:ind w:firstLine="425"/>
        <w:jc w:val="both"/>
        <w:rPr>
          <w:rFonts w:ascii="Times New Roman" w:hAnsi="Times New Roman" w:cs="Times New Roman"/>
        </w:rPr>
      </w:pPr>
    </w:p>
    <w:p w:rsidR="00ED6F91" w:rsidRPr="00181470" w:rsidRDefault="00ED6F91" w:rsidP="009903DA">
      <w:pPr>
        <w:numPr>
          <w:ilvl w:val="0"/>
          <w:numId w:val="1"/>
        </w:numPr>
        <w:jc w:val="both"/>
        <w:rPr>
          <w:rFonts w:ascii="Times New Roman" w:hAnsi="Times New Roman" w:cs="Times New Roman"/>
          <w:b/>
          <w:bCs/>
        </w:rPr>
      </w:pPr>
      <w:r w:rsidRPr="00181470">
        <w:rPr>
          <w:rFonts w:ascii="Times New Roman" w:hAnsi="Times New Roman" w:cs="Times New Roman"/>
          <w:b/>
          <w:bCs/>
        </w:rPr>
        <w:t>Názov návrhu zákona:</w:t>
      </w:r>
    </w:p>
    <w:p w:rsidR="00411CA2" w:rsidRDefault="00411CA2" w:rsidP="009903DA">
      <w:pPr>
        <w:pStyle w:val="Zkladntext0"/>
        <w:ind w:left="426"/>
        <w:jc w:val="both"/>
        <w:rPr>
          <w:szCs w:val="24"/>
        </w:rPr>
      </w:pPr>
    </w:p>
    <w:p w:rsidR="00ED6F91" w:rsidRPr="00181470" w:rsidRDefault="00B550E2" w:rsidP="009903DA">
      <w:pPr>
        <w:pStyle w:val="Zkladntext0"/>
        <w:ind w:left="426"/>
        <w:jc w:val="both"/>
        <w:rPr>
          <w:szCs w:val="24"/>
        </w:rPr>
      </w:pPr>
      <w:r w:rsidRPr="00181470">
        <w:rPr>
          <w:szCs w:val="24"/>
        </w:rPr>
        <w:t>Návrh zákona, ktorým sa mení a dopĺňa zákon č. 222/2004 Z. z. o dani z pridanej hodno</w:t>
      </w:r>
      <w:r w:rsidR="009E1AF9" w:rsidRPr="00181470">
        <w:rPr>
          <w:szCs w:val="24"/>
        </w:rPr>
        <w:t>ty v znení neskorších predpisov</w:t>
      </w:r>
      <w:r w:rsidR="00ED6F91" w:rsidRPr="00181470">
        <w:rPr>
          <w:szCs w:val="24"/>
        </w:rPr>
        <w:t>.</w:t>
      </w:r>
    </w:p>
    <w:p w:rsidR="00ED6F91" w:rsidRPr="00181470" w:rsidRDefault="00ED6F91" w:rsidP="009903DA">
      <w:pPr>
        <w:jc w:val="both"/>
        <w:rPr>
          <w:rFonts w:ascii="Times New Roman" w:hAnsi="Times New Roman" w:cs="Times New Roman"/>
          <w:bCs/>
        </w:rPr>
      </w:pPr>
    </w:p>
    <w:p w:rsidR="009F1C17" w:rsidRPr="001C19A1" w:rsidRDefault="00ED6F91" w:rsidP="009903DA">
      <w:pPr>
        <w:numPr>
          <w:ilvl w:val="0"/>
          <w:numId w:val="1"/>
        </w:numPr>
        <w:jc w:val="both"/>
        <w:rPr>
          <w:rFonts w:ascii="Times New Roman" w:hAnsi="Times New Roman" w:cs="Times New Roman"/>
          <w:b/>
          <w:bCs/>
        </w:rPr>
      </w:pPr>
      <w:r w:rsidRPr="00181470">
        <w:rPr>
          <w:rFonts w:ascii="Times New Roman" w:hAnsi="Times New Roman" w:cs="Times New Roman"/>
          <w:b/>
          <w:bCs/>
        </w:rPr>
        <w:t>Pr</w:t>
      </w:r>
      <w:r w:rsidR="00B32AF9" w:rsidRPr="00181470">
        <w:rPr>
          <w:rFonts w:ascii="Times New Roman" w:hAnsi="Times New Roman" w:cs="Times New Roman"/>
          <w:b/>
          <w:bCs/>
        </w:rPr>
        <w:t xml:space="preserve">edmet návrhu zákona </w:t>
      </w:r>
      <w:r w:rsidR="006B206F" w:rsidRPr="00181470">
        <w:rPr>
          <w:rFonts w:ascii="Times New Roman" w:hAnsi="Times New Roman" w:cs="Times New Roman"/>
          <w:b/>
        </w:rPr>
        <w:t xml:space="preserve">je </w:t>
      </w:r>
      <w:r w:rsidR="009F1C17" w:rsidRPr="00181470">
        <w:rPr>
          <w:rFonts w:ascii="Times New Roman" w:hAnsi="Times New Roman" w:cs="Times New Roman"/>
          <w:b/>
        </w:rPr>
        <w:t>upraven</w:t>
      </w:r>
      <w:r w:rsidR="00B32AF9" w:rsidRPr="00181470">
        <w:rPr>
          <w:rFonts w:ascii="Times New Roman" w:hAnsi="Times New Roman" w:cs="Times New Roman"/>
          <w:b/>
        </w:rPr>
        <w:t>ý</w:t>
      </w:r>
      <w:r w:rsidR="009F1C17" w:rsidRPr="00181470">
        <w:rPr>
          <w:rFonts w:ascii="Times New Roman" w:hAnsi="Times New Roman" w:cs="Times New Roman"/>
          <w:b/>
        </w:rPr>
        <w:t xml:space="preserve"> v práve Európskej únie:</w:t>
      </w:r>
    </w:p>
    <w:p w:rsidR="001C19A1" w:rsidRPr="00181470" w:rsidRDefault="001C19A1" w:rsidP="009903DA">
      <w:pPr>
        <w:ind w:left="425"/>
        <w:jc w:val="both"/>
        <w:rPr>
          <w:rFonts w:ascii="Times New Roman" w:hAnsi="Times New Roman" w:cs="Times New Roman"/>
          <w:b/>
          <w:bCs/>
        </w:rPr>
      </w:pPr>
    </w:p>
    <w:p w:rsidR="00ED6F91" w:rsidRDefault="005D34AF" w:rsidP="009903DA">
      <w:pPr>
        <w:pStyle w:val="Zkladntext"/>
        <w:numPr>
          <w:ilvl w:val="1"/>
          <w:numId w:val="1"/>
        </w:numPr>
        <w:tabs>
          <w:tab w:val="left" w:pos="709"/>
          <w:tab w:val="left" w:pos="851"/>
        </w:tabs>
        <w:spacing w:after="0"/>
        <w:rPr>
          <w:b/>
          <w:bCs/>
          <w:iCs/>
        </w:rPr>
      </w:pPr>
      <w:r w:rsidRPr="00181470">
        <w:rPr>
          <w:b/>
          <w:bCs/>
          <w:iCs/>
        </w:rPr>
        <w:t>P</w:t>
      </w:r>
      <w:r w:rsidR="00ED6F91" w:rsidRPr="00181470">
        <w:rPr>
          <w:b/>
          <w:bCs/>
          <w:iCs/>
        </w:rPr>
        <w:t>rimárn</w:t>
      </w:r>
      <w:r w:rsidRPr="00181470">
        <w:rPr>
          <w:b/>
          <w:bCs/>
          <w:iCs/>
        </w:rPr>
        <w:t>e</w:t>
      </w:r>
      <w:r w:rsidR="00ED6F91" w:rsidRPr="00181470">
        <w:rPr>
          <w:b/>
          <w:bCs/>
          <w:iCs/>
        </w:rPr>
        <w:t xml:space="preserve"> práv</w:t>
      </w:r>
      <w:r w:rsidRPr="00181470">
        <w:rPr>
          <w:b/>
          <w:bCs/>
          <w:iCs/>
        </w:rPr>
        <w:t>o</w:t>
      </w:r>
      <w:r w:rsidR="00ED6F91" w:rsidRPr="00181470">
        <w:rPr>
          <w:b/>
          <w:bCs/>
          <w:iCs/>
        </w:rPr>
        <w:t xml:space="preserve">: </w:t>
      </w:r>
    </w:p>
    <w:p w:rsidR="002D26AA" w:rsidRPr="00181470" w:rsidRDefault="002D26AA" w:rsidP="009903DA">
      <w:pPr>
        <w:pStyle w:val="Zkladntext"/>
        <w:tabs>
          <w:tab w:val="left" w:pos="709"/>
          <w:tab w:val="left" w:pos="851"/>
        </w:tabs>
        <w:spacing w:after="0"/>
        <w:ind w:left="850"/>
        <w:rPr>
          <w:b/>
          <w:bCs/>
          <w:iCs/>
        </w:rPr>
      </w:pPr>
    </w:p>
    <w:p w:rsidR="00F45BD2" w:rsidRDefault="00293A0E" w:rsidP="00617FB0">
      <w:pPr>
        <w:pStyle w:val="Zkladntext"/>
        <w:numPr>
          <w:ilvl w:val="0"/>
          <w:numId w:val="3"/>
        </w:numPr>
        <w:tabs>
          <w:tab w:val="clear" w:pos="900"/>
          <w:tab w:val="num" w:pos="851"/>
        </w:tabs>
        <w:spacing w:after="0"/>
        <w:ind w:left="896" w:hanging="329"/>
        <w:jc w:val="both"/>
      </w:pPr>
      <w:r w:rsidRPr="00181470">
        <w:t xml:space="preserve">čl. </w:t>
      </w:r>
      <w:r w:rsidR="009F1C17" w:rsidRPr="00181470">
        <w:t>11</w:t>
      </w:r>
      <w:r w:rsidRPr="00181470">
        <w:t xml:space="preserve">0 až </w:t>
      </w:r>
      <w:r w:rsidR="009F1C17" w:rsidRPr="00181470">
        <w:t>11</w:t>
      </w:r>
      <w:r w:rsidRPr="00181470">
        <w:t>3</w:t>
      </w:r>
      <w:r w:rsidR="005D3AB9" w:rsidRPr="00181470">
        <w:t>, čl. 349 a 355 ods. 1</w:t>
      </w:r>
      <w:r w:rsidR="00534BE3">
        <w:t xml:space="preserve"> </w:t>
      </w:r>
      <w:r w:rsidR="00ED6F91" w:rsidRPr="00181470">
        <w:t>Zmluv</w:t>
      </w:r>
      <w:r w:rsidRPr="00181470">
        <w:t>y</w:t>
      </w:r>
      <w:r w:rsidR="00ED6F91" w:rsidRPr="00181470">
        <w:t xml:space="preserve"> o </w:t>
      </w:r>
      <w:r w:rsidR="009F1C17" w:rsidRPr="00181470">
        <w:t>fungova</w:t>
      </w:r>
      <w:r w:rsidR="00ED6F91" w:rsidRPr="00181470">
        <w:t>ní Európske</w:t>
      </w:r>
      <w:r w:rsidR="009F1C17" w:rsidRPr="00181470">
        <w:t>j</w:t>
      </w:r>
      <w:r w:rsidR="00593275">
        <w:t xml:space="preserve"> </w:t>
      </w:r>
      <w:r w:rsidR="00A07632" w:rsidRPr="00181470">
        <w:t>únie</w:t>
      </w:r>
      <w:r w:rsidR="00617FB0">
        <w:t xml:space="preserve"> (konsolidované znenie) (Ú. v. EÚ C 202, 7. 6. 2016) v platnom znení.</w:t>
      </w:r>
    </w:p>
    <w:p w:rsidR="002D26AA" w:rsidRPr="00181470" w:rsidRDefault="002D26AA" w:rsidP="009903DA">
      <w:pPr>
        <w:pStyle w:val="Zkladntext"/>
        <w:spacing w:after="0"/>
        <w:ind w:left="896"/>
      </w:pPr>
    </w:p>
    <w:p w:rsidR="003A7AE4" w:rsidRPr="005E68BC" w:rsidRDefault="003A7AE4" w:rsidP="009903DA">
      <w:pPr>
        <w:pStyle w:val="Zarkazkladnhotextu"/>
        <w:numPr>
          <w:ilvl w:val="1"/>
          <w:numId w:val="1"/>
        </w:numPr>
      </w:pPr>
      <w:r w:rsidRPr="005E68BC">
        <w:rPr>
          <w:b/>
          <w:bCs/>
          <w:iCs/>
        </w:rPr>
        <w:t>Sekundárne právo</w:t>
      </w:r>
      <w:r w:rsidR="003E3DB6" w:rsidRPr="005E68BC">
        <w:rPr>
          <w:b/>
          <w:bCs/>
          <w:iCs/>
        </w:rPr>
        <w:t>:</w:t>
      </w:r>
    </w:p>
    <w:p w:rsidR="00925F9D" w:rsidRPr="005E68BC" w:rsidRDefault="00925F9D" w:rsidP="009903DA">
      <w:pPr>
        <w:pStyle w:val="Zarkazkladnhotextu"/>
        <w:ind w:left="850" w:firstLine="0"/>
      </w:pPr>
    </w:p>
    <w:p w:rsidR="00C30F8B" w:rsidRDefault="00100CF2" w:rsidP="009903DA">
      <w:pPr>
        <w:pStyle w:val="Odsekzoznamu"/>
        <w:numPr>
          <w:ilvl w:val="0"/>
          <w:numId w:val="3"/>
        </w:numPr>
        <w:shd w:val="clear" w:color="auto" w:fill="FFFFFF"/>
        <w:ind w:right="-115"/>
        <w:jc w:val="both"/>
      </w:pPr>
      <w:r>
        <w:t>s</w:t>
      </w:r>
      <w:r w:rsidR="00C30F8B" w:rsidRPr="00181470">
        <w:t>mernica Rady 2006/112/ES z  28. novembra 2006 o spoločnom systéme dane z pridanej hodnoty (</w:t>
      </w:r>
      <w:r w:rsidR="00C30F8B" w:rsidRPr="00181470">
        <w:rPr>
          <w:rStyle w:val="Zvraznenie"/>
          <w:i w:val="0"/>
        </w:rPr>
        <w:t>Ú. v. EÚ L 347, 11.</w:t>
      </w:r>
      <w:r w:rsidR="00534BE3">
        <w:rPr>
          <w:rStyle w:val="Zvraznenie"/>
          <w:i w:val="0"/>
        </w:rPr>
        <w:t xml:space="preserve"> </w:t>
      </w:r>
      <w:r w:rsidR="00C30F8B" w:rsidRPr="00181470">
        <w:rPr>
          <w:rStyle w:val="Zvraznenie"/>
          <w:i w:val="0"/>
        </w:rPr>
        <w:t>12.</w:t>
      </w:r>
      <w:r w:rsidR="00534BE3">
        <w:rPr>
          <w:rStyle w:val="Zvraznenie"/>
          <w:i w:val="0"/>
        </w:rPr>
        <w:t xml:space="preserve"> </w:t>
      </w:r>
      <w:r w:rsidR="00C30F8B" w:rsidRPr="00181470">
        <w:rPr>
          <w:rStyle w:val="Zvraznenie"/>
          <w:i w:val="0"/>
        </w:rPr>
        <w:t>2006) v platnom znení</w:t>
      </w:r>
      <w:r w:rsidR="00C30F8B" w:rsidRPr="00181470">
        <w:rPr>
          <w:rStyle w:val="Zvraznenie"/>
        </w:rPr>
        <w:t xml:space="preserve">, </w:t>
      </w:r>
      <w:r w:rsidR="00C30F8B" w:rsidRPr="00181470">
        <w:t>gestor: MF SR,</w:t>
      </w:r>
    </w:p>
    <w:p w:rsidR="00C30F8B" w:rsidRDefault="00C30F8B" w:rsidP="009903DA">
      <w:pPr>
        <w:shd w:val="clear" w:color="auto" w:fill="FFFFFF"/>
        <w:ind w:left="540" w:right="-115"/>
        <w:jc w:val="both"/>
      </w:pPr>
    </w:p>
    <w:p w:rsidR="003D6923" w:rsidRPr="00FA6121" w:rsidRDefault="00100CF2" w:rsidP="009903DA">
      <w:pPr>
        <w:pStyle w:val="Odsekzoznamu"/>
        <w:numPr>
          <w:ilvl w:val="0"/>
          <w:numId w:val="3"/>
        </w:numPr>
        <w:shd w:val="clear" w:color="auto" w:fill="FFFFFF"/>
        <w:ind w:right="-115"/>
        <w:jc w:val="both"/>
      </w:pPr>
      <w:r>
        <w:t>s</w:t>
      </w:r>
      <w:r w:rsidR="00AE42F5" w:rsidRPr="00FA6121">
        <w:t>mernica Rady (EÚ) 2017/2455 z 5. decembra 2017, ktorou sa mení smernica 2006/112/ES a smernica 2009/132/ES, pokiaľ ide o určité povinnosti týkajúce sa dane z pridanej hodnoty pri poskytovaní služieb a predaji tovaru na diaľku</w:t>
      </w:r>
      <w:r w:rsidR="00E958BC" w:rsidRPr="00FA6121">
        <w:t xml:space="preserve"> (Ú. v. EÚ L 348</w:t>
      </w:r>
      <w:r w:rsidR="005E68BC" w:rsidRPr="00FA6121">
        <w:t>, 29.</w:t>
      </w:r>
      <w:r w:rsidR="00534BE3">
        <w:t xml:space="preserve"> </w:t>
      </w:r>
      <w:r w:rsidR="005E68BC" w:rsidRPr="00FA6121">
        <w:t>12.</w:t>
      </w:r>
      <w:r w:rsidR="00534BE3">
        <w:t xml:space="preserve"> </w:t>
      </w:r>
      <w:r w:rsidR="00C93E94" w:rsidRPr="00FA6121">
        <w:t>2017)</w:t>
      </w:r>
      <w:r w:rsidR="005E68BC" w:rsidRPr="00FA6121">
        <w:t xml:space="preserve">, gestor: MF SR, </w:t>
      </w:r>
    </w:p>
    <w:p w:rsidR="0071645E" w:rsidRPr="00FA6121" w:rsidRDefault="0071645E" w:rsidP="009903DA">
      <w:pPr>
        <w:pStyle w:val="Odsekzoznamu"/>
      </w:pPr>
    </w:p>
    <w:p w:rsidR="0071645E" w:rsidRDefault="00100CF2" w:rsidP="009903DA">
      <w:pPr>
        <w:pStyle w:val="Odsekzoznamu"/>
        <w:numPr>
          <w:ilvl w:val="0"/>
          <w:numId w:val="3"/>
        </w:numPr>
        <w:shd w:val="clear" w:color="auto" w:fill="FFFFFF"/>
        <w:ind w:right="-115"/>
        <w:jc w:val="both"/>
      </w:pPr>
      <w:r>
        <w:t>s</w:t>
      </w:r>
      <w:r w:rsidR="0071645E" w:rsidRPr="00FA6121">
        <w:t>mernica</w:t>
      </w:r>
      <w:r w:rsidR="0071645E" w:rsidRPr="00AE42F5">
        <w:t xml:space="preserve"> Rady (EÚ)</w:t>
      </w:r>
      <w:r w:rsidR="00B04AF1">
        <w:t xml:space="preserve"> </w:t>
      </w:r>
      <w:r w:rsidR="0071645E" w:rsidRPr="00AE42F5">
        <w:t xml:space="preserve">2019/1995 z 21. novembra 2019, ktorou sa mení smernica 2006/112/ES, pokiaľ ide o ustanovenia týkajúce sa predaja tovaru na diaľku a určitých domácich dodaní tovaru (Ú. v. EÚ L </w:t>
      </w:r>
      <w:r w:rsidR="00C0389F">
        <w:t>310, 2. 12. 2019</w:t>
      </w:r>
      <w:r w:rsidR="00C0389F" w:rsidRPr="00FA6121">
        <w:t>), gestor</w:t>
      </w:r>
      <w:r w:rsidR="00A36A78">
        <w:t>: MF SR</w:t>
      </w:r>
      <w:bookmarkStart w:id="0" w:name="_GoBack"/>
      <w:bookmarkEnd w:id="0"/>
      <w:r w:rsidR="00C0389F" w:rsidRPr="00FA6121">
        <w:t>,</w:t>
      </w:r>
    </w:p>
    <w:p w:rsidR="00B04AF1" w:rsidRDefault="00B04AF1" w:rsidP="00B04AF1">
      <w:pPr>
        <w:shd w:val="clear" w:color="auto" w:fill="FFFFFF"/>
        <w:ind w:left="900" w:right="-115"/>
        <w:jc w:val="both"/>
      </w:pPr>
    </w:p>
    <w:p w:rsidR="00B04AF1" w:rsidRPr="00FA6121" w:rsidRDefault="00100CF2" w:rsidP="00B04AF1">
      <w:pPr>
        <w:pStyle w:val="Odsekzoznamu"/>
        <w:numPr>
          <w:ilvl w:val="0"/>
          <w:numId w:val="3"/>
        </w:numPr>
        <w:shd w:val="clear" w:color="auto" w:fill="FFFFFF"/>
        <w:ind w:right="-115"/>
        <w:jc w:val="both"/>
      </w:pPr>
      <w:r>
        <w:t>s</w:t>
      </w:r>
      <w:r w:rsidR="00B04AF1">
        <w:t xml:space="preserve">mernica Rady 2009/132/ES z 19. októbra 2009, ktorou sa určuje rozsah platnosti článku 143 písm. b) a c) smernice 2006/112/ES vzhľadom na oslobodenie od dane z pridanej hodnoty na finálny dovoz určitého tovaru (Ú. v. EÚ L 292, 10. 11. 2009), </w:t>
      </w:r>
      <w:r w:rsidR="00B04AF1" w:rsidRPr="00FA6121">
        <w:t xml:space="preserve">gestor: MF SR, </w:t>
      </w:r>
    </w:p>
    <w:p w:rsidR="00655547" w:rsidRDefault="00655547" w:rsidP="00B04AF1"/>
    <w:p w:rsidR="00C30F8B" w:rsidRPr="00FA6121" w:rsidRDefault="00C93E94" w:rsidP="009903DA">
      <w:pPr>
        <w:pStyle w:val="Odsekzoznamu"/>
        <w:numPr>
          <w:ilvl w:val="0"/>
          <w:numId w:val="3"/>
        </w:numPr>
        <w:shd w:val="clear" w:color="auto" w:fill="FFFFFF"/>
        <w:ind w:right="-115"/>
        <w:jc w:val="both"/>
      </w:pPr>
      <w:r>
        <w:t>v</w:t>
      </w:r>
      <w:r w:rsidR="00C30F8B" w:rsidRPr="00C30F8B">
        <w:t>ykonávacie nariadenie Rady (EÚ) č. 282/2011 z  15. marca 2011, ktorým sa ustanovujú vykonávacie opatrenia smernice 2006/112/ES o spoločnom systéme dane z pridanej hodnoty</w:t>
      </w:r>
      <w:r w:rsidR="00AE4FDE">
        <w:t xml:space="preserve"> </w:t>
      </w:r>
      <w:r w:rsidRPr="00FA6121">
        <w:t xml:space="preserve">(prepracované znenie) </w:t>
      </w:r>
      <w:r w:rsidR="00C30F8B" w:rsidRPr="00FA6121">
        <w:t>(Ú</w:t>
      </w:r>
      <w:r w:rsidR="00C30F8B">
        <w:t>. v. EÚ L 77, 23.</w:t>
      </w:r>
      <w:r w:rsidR="00534BE3">
        <w:t xml:space="preserve"> </w:t>
      </w:r>
      <w:r w:rsidR="00C30F8B">
        <w:t>3.</w:t>
      </w:r>
      <w:r w:rsidR="00534BE3">
        <w:t xml:space="preserve"> </w:t>
      </w:r>
      <w:r>
        <w:t>2011</w:t>
      </w:r>
      <w:r w:rsidRPr="00FA6121">
        <w:t>)</w:t>
      </w:r>
      <w:r w:rsidR="00AE4FDE">
        <w:t xml:space="preserve"> </w:t>
      </w:r>
      <w:r w:rsidRPr="00FA6121">
        <w:t xml:space="preserve">v platnom znení, </w:t>
      </w:r>
      <w:r w:rsidR="00C30F8B" w:rsidRPr="00FA6121">
        <w:t>gestor: MF SR,</w:t>
      </w:r>
    </w:p>
    <w:p w:rsidR="00C30F8B" w:rsidRDefault="00C30F8B" w:rsidP="009903DA">
      <w:pPr>
        <w:shd w:val="clear" w:color="auto" w:fill="FFFFFF"/>
        <w:ind w:left="540" w:right="-115"/>
        <w:jc w:val="both"/>
      </w:pPr>
    </w:p>
    <w:p w:rsidR="00C0389F" w:rsidRDefault="00C93E94" w:rsidP="009903DA">
      <w:pPr>
        <w:pStyle w:val="Odsekzoznamu"/>
        <w:numPr>
          <w:ilvl w:val="0"/>
          <w:numId w:val="3"/>
        </w:numPr>
        <w:shd w:val="clear" w:color="auto" w:fill="FFFFFF"/>
        <w:ind w:right="-115"/>
        <w:jc w:val="both"/>
      </w:pPr>
      <w:r>
        <w:t>v</w:t>
      </w:r>
      <w:r w:rsidR="00C0389F">
        <w:t>ykonávacie nariadenie Rady (EÚ) 2019/2026 z 21.</w:t>
      </w:r>
      <w:r w:rsidR="007F6A49">
        <w:t xml:space="preserve"> </w:t>
      </w:r>
      <w:r w:rsidR="00C0389F">
        <w:t xml:space="preserve">novembra 2019, ktorým sa mení vykonávacie nariadenie (EÚ) č. 282/2011, pokiaľ ide o dodania tovaru alebo poskytovania služieb uľahčované elektronickými rozhraniami, ako aj o osobitné úpravy pre zdaniteľné osoby, ktoré poskytujú služby nezdaniteľným osobám, uskutočňujú predaj tovaru na diaľku a určité domáce dodania tovaru (Ú. v. EÚ L 313, 4. 12. 2019), </w:t>
      </w:r>
      <w:r w:rsidRPr="00FA6121">
        <w:t>gestor zatiaľ nebol určený</w:t>
      </w:r>
      <w:r w:rsidR="00C0389F" w:rsidRPr="00FA6121">
        <w:t>,</w:t>
      </w:r>
    </w:p>
    <w:p w:rsidR="00100CF2" w:rsidRDefault="00100CF2" w:rsidP="00100CF2">
      <w:pPr>
        <w:pStyle w:val="Odsekzoznamu"/>
        <w:shd w:val="clear" w:color="auto" w:fill="FFFFFF"/>
        <w:ind w:left="900" w:right="-115"/>
        <w:jc w:val="both"/>
      </w:pPr>
    </w:p>
    <w:p w:rsidR="00100CF2" w:rsidRPr="00FA6121" w:rsidRDefault="007156AD" w:rsidP="009903DA">
      <w:pPr>
        <w:pStyle w:val="Odsekzoznamu"/>
        <w:numPr>
          <w:ilvl w:val="0"/>
          <w:numId w:val="3"/>
        </w:numPr>
        <w:shd w:val="clear" w:color="auto" w:fill="FFFFFF"/>
        <w:ind w:right="-115"/>
        <w:jc w:val="both"/>
      </w:pPr>
      <w:r>
        <w:t>vykonávacie nariadenie Rady (EÚ) 2020/</w:t>
      </w:r>
      <w:r w:rsidR="00A63A69">
        <w:t>1112</w:t>
      </w:r>
      <w:r>
        <w:t xml:space="preserve"> z</w:t>
      </w:r>
      <w:r w:rsidR="00A63A69">
        <w:t> 20. júla</w:t>
      </w:r>
      <w:r>
        <w:t xml:space="preserve"> 2020, ktorým sa v</w:t>
      </w:r>
      <w:r w:rsidR="00A63A69">
        <w:t xml:space="preserve"> reakcii na </w:t>
      </w:r>
      <w:r w:rsidR="00A63A69">
        <w:lastRenderedPageBreak/>
        <w:t>pandémiu</w:t>
      </w:r>
      <w:r>
        <w:t xml:space="preserve"> COVID-19 mení vykonávacie nariadenie (EÚ) 2019/2026, pokiaľ ide o dátumy uplatňovania (Ú. v. EÚ L </w:t>
      </w:r>
      <w:r w:rsidR="00A63A69">
        <w:t>244</w:t>
      </w:r>
      <w:r>
        <w:t xml:space="preserve">, </w:t>
      </w:r>
      <w:r w:rsidR="00A63A69">
        <w:t>29. 7.</w:t>
      </w:r>
      <w:r>
        <w:t xml:space="preserve"> 2020</w:t>
      </w:r>
      <w:r w:rsidRPr="00FA6121">
        <w:t>), gestor zatiaľ nebol určený</w:t>
      </w:r>
      <w:r>
        <w:t>,</w:t>
      </w:r>
    </w:p>
    <w:p w:rsidR="00C0389F" w:rsidRDefault="00C0389F" w:rsidP="009903DA">
      <w:pPr>
        <w:shd w:val="clear" w:color="auto" w:fill="FFFFFF"/>
        <w:ind w:left="540" w:right="-115"/>
        <w:jc w:val="both"/>
      </w:pPr>
    </w:p>
    <w:p w:rsidR="00C30F8B" w:rsidRDefault="00C93E94" w:rsidP="005072A5">
      <w:pPr>
        <w:pStyle w:val="Odsekzoznamu"/>
        <w:numPr>
          <w:ilvl w:val="0"/>
          <w:numId w:val="3"/>
        </w:numPr>
        <w:shd w:val="clear" w:color="auto" w:fill="FFFFFF"/>
        <w:ind w:right="-115"/>
        <w:jc w:val="both"/>
      </w:pPr>
      <w:r>
        <w:t>v</w:t>
      </w:r>
      <w:r w:rsidR="00C0389F" w:rsidRPr="00B43A2B">
        <w:t xml:space="preserve">ykonávacie nariadenie Komisie (EÚ) </w:t>
      </w:r>
      <w:r w:rsidR="00C0389F">
        <w:t xml:space="preserve">2020/194 </w:t>
      </w:r>
      <w:r w:rsidR="00C0389F" w:rsidRPr="00B43A2B">
        <w:t>z</w:t>
      </w:r>
      <w:r w:rsidR="00C0389F">
        <w:t> 12. februára 2020</w:t>
      </w:r>
      <w:r w:rsidR="00C0389F" w:rsidRPr="00B43A2B">
        <w:t>, ktorým sa stanovujú podrobné pravidlá uplatňovania nariadenia Rady (EÚ) č. 904/2010, pokiaľ ide o osobitné úpravy pre zdaniteľné osoby, ktoré poskytujú služby nezdaniteľným osobám, uskutočňujú predaj tovaru na diaľku a určité domáce dodania tovaru</w:t>
      </w:r>
      <w:r w:rsidR="00C0389F">
        <w:t xml:space="preserve"> (Ú. v. EÚ L 40, 13. 2.</w:t>
      </w:r>
      <w:r w:rsidR="00534BE3">
        <w:t xml:space="preserve"> </w:t>
      </w:r>
      <w:r w:rsidR="00C0389F">
        <w:t>2020</w:t>
      </w:r>
      <w:r w:rsidR="00C0389F" w:rsidRPr="00FA6121">
        <w:t xml:space="preserve">), </w:t>
      </w:r>
      <w:r w:rsidRPr="00FA6121">
        <w:t>gestor zatiaľ nebol určený,</w:t>
      </w:r>
    </w:p>
    <w:p w:rsidR="00100CF2" w:rsidRDefault="00100CF2" w:rsidP="00100CF2">
      <w:pPr>
        <w:pStyle w:val="Odsekzoznamu"/>
        <w:shd w:val="clear" w:color="auto" w:fill="FFFFFF"/>
        <w:ind w:left="900" w:right="-115"/>
        <w:jc w:val="both"/>
      </w:pPr>
    </w:p>
    <w:p w:rsidR="007156AD" w:rsidRDefault="00100CF2" w:rsidP="007156AD">
      <w:pPr>
        <w:pStyle w:val="Odsekzoznamu"/>
        <w:numPr>
          <w:ilvl w:val="0"/>
          <w:numId w:val="3"/>
        </w:numPr>
        <w:shd w:val="clear" w:color="auto" w:fill="FFFFFF"/>
        <w:ind w:right="-115"/>
        <w:jc w:val="both"/>
      </w:pPr>
      <w:r>
        <w:t>rozhodnutie Rady</w:t>
      </w:r>
      <w:r w:rsidR="007156AD">
        <w:t xml:space="preserve"> (EÚ) 2020/</w:t>
      </w:r>
      <w:r w:rsidR="004B5C1A">
        <w:t>1109</w:t>
      </w:r>
      <w:r w:rsidR="007156AD">
        <w:t xml:space="preserve"> </w:t>
      </w:r>
      <w:r w:rsidR="007156AD" w:rsidRPr="007156AD">
        <w:t>z</w:t>
      </w:r>
      <w:r w:rsidR="004B5C1A">
        <w:t> 20. júla</w:t>
      </w:r>
      <w:r w:rsidR="007156AD">
        <w:t xml:space="preserve"> 2020</w:t>
      </w:r>
      <w:r>
        <w:t>, ktorým sa v</w:t>
      </w:r>
      <w:r w:rsidR="004B5C1A">
        <w:t> reakcii na pandémi</w:t>
      </w:r>
      <w:r>
        <w:t>u COVID-19 menia smernice (EÚ) 2017/2455 a (EÚ) 2019/1995, pokiaľ ide o dátumy transpozície a</w:t>
      </w:r>
      <w:r w:rsidR="007156AD">
        <w:t> </w:t>
      </w:r>
      <w:r>
        <w:t>uplatňovania</w:t>
      </w:r>
      <w:r w:rsidR="007156AD">
        <w:t xml:space="preserve"> (Ú. v. EÚ L </w:t>
      </w:r>
      <w:r w:rsidR="004B5C1A">
        <w:t>244</w:t>
      </w:r>
      <w:r w:rsidR="007156AD">
        <w:t xml:space="preserve">, </w:t>
      </w:r>
      <w:r w:rsidR="004B5C1A">
        <w:t>29. 7. 2020</w:t>
      </w:r>
      <w:r w:rsidR="007156AD" w:rsidRPr="00FA6121">
        <w:t>), gestor zatiaľ nebol určený,</w:t>
      </w:r>
    </w:p>
    <w:p w:rsidR="000F62D9" w:rsidRDefault="000F62D9" w:rsidP="000F62D9">
      <w:pPr>
        <w:shd w:val="clear" w:color="auto" w:fill="FFFFFF"/>
        <w:ind w:right="-115"/>
        <w:jc w:val="both"/>
      </w:pPr>
    </w:p>
    <w:p w:rsidR="000F62D9" w:rsidRPr="000F62D9" w:rsidRDefault="000F62D9" w:rsidP="000F62D9">
      <w:pPr>
        <w:pStyle w:val="Odsekzoznamu"/>
        <w:numPr>
          <w:ilvl w:val="0"/>
          <w:numId w:val="3"/>
        </w:numPr>
        <w:shd w:val="clear" w:color="auto" w:fill="FFFFFF"/>
        <w:ind w:right="-115"/>
        <w:jc w:val="both"/>
      </w:pPr>
      <w:r w:rsidRPr="000F62D9">
        <w:t>nariadenie Rady</w:t>
      </w:r>
      <w:r w:rsidR="004B5C1A">
        <w:t xml:space="preserve"> (EÚ) 2020/1108 z 20. júla 2020</w:t>
      </w:r>
      <w:r w:rsidRPr="000F62D9">
        <w:t>, ktorým sa v reakcii na pandémiu COVID-19 mení nariadenie (EÚ) 2017/2454, pokiaľ ide o dátumy uplatňovania</w:t>
      </w:r>
      <w:r w:rsidR="004B5C1A">
        <w:t xml:space="preserve"> (Ú. v. EÚ L 244, 29. 7. 2020)</w:t>
      </w:r>
      <w:r w:rsidRPr="000F62D9">
        <w:t>,</w:t>
      </w:r>
      <w:r>
        <w:t xml:space="preserve"> gestor zatiaľ nebol určený,</w:t>
      </w:r>
    </w:p>
    <w:p w:rsidR="009B3B19" w:rsidRDefault="009B3B19" w:rsidP="000F62D9">
      <w:pPr>
        <w:pStyle w:val="Odsekzoznamu"/>
        <w:shd w:val="clear" w:color="auto" w:fill="FFFFFF"/>
        <w:ind w:left="900" w:right="-115"/>
        <w:jc w:val="both"/>
      </w:pPr>
    </w:p>
    <w:p w:rsidR="007F6A49" w:rsidRDefault="00C93E94" w:rsidP="009903DA">
      <w:pPr>
        <w:pStyle w:val="Odsekzoznamu"/>
        <w:numPr>
          <w:ilvl w:val="0"/>
          <w:numId w:val="3"/>
        </w:numPr>
        <w:shd w:val="clear" w:color="auto" w:fill="FFFFFF"/>
        <w:ind w:right="-115"/>
        <w:jc w:val="both"/>
      </w:pPr>
      <w:r>
        <w:t>n</w:t>
      </w:r>
      <w:r w:rsidR="00C30F8B" w:rsidRPr="00C30F8B">
        <w:t xml:space="preserve">ariadenie Európskeho parlamentu a Rady (EÚ) č. 952/2013 z  9. októbra 2013, ktorým sa ustanovuje Colný kódex </w:t>
      </w:r>
      <w:r w:rsidR="00C30F8B" w:rsidRPr="00FA6121">
        <w:t xml:space="preserve">Únie </w:t>
      </w:r>
      <w:r w:rsidRPr="00FA6121">
        <w:t xml:space="preserve">(prepracované znenie) </w:t>
      </w:r>
      <w:r w:rsidR="00C30F8B" w:rsidRPr="00FA6121">
        <w:t>(Ú.</w:t>
      </w:r>
      <w:r w:rsidR="00C30F8B">
        <w:t xml:space="preserve"> v. EÚ L 269, 10.</w:t>
      </w:r>
      <w:r w:rsidR="00B04AF1">
        <w:t xml:space="preserve"> </w:t>
      </w:r>
      <w:r w:rsidR="00C30F8B">
        <w:t>10.</w:t>
      </w:r>
      <w:r w:rsidR="00B04AF1">
        <w:t xml:space="preserve"> </w:t>
      </w:r>
      <w:r w:rsidR="00C30F8B">
        <w:t>2013)</w:t>
      </w:r>
      <w:r w:rsidR="00B04AF1">
        <w:t xml:space="preserve"> </w:t>
      </w:r>
      <w:r w:rsidRPr="00FA6121">
        <w:t>v platnom znení</w:t>
      </w:r>
      <w:r w:rsidR="00C30F8B" w:rsidRPr="00FA6121">
        <w:t>, gestor:</w:t>
      </w:r>
      <w:r w:rsidR="00C30F8B">
        <w:t xml:space="preserve"> MF SR</w:t>
      </w:r>
      <w:r w:rsidR="007F6A49">
        <w:t>,</w:t>
      </w:r>
    </w:p>
    <w:p w:rsidR="00945685" w:rsidRDefault="00945685" w:rsidP="00945685">
      <w:pPr>
        <w:pStyle w:val="Odsekzoznamu"/>
        <w:shd w:val="clear" w:color="auto" w:fill="FFFFFF"/>
        <w:ind w:left="900" w:right="-115"/>
        <w:jc w:val="both"/>
      </w:pPr>
    </w:p>
    <w:p w:rsidR="00945685" w:rsidRPr="00617FB0" w:rsidRDefault="00945685" w:rsidP="00945685">
      <w:pPr>
        <w:pStyle w:val="Odsekzoznamu"/>
        <w:numPr>
          <w:ilvl w:val="0"/>
          <w:numId w:val="3"/>
        </w:numPr>
        <w:jc w:val="both"/>
        <w:rPr>
          <w:color w:val="000000" w:themeColor="text1"/>
        </w:rPr>
      </w:pPr>
      <w:r w:rsidRPr="00617FB0">
        <w:rPr>
          <w:color w:val="000000" w:themeColor="text1"/>
        </w:rPr>
        <w:t>delegované nariadenie Komisie  (EÚ) 2020/877 z 3. apríla 2020, ktorým sa mení a opravuje delegované nariadenie (EÚ) 2015/2446, ktorým sa dopĺňa nariadenie Európskeho parlamentu a Rady (EÚ) č. 952/2013, pokiaľ ide o podrobné pravidlá, ktorými sa bližšie určujú niektoré ustanovenia Colného kódexu Únie, a ktorým sa mení delegované nariadenie (EÚ) 2016/341, ktorým sa dopĺňa nariadenie (EÚ) č. 952/2013, pokiaľ ide o prechodné pravidlá pre určité ustanovenia Colného kódexu Únie, keď príslušné elektronické systémy ešte nie sú funkčné (Ú. v. EÚ L 203, 26. 6. 2020)</w:t>
      </w:r>
      <w:r w:rsidR="00684588" w:rsidRPr="00617FB0">
        <w:rPr>
          <w:color w:val="000000" w:themeColor="text1"/>
        </w:rPr>
        <w:t>, gestor zatiaľ nebol určený</w:t>
      </w:r>
      <w:r w:rsidRPr="00617FB0">
        <w:rPr>
          <w:color w:val="000000" w:themeColor="text1"/>
        </w:rPr>
        <w:t>.</w:t>
      </w:r>
    </w:p>
    <w:p w:rsidR="00B648DC" w:rsidRPr="00181470" w:rsidRDefault="00B648DC" w:rsidP="00684588">
      <w:pPr>
        <w:shd w:val="clear" w:color="auto" w:fill="FFFFFF"/>
        <w:ind w:right="-115"/>
        <w:jc w:val="both"/>
      </w:pPr>
    </w:p>
    <w:p w:rsidR="008203E4" w:rsidRPr="00181470" w:rsidRDefault="008203E4" w:rsidP="009903DA">
      <w:pPr>
        <w:pStyle w:val="Odsekzoznamu"/>
        <w:numPr>
          <w:ilvl w:val="0"/>
          <w:numId w:val="3"/>
        </w:numPr>
        <w:shd w:val="clear" w:color="auto" w:fill="FFFFFF"/>
        <w:ind w:right="-150"/>
        <w:jc w:val="both"/>
        <w:rPr>
          <w:vanish/>
        </w:rPr>
      </w:pPr>
      <w:r w:rsidRPr="00181470">
        <w:rPr>
          <w:vanish/>
        </w:rPr>
        <w:t>Smernica Rady (EÚ) 2018/1910 zo 4. decembra 2018, ktorou sa mení smernica 2006/112/ES, pokiaľ ide o harmonizáciu a zjednodušenie určitých pravidiel v systéme dane z pridanej hodnoty pre zdaňovanie obchodu medzi členskými štátmi</w:t>
      </w:r>
    </w:p>
    <w:p w:rsidR="00CC3ADA" w:rsidRDefault="0098563A" w:rsidP="009903DA">
      <w:pPr>
        <w:pStyle w:val="Zkladntext"/>
        <w:tabs>
          <w:tab w:val="left" w:pos="851"/>
        </w:tabs>
        <w:spacing w:after="0"/>
        <w:ind w:firstLine="540"/>
        <w:jc w:val="both"/>
        <w:rPr>
          <w:b/>
        </w:rPr>
      </w:pPr>
      <w:r>
        <w:rPr>
          <w:b/>
        </w:rPr>
        <w:t xml:space="preserve">c)   </w:t>
      </w:r>
      <w:r w:rsidR="00CE4115" w:rsidRPr="00181470">
        <w:rPr>
          <w:b/>
        </w:rPr>
        <w:t>J</w:t>
      </w:r>
      <w:r w:rsidR="002865EC" w:rsidRPr="00181470">
        <w:rPr>
          <w:b/>
        </w:rPr>
        <w:t>udikatúr</w:t>
      </w:r>
      <w:r w:rsidR="00CE4115" w:rsidRPr="00181470">
        <w:rPr>
          <w:b/>
        </w:rPr>
        <w:t>a</w:t>
      </w:r>
      <w:r w:rsidR="002865EC" w:rsidRPr="00181470">
        <w:rPr>
          <w:b/>
        </w:rPr>
        <w:t xml:space="preserve"> Súdneho dvora Európsk</w:t>
      </w:r>
      <w:r w:rsidR="00B55479" w:rsidRPr="00181470">
        <w:rPr>
          <w:b/>
        </w:rPr>
        <w:t>ej</w:t>
      </w:r>
      <w:r w:rsidR="00534BE3">
        <w:rPr>
          <w:b/>
        </w:rPr>
        <w:t xml:space="preserve"> </w:t>
      </w:r>
      <w:r w:rsidR="00B55479" w:rsidRPr="00181470">
        <w:rPr>
          <w:b/>
        </w:rPr>
        <w:t>únie</w:t>
      </w:r>
      <w:r w:rsidR="00CE4115" w:rsidRPr="00181470">
        <w:rPr>
          <w:b/>
        </w:rPr>
        <w:t>:</w:t>
      </w:r>
    </w:p>
    <w:p w:rsidR="00B648DC" w:rsidRDefault="00B648DC" w:rsidP="009903DA">
      <w:pPr>
        <w:pStyle w:val="Zkladntext"/>
        <w:spacing w:after="0"/>
        <w:ind w:left="850"/>
        <w:jc w:val="both"/>
        <w:rPr>
          <w:b/>
        </w:rPr>
      </w:pPr>
    </w:p>
    <w:p w:rsidR="00ED4FED" w:rsidRPr="00ED4FED" w:rsidRDefault="00ED4FED" w:rsidP="009903DA">
      <w:pPr>
        <w:pStyle w:val="Zkladntext"/>
        <w:spacing w:after="0"/>
        <w:ind w:left="900"/>
        <w:jc w:val="both"/>
      </w:pPr>
      <w:r w:rsidRPr="00ED4FED">
        <w:t xml:space="preserve">- rozsudok Súdneho dvora </w:t>
      </w:r>
      <w:r w:rsidR="00534BE3">
        <w:t xml:space="preserve">EÚ </w:t>
      </w:r>
      <w:r w:rsidRPr="00ED4FED">
        <w:t>v spojených veciach C</w:t>
      </w:r>
      <w:r w:rsidRPr="00ED4FED">
        <w:noBreakHyphen/>
        <w:t>80/11 a C</w:t>
      </w:r>
      <w:r w:rsidRPr="00ED4FED">
        <w:noBreakHyphen/>
        <w:t xml:space="preserve">142/11 </w:t>
      </w:r>
      <w:proofErr w:type="spellStart"/>
      <w:r w:rsidRPr="00ED4FED">
        <w:t>Mahagében</w:t>
      </w:r>
      <w:proofErr w:type="spellEnd"/>
      <w:r w:rsidR="00534BE3">
        <w:t xml:space="preserve"> </w:t>
      </w:r>
      <w:proofErr w:type="spellStart"/>
      <w:r w:rsidRPr="00ED4FED">
        <w:t>Kft</w:t>
      </w:r>
      <w:proofErr w:type="spellEnd"/>
      <w:r w:rsidRPr="00ED4FED">
        <w:t xml:space="preserve"> proti </w:t>
      </w:r>
      <w:proofErr w:type="spellStart"/>
      <w:r w:rsidRPr="00ED4FED">
        <w:t>Nemzeti</w:t>
      </w:r>
      <w:proofErr w:type="spellEnd"/>
      <w:r w:rsidR="00534BE3">
        <w:t xml:space="preserve"> </w:t>
      </w:r>
      <w:proofErr w:type="spellStart"/>
      <w:r w:rsidRPr="00ED4FED">
        <w:t>Adó</w:t>
      </w:r>
      <w:proofErr w:type="spellEnd"/>
      <w:r w:rsidR="00617FB0">
        <w:t xml:space="preserve"> </w:t>
      </w:r>
      <w:r w:rsidRPr="00ED4FED">
        <w:rPr>
          <w:rFonts w:ascii="MS Mincho" w:eastAsia="MS Mincho" w:hAnsi="MS Mincho" w:cs="MS Mincho" w:hint="eastAsia"/>
        </w:rPr>
        <w:t>‑</w:t>
      </w:r>
      <w:r w:rsidR="00617FB0">
        <w:rPr>
          <w:rFonts w:ascii="MS Mincho" w:eastAsia="MS Mincho" w:hAnsi="MS Mincho" w:cs="MS Mincho" w:hint="eastAsia"/>
        </w:rPr>
        <w:t xml:space="preserve"> </w:t>
      </w:r>
      <w:proofErr w:type="spellStart"/>
      <w:r w:rsidRPr="00ED4FED">
        <w:t>és</w:t>
      </w:r>
      <w:proofErr w:type="spellEnd"/>
      <w:r w:rsidR="00534BE3">
        <w:t xml:space="preserve"> </w:t>
      </w:r>
      <w:proofErr w:type="spellStart"/>
      <w:r w:rsidRPr="00ED4FED">
        <w:t>Vámhivatal</w:t>
      </w:r>
      <w:proofErr w:type="spellEnd"/>
      <w:r w:rsidR="00534BE3">
        <w:t xml:space="preserve"> </w:t>
      </w:r>
      <w:proofErr w:type="spellStart"/>
      <w:r w:rsidRPr="00ED4FED">
        <w:t>Dél</w:t>
      </w:r>
      <w:proofErr w:type="spellEnd"/>
      <w:r w:rsidRPr="00ED4FED">
        <w:rPr>
          <w:rFonts w:ascii="MS Mincho" w:eastAsia="MS Mincho" w:hAnsi="MS Mincho" w:cs="MS Mincho" w:hint="eastAsia"/>
        </w:rPr>
        <w:t>‑</w:t>
      </w:r>
      <w:proofErr w:type="spellStart"/>
      <w:r w:rsidRPr="00ED4FED">
        <w:t>dunántúli</w:t>
      </w:r>
      <w:proofErr w:type="spellEnd"/>
      <w:r w:rsidR="00534BE3">
        <w:t xml:space="preserve"> </w:t>
      </w:r>
      <w:proofErr w:type="spellStart"/>
      <w:r w:rsidRPr="00ED4FED">
        <w:t>Regionális</w:t>
      </w:r>
      <w:proofErr w:type="spellEnd"/>
      <w:r w:rsidR="00534BE3">
        <w:t xml:space="preserve"> </w:t>
      </w:r>
      <w:proofErr w:type="spellStart"/>
      <w:r w:rsidRPr="00ED4FED">
        <w:t>Adó</w:t>
      </w:r>
      <w:proofErr w:type="spellEnd"/>
      <w:r w:rsidR="00534BE3">
        <w:t xml:space="preserve"> </w:t>
      </w:r>
      <w:proofErr w:type="spellStart"/>
      <w:r w:rsidRPr="00ED4FED">
        <w:t>Főigazgatósága</w:t>
      </w:r>
      <w:proofErr w:type="spellEnd"/>
      <w:r w:rsidRPr="00ED4FED">
        <w:t xml:space="preserve"> a </w:t>
      </w:r>
      <w:proofErr w:type="spellStart"/>
      <w:r w:rsidRPr="00ED4FED">
        <w:t>Péter</w:t>
      </w:r>
      <w:proofErr w:type="spellEnd"/>
      <w:r w:rsidRPr="00ED4FED">
        <w:t xml:space="preserve"> Dávid proti </w:t>
      </w:r>
      <w:proofErr w:type="spellStart"/>
      <w:r w:rsidRPr="00ED4FED">
        <w:t>Nemzeti</w:t>
      </w:r>
      <w:proofErr w:type="spellEnd"/>
      <w:r w:rsidR="00534BE3">
        <w:t xml:space="preserve"> </w:t>
      </w:r>
      <w:proofErr w:type="spellStart"/>
      <w:r w:rsidRPr="00ED4FED">
        <w:t>Adó</w:t>
      </w:r>
      <w:proofErr w:type="spellEnd"/>
      <w:r w:rsidRPr="00ED4FED">
        <w:rPr>
          <w:rFonts w:ascii="MS Mincho" w:eastAsia="MS Mincho" w:hAnsi="MS Mincho" w:cs="MS Mincho" w:hint="eastAsia"/>
        </w:rPr>
        <w:t>‑</w:t>
      </w:r>
      <w:proofErr w:type="spellStart"/>
      <w:r w:rsidRPr="00ED4FED">
        <w:t>és</w:t>
      </w:r>
      <w:proofErr w:type="spellEnd"/>
      <w:r w:rsidR="00617FB0">
        <w:t xml:space="preserve"> </w:t>
      </w:r>
      <w:proofErr w:type="spellStart"/>
      <w:r w:rsidRPr="00ED4FED">
        <w:t>Vámhivatal</w:t>
      </w:r>
      <w:proofErr w:type="spellEnd"/>
      <w:r w:rsidR="00534BE3">
        <w:t xml:space="preserve"> </w:t>
      </w:r>
      <w:proofErr w:type="spellStart"/>
      <w:r w:rsidRPr="00ED4FED">
        <w:t>Észak</w:t>
      </w:r>
      <w:proofErr w:type="spellEnd"/>
      <w:r w:rsidR="00617FB0">
        <w:t xml:space="preserve"> </w:t>
      </w:r>
      <w:r w:rsidRPr="00ED4FED">
        <w:rPr>
          <w:rFonts w:ascii="MS Mincho" w:eastAsia="MS Mincho" w:hAnsi="MS Mincho" w:cs="MS Mincho" w:hint="eastAsia"/>
        </w:rPr>
        <w:t>‑</w:t>
      </w:r>
      <w:r w:rsidR="00617FB0">
        <w:rPr>
          <w:rFonts w:ascii="MS Mincho" w:eastAsia="MS Mincho" w:hAnsi="MS Mincho" w:cs="MS Mincho" w:hint="eastAsia"/>
        </w:rPr>
        <w:t xml:space="preserve"> </w:t>
      </w:r>
      <w:proofErr w:type="spellStart"/>
      <w:r w:rsidRPr="00ED4FED">
        <w:t>alföldi</w:t>
      </w:r>
      <w:proofErr w:type="spellEnd"/>
      <w:r w:rsidR="00534BE3">
        <w:t xml:space="preserve"> </w:t>
      </w:r>
      <w:proofErr w:type="spellStart"/>
      <w:r w:rsidRPr="00ED4FED">
        <w:t>Reg</w:t>
      </w:r>
      <w:r w:rsidR="00C93E94">
        <w:t>ionális</w:t>
      </w:r>
      <w:proofErr w:type="spellEnd"/>
      <w:r w:rsidR="00534BE3">
        <w:t xml:space="preserve"> </w:t>
      </w:r>
      <w:proofErr w:type="spellStart"/>
      <w:r w:rsidR="00C93E94">
        <w:t>Adó</w:t>
      </w:r>
      <w:proofErr w:type="spellEnd"/>
      <w:r w:rsidR="00534BE3">
        <w:t xml:space="preserve"> </w:t>
      </w:r>
      <w:proofErr w:type="spellStart"/>
      <w:r w:rsidR="00C93E94" w:rsidRPr="00FA6121">
        <w:t>Főigazgatósága</w:t>
      </w:r>
      <w:proofErr w:type="spellEnd"/>
      <w:r w:rsidR="00C93E94" w:rsidRPr="00FA6121">
        <w:t xml:space="preserve"> [2012</w:t>
      </w:r>
      <w:r w:rsidRPr="00FA6121">
        <w:t>],</w:t>
      </w:r>
    </w:p>
    <w:p w:rsidR="00ED4FED" w:rsidRPr="0098563A" w:rsidRDefault="00ED4FED" w:rsidP="00E958BC">
      <w:pPr>
        <w:pStyle w:val="Normlnywebov"/>
        <w:spacing w:before="0" w:after="0"/>
        <w:ind w:left="900"/>
        <w:jc w:val="both"/>
        <w:rPr>
          <w:sz w:val="24"/>
          <w:szCs w:val="24"/>
          <w:lang w:eastAsia="cs-CZ"/>
        </w:rPr>
      </w:pPr>
      <w:r w:rsidRPr="00496CBB">
        <w:rPr>
          <w:sz w:val="24"/>
          <w:szCs w:val="24"/>
          <w:lang w:eastAsia="cs-CZ"/>
        </w:rPr>
        <w:t>Výrok roz</w:t>
      </w:r>
      <w:r>
        <w:rPr>
          <w:sz w:val="24"/>
          <w:szCs w:val="24"/>
          <w:lang w:eastAsia="cs-CZ"/>
        </w:rPr>
        <w:t>sudku:</w:t>
      </w:r>
    </w:p>
    <w:p w:rsidR="00ED4FED" w:rsidRDefault="00ED4FED" w:rsidP="00E958BC">
      <w:pPr>
        <w:pStyle w:val="Normlnywebov"/>
        <w:spacing w:before="0" w:after="0"/>
        <w:ind w:left="902" w:right="28"/>
        <w:jc w:val="both"/>
        <w:rPr>
          <w:sz w:val="24"/>
          <w:szCs w:val="24"/>
          <w:lang w:eastAsia="cs-CZ"/>
        </w:rPr>
      </w:pPr>
      <w:r w:rsidRPr="0098563A">
        <w:rPr>
          <w:sz w:val="24"/>
          <w:szCs w:val="24"/>
          <w:lang w:eastAsia="cs-CZ"/>
        </w:rPr>
        <w:t>„</w:t>
      </w:r>
      <w:r>
        <w:rPr>
          <w:sz w:val="24"/>
          <w:szCs w:val="24"/>
          <w:lang w:eastAsia="cs-CZ"/>
        </w:rPr>
        <w:t xml:space="preserve">1. </w:t>
      </w:r>
      <w:r w:rsidRPr="00ED4FED">
        <w:rPr>
          <w:sz w:val="24"/>
          <w:szCs w:val="24"/>
          <w:lang w:eastAsia="cs-CZ"/>
        </w:rPr>
        <w:t>Článok 167, článok 168 písm. a), článok 178 písm. a), článok 220 ods. 1 a článok 226 smernice Rady 2006/112 z 28. novembra 2006 o spoločnom systéme dane z pridanej hodnoty sa majú vykladať v tom zmysle, že bránia vnútroštátnej praxi, v zmysle ktorej daňový orgán zamietne zdaniteľnej osobe právo odpočítať hodnotu splatnej alebo zaplatenej dane za služby, ktoré jej boli poskytnuté, z hodnoty dane z pridanej hodnoty z dôvodu, že osoba, ktorá vystavila faktúru vzťahujúcu sa na tieto služby alebo jeden z jej poskytovateľov, sa dopustila nezákonnosti a bez toho, aby tento orgán objektívne preukázal, že samotná dotknutá zdaniteľná osoba vedela alebo mala vedieť, že uvedené plnenie zakladajúce nárok na odpočet dane je súčasťou daňového podvodu zo strany osoby vystavujúcej faktúru alebo iného predchádzajúceho subjektu dodávateľského reťazca.</w:t>
      </w:r>
    </w:p>
    <w:p w:rsidR="00ED4FED" w:rsidRPr="0098563A" w:rsidRDefault="00ED4FED" w:rsidP="009903DA">
      <w:pPr>
        <w:pStyle w:val="Normlnywebov"/>
        <w:spacing w:before="0" w:after="0"/>
        <w:ind w:left="902" w:right="28"/>
        <w:jc w:val="both"/>
        <w:rPr>
          <w:sz w:val="24"/>
          <w:szCs w:val="24"/>
          <w:lang w:eastAsia="cs-CZ"/>
        </w:rPr>
      </w:pPr>
      <w:r>
        <w:rPr>
          <w:sz w:val="24"/>
          <w:szCs w:val="24"/>
          <w:lang w:eastAsia="cs-CZ"/>
        </w:rPr>
        <w:t>2.</w:t>
      </w:r>
      <w:r w:rsidR="00084A49">
        <w:rPr>
          <w:sz w:val="24"/>
          <w:szCs w:val="24"/>
          <w:lang w:eastAsia="cs-CZ"/>
        </w:rPr>
        <w:t xml:space="preserve"> </w:t>
      </w:r>
      <w:r w:rsidRPr="00ED4FED">
        <w:rPr>
          <w:sz w:val="24"/>
          <w:szCs w:val="24"/>
          <w:lang w:eastAsia="cs-CZ"/>
        </w:rPr>
        <w:t xml:space="preserve">Článok 167, článok 168 písm. a), článok 178 písm. a) a článok 273 smernice 2006/112 sa majú vykladať v tom zmysle, že bránia vnútroštátnej praxi, v zmysle ktorej daňový orgán zamietne právo na odpočet dane z dôvodu, že sa zdaniteľná osoba neubezpečila, že osoba, ktorá vystavila faktúru vzťahujúcu sa na tovar, na základe ktorej sa požaduje vykonanie nároku na odpočet dane, spĺňala podmienky zdaniteľnej osoby, že disponovala </w:t>
      </w:r>
      <w:r w:rsidRPr="00ED4FED">
        <w:rPr>
          <w:sz w:val="24"/>
          <w:szCs w:val="24"/>
          <w:lang w:eastAsia="cs-CZ"/>
        </w:rPr>
        <w:lastRenderedPageBreak/>
        <w:t>predmetným tovarom a bola schopná ho dodať a že si splnila svoju povinnosť podať daňové priznanie a uhradiť daň z pridanej hodnoty, alebo z dôvodu, že uvedená zdaniteľná osoba nemá okrem danej faktúry iné dokumenty, ktorých povaha by preukazovala, že uvedené podmienky boli splnené, napriek tomu, že vecné a formálne podmienky vzniku a výkonu práva na odpočet dane upravené v smernici 2006/112 boli splnené a že zdaniteľná osoba nedisponovala informáciou, ktorá by ju oprávňovala predpokladať vznik nezákonností alebo daňového podvodu na strane uvedeného vystaviteľa faktúry.</w:t>
      </w:r>
      <w:r>
        <w:rPr>
          <w:sz w:val="24"/>
          <w:szCs w:val="24"/>
          <w:lang w:eastAsia="cs-CZ"/>
        </w:rPr>
        <w:t>“</w:t>
      </w:r>
      <w:r w:rsidR="004B5C1A">
        <w:rPr>
          <w:sz w:val="24"/>
          <w:szCs w:val="24"/>
          <w:lang w:eastAsia="cs-CZ"/>
        </w:rPr>
        <w:t>.</w:t>
      </w:r>
    </w:p>
    <w:p w:rsidR="00ED4FED" w:rsidRDefault="00ED4FED" w:rsidP="009903DA">
      <w:pPr>
        <w:pStyle w:val="Zkladntext"/>
        <w:spacing w:after="0"/>
        <w:ind w:left="900"/>
        <w:jc w:val="both"/>
      </w:pPr>
    </w:p>
    <w:p w:rsidR="004A518F" w:rsidRPr="00FA6121" w:rsidRDefault="004A518F" w:rsidP="00E958BC">
      <w:pPr>
        <w:pStyle w:val="Zkladntext"/>
        <w:spacing w:after="0"/>
        <w:ind w:left="900"/>
        <w:jc w:val="both"/>
      </w:pPr>
      <w:r>
        <w:t>- rozsudok</w:t>
      </w:r>
      <w:r w:rsidR="00534BE3">
        <w:t xml:space="preserve"> </w:t>
      </w:r>
      <w:r>
        <w:t xml:space="preserve">Súdneho dvora </w:t>
      </w:r>
      <w:r w:rsidR="00534BE3">
        <w:t xml:space="preserve">EÚ </w:t>
      </w:r>
      <w:r>
        <w:t xml:space="preserve">vo veci C </w:t>
      </w:r>
      <w:r w:rsidR="00617FB0">
        <w:t>-</w:t>
      </w:r>
      <w:r>
        <w:t xml:space="preserve"> 337/13 </w:t>
      </w:r>
      <w:proofErr w:type="spellStart"/>
      <w:r w:rsidRPr="004A518F">
        <w:t>Almos</w:t>
      </w:r>
      <w:proofErr w:type="spellEnd"/>
      <w:r w:rsidR="00534BE3">
        <w:t xml:space="preserve"> </w:t>
      </w:r>
      <w:proofErr w:type="spellStart"/>
      <w:r w:rsidRPr="004A518F">
        <w:t>Agrárkülkereskedelmi</w:t>
      </w:r>
      <w:proofErr w:type="spellEnd"/>
      <w:r w:rsidR="00534BE3">
        <w:t xml:space="preserve"> </w:t>
      </w:r>
      <w:proofErr w:type="spellStart"/>
      <w:r w:rsidRPr="004A518F">
        <w:t>Kft</w:t>
      </w:r>
      <w:proofErr w:type="spellEnd"/>
      <w:r>
        <w:t xml:space="preserve"> proti </w:t>
      </w:r>
      <w:proofErr w:type="spellStart"/>
      <w:r w:rsidRPr="004A518F">
        <w:t>Nemzeti</w:t>
      </w:r>
      <w:proofErr w:type="spellEnd"/>
      <w:r w:rsidR="00534BE3">
        <w:t xml:space="preserve"> </w:t>
      </w:r>
      <w:proofErr w:type="spellStart"/>
      <w:r w:rsidRPr="004A518F">
        <w:t>Adó</w:t>
      </w:r>
      <w:r w:rsidRPr="004A518F">
        <w:rPr>
          <w:rFonts w:ascii="MS Mincho" w:hAnsi="MS Mincho" w:cs="MS Mincho"/>
        </w:rPr>
        <w:t>‑</w:t>
      </w:r>
      <w:r w:rsidRPr="004A518F">
        <w:t>és</w:t>
      </w:r>
      <w:proofErr w:type="spellEnd"/>
      <w:r w:rsidR="00534BE3">
        <w:t xml:space="preserve"> </w:t>
      </w:r>
      <w:proofErr w:type="spellStart"/>
      <w:r w:rsidRPr="004A518F">
        <w:t>Vámhivatal</w:t>
      </w:r>
      <w:proofErr w:type="spellEnd"/>
      <w:r w:rsidR="00534BE3">
        <w:t xml:space="preserve"> </w:t>
      </w:r>
      <w:proofErr w:type="spellStart"/>
      <w:r w:rsidRPr="004A518F">
        <w:t>Közép</w:t>
      </w:r>
      <w:proofErr w:type="spellEnd"/>
      <w:r w:rsidRPr="004A518F">
        <w:rPr>
          <w:rFonts w:ascii="MS Mincho" w:eastAsia="MS Mincho" w:hAnsi="MS Mincho" w:cs="MS Mincho" w:hint="eastAsia"/>
        </w:rPr>
        <w:t>‑</w:t>
      </w:r>
      <w:proofErr w:type="spellStart"/>
      <w:r w:rsidRPr="004A518F">
        <w:t>magyarországi</w:t>
      </w:r>
      <w:proofErr w:type="spellEnd"/>
      <w:r w:rsidR="00534BE3">
        <w:t xml:space="preserve"> </w:t>
      </w:r>
      <w:proofErr w:type="spellStart"/>
      <w:r w:rsidRPr="004A518F">
        <w:t>Regionális</w:t>
      </w:r>
      <w:proofErr w:type="spellEnd"/>
      <w:r w:rsidR="00534BE3">
        <w:t xml:space="preserve"> </w:t>
      </w:r>
      <w:proofErr w:type="spellStart"/>
      <w:r w:rsidRPr="004A518F">
        <w:t>Adó</w:t>
      </w:r>
      <w:proofErr w:type="spellEnd"/>
      <w:r w:rsidR="00534BE3">
        <w:t xml:space="preserve"> </w:t>
      </w:r>
      <w:proofErr w:type="spellStart"/>
      <w:r w:rsidRPr="004A518F">
        <w:t>Főigazgatósága</w:t>
      </w:r>
      <w:proofErr w:type="spellEnd"/>
      <w:r w:rsidR="00AE4FDE">
        <w:t xml:space="preserve"> </w:t>
      </w:r>
      <w:r w:rsidR="00C93E94" w:rsidRPr="00FA6121">
        <w:t>[2014</w:t>
      </w:r>
      <w:r w:rsidRPr="00FA6121">
        <w:t>],</w:t>
      </w:r>
    </w:p>
    <w:p w:rsidR="004A518F" w:rsidRPr="0098563A" w:rsidRDefault="004A518F" w:rsidP="00E958BC">
      <w:pPr>
        <w:pStyle w:val="Normlnywebov"/>
        <w:spacing w:before="0" w:after="0"/>
        <w:ind w:left="900"/>
        <w:jc w:val="both"/>
        <w:rPr>
          <w:sz w:val="24"/>
          <w:szCs w:val="24"/>
          <w:lang w:eastAsia="cs-CZ"/>
        </w:rPr>
      </w:pPr>
      <w:r w:rsidRPr="00FA6121">
        <w:rPr>
          <w:sz w:val="24"/>
          <w:szCs w:val="24"/>
          <w:lang w:eastAsia="cs-CZ"/>
        </w:rPr>
        <w:t>Výrok rozsudku</w:t>
      </w:r>
      <w:r>
        <w:rPr>
          <w:sz w:val="24"/>
          <w:szCs w:val="24"/>
          <w:lang w:eastAsia="cs-CZ"/>
        </w:rPr>
        <w:t>:</w:t>
      </w:r>
    </w:p>
    <w:p w:rsidR="004A518F" w:rsidRDefault="004A518F" w:rsidP="00E958BC">
      <w:pPr>
        <w:pStyle w:val="Normlnywebov"/>
        <w:spacing w:before="0" w:after="0"/>
        <w:ind w:left="902" w:right="28"/>
        <w:jc w:val="both"/>
        <w:rPr>
          <w:sz w:val="24"/>
          <w:szCs w:val="24"/>
          <w:lang w:eastAsia="cs-CZ"/>
        </w:rPr>
      </w:pPr>
      <w:r w:rsidRPr="0098563A">
        <w:rPr>
          <w:sz w:val="24"/>
          <w:szCs w:val="24"/>
          <w:lang w:eastAsia="cs-CZ"/>
        </w:rPr>
        <w:t>„</w:t>
      </w:r>
      <w:r>
        <w:rPr>
          <w:sz w:val="24"/>
          <w:szCs w:val="24"/>
          <w:lang w:eastAsia="cs-CZ"/>
        </w:rPr>
        <w:t xml:space="preserve">1. </w:t>
      </w:r>
      <w:r w:rsidRPr="004A518F">
        <w:rPr>
          <w:sz w:val="24"/>
          <w:szCs w:val="24"/>
          <w:lang w:eastAsia="cs-CZ"/>
        </w:rPr>
        <w:t>Ustanovenia článku 90 smernice Rady 2006/112/ES</w:t>
      </w:r>
      <w:r w:rsidR="00E958BC">
        <w:rPr>
          <w:sz w:val="24"/>
          <w:szCs w:val="24"/>
          <w:lang w:eastAsia="cs-CZ"/>
        </w:rPr>
        <w:t xml:space="preserve"> o spoločnom systéme dane z pridanej hodnoty </w:t>
      </w:r>
      <w:r w:rsidRPr="004A518F">
        <w:rPr>
          <w:sz w:val="24"/>
          <w:szCs w:val="24"/>
          <w:lang w:eastAsia="cs-CZ"/>
        </w:rPr>
        <w:t>sa majú vykladať v tom zmysle, že nebránia vnútroštátnemu ustanoveniu, ktoré nestanovuje zníženie základu dane na účely dane z pridanej hodnoty v prípade nezaplatenia ceny, ak bola uplatnená výnimka stanovená v odseku 2 tohto článku. Toto taxatívne vymedzenie však musí upravovať všetky ostatné prípady, v ktorých podľa odseku 1 uvedeného článku zdaniteľná osoba po ukončení transakcie nezískala celú protihodnotu alebo jej časť, čo prislúcha overiť vnútroštátnemu súdu.</w:t>
      </w:r>
    </w:p>
    <w:p w:rsidR="004A518F" w:rsidRPr="0098563A" w:rsidRDefault="004A518F" w:rsidP="009903DA">
      <w:pPr>
        <w:pStyle w:val="Normlnywebov"/>
        <w:spacing w:before="0" w:after="0"/>
        <w:ind w:left="902" w:right="28"/>
        <w:jc w:val="both"/>
        <w:rPr>
          <w:sz w:val="24"/>
          <w:szCs w:val="24"/>
          <w:lang w:eastAsia="cs-CZ"/>
        </w:rPr>
      </w:pPr>
      <w:r>
        <w:rPr>
          <w:sz w:val="24"/>
          <w:szCs w:val="24"/>
          <w:lang w:eastAsia="cs-CZ"/>
        </w:rPr>
        <w:t xml:space="preserve">2. </w:t>
      </w:r>
      <w:r w:rsidRPr="004A518F">
        <w:rPr>
          <w:sz w:val="24"/>
          <w:szCs w:val="24"/>
          <w:lang w:eastAsia="cs-CZ"/>
        </w:rPr>
        <w:t>Zdaniteľné osoby sa môžu na vnútroštátnych súdoch odvolávať na článok 90 ods. 1 smernice 2006/112 proti členskému štátu, aby dosiahli zníženie základu dane na účely dane z pridanej hodnoty. Hoci členské štáty môžu stanoviť, že uplatnenie práva na zníženie takéhoto základu dane podlieha splneniu určitých náležitostí, ktoré umožňujú najmä preukázať, že po ukončení transakcie zdaniteľná osoba v konečnom dôsledku nezískala celú protihodnotu alebo jej časť a že táto osoba sa môže odvolávať na jeden z prípadov stanovených v článku 90 ods. 1 smernice o DPH, takto prijaté opatrenia nemôžu ísť nad rámec toho, čo je nevyhnutné na toto preukázanie, čo prislúcha overiť vnútroštátnemu súdu.</w:t>
      </w:r>
      <w:r>
        <w:rPr>
          <w:sz w:val="24"/>
          <w:szCs w:val="24"/>
          <w:lang w:eastAsia="cs-CZ"/>
        </w:rPr>
        <w:t>“</w:t>
      </w:r>
      <w:r w:rsidR="004B5C1A">
        <w:rPr>
          <w:sz w:val="24"/>
          <w:szCs w:val="24"/>
          <w:lang w:eastAsia="cs-CZ"/>
        </w:rPr>
        <w:t>.</w:t>
      </w:r>
    </w:p>
    <w:p w:rsidR="004A518F" w:rsidRDefault="004A518F" w:rsidP="009903DA">
      <w:pPr>
        <w:pStyle w:val="Zkladntext"/>
        <w:spacing w:after="0"/>
        <w:ind w:left="900"/>
        <w:jc w:val="both"/>
      </w:pPr>
    </w:p>
    <w:p w:rsidR="00496CBB" w:rsidRPr="00E958BC" w:rsidRDefault="0098563A" w:rsidP="00E958BC">
      <w:pPr>
        <w:pStyle w:val="Zkladntext"/>
        <w:spacing w:after="0"/>
        <w:ind w:left="900"/>
        <w:jc w:val="both"/>
      </w:pPr>
      <w:r>
        <w:t xml:space="preserve">- </w:t>
      </w:r>
      <w:r w:rsidR="00496CBB">
        <w:t>rozsudok</w:t>
      </w:r>
      <w:r w:rsidR="00534BE3">
        <w:t xml:space="preserve"> </w:t>
      </w:r>
      <w:r>
        <w:t>Súdneho dvora</w:t>
      </w:r>
      <w:r w:rsidR="00534BE3">
        <w:t xml:space="preserve"> EÚ</w:t>
      </w:r>
      <w:r>
        <w:t xml:space="preserve"> vo veci</w:t>
      </w:r>
      <w:r w:rsidR="00496CBB">
        <w:t xml:space="preserve"> C </w:t>
      </w:r>
      <w:r w:rsidR="00617FB0">
        <w:t>-</w:t>
      </w:r>
      <w:r w:rsidR="00496CBB">
        <w:t xml:space="preserve"> </w:t>
      </w:r>
      <w:r w:rsidR="004A518F">
        <w:t>246</w:t>
      </w:r>
      <w:r w:rsidR="00496CBB">
        <w:t>/1</w:t>
      </w:r>
      <w:r w:rsidR="004A518F">
        <w:t>6</w:t>
      </w:r>
      <w:r w:rsidR="00617FB0">
        <w:t xml:space="preserve"> </w:t>
      </w:r>
      <w:proofErr w:type="spellStart"/>
      <w:r w:rsidR="004A518F">
        <w:t>Enzo</w:t>
      </w:r>
      <w:proofErr w:type="spellEnd"/>
      <w:r w:rsidR="004A518F">
        <w:t xml:space="preserve"> di Maura </w:t>
      </w:r>
      <w:r w:rsidR="00496CBB">
        <w:t xml:space="preserve">proti </w:t>
      </w:r>
      <w:proofErr w:type="spellStart"/>
      <w:r w:rsidR="004A518F">
        <w:t>Agenzia</w:t>
      </w:r>
      <w:proofErr w:type="spellEnd"/>
      <w:r w:rsidR="00617FB0">
        <w:t xml:space="preserve"> </w:t>
      </w:r>
      <w:proofErr w:type="spellStart"/>
      <w:r w:rsidR="004A518F">
        <w:t>delle</w:t>
      </w:r>
      <w:proofErr w:type="spellEnd"/>
      <w:r w:rsidR="00534BE3">
        <w:t xml:space="preserve"> </w:t>
      </w:r>
      <w:proofErr w:type="spellStart"/>
      <w:r w:rsidR="004A518F">
        <w:t>Entrate</w:t>
      </w:r>
      <w:proofErr w:type="spellEnd"/>
      <w:r w:rsidR="00534BE3">
        <w:t xml:space="preserve"> </w:t>
      </w:r>
      <w:proofErr w:type="spellStart"/>
      <w:r w:rsidR="004A518F" w:rsidRPr="004A518F">
        <w:t>Direzione</w:t>
      </w:r>
      <w:proofErr w:type="spellEnd"/>
      <w:r w:rsidR="00534BE3">
        <w:t xml:space="preserve"> </w:t>
      </w:r>
      <w:proofErr w:type="spellStart"/>
      <w:r w:rsidR="004A518F" w:rsidRPr="004A518F">
        <w:t>Provinciale</w:t>
      </w:r>
      <w:proofErr w:type="spellEnd"/>
      <w:r w:rsidR="004A518F" w:rsidRPr="004A518F">
        <w:t xml:space="preserve"> di </w:t>
      </w:r>
      <w:proofErr w:type="spellStart"/>
      <w:r w:rsidR="004A518F" w:rsidRPr="00FA6121">
        <w:t>Siracusa</w:t>
      </w:r>
      <w:proofErr w:type="spellEnd"/>
      <w:r w:rsidR="00496CBB" w:rsidRPr="00FA6121">
        <w:t xml:space="preserve"> [201</w:t>
      </w:r>
      <w:r w:rsidR="00C93E94" w:rsidRPr="00FA6121">
        <w:t>7</w:t>
      </w:r>
      <w:r w:rsidR="00496CBB" w:rsidRPr="00FA6121">
        <w:t>],</w:t>
      </w:r>
    </w:p>
    <w:p w:rsidR="00496CBB" w:rsidRPr="0098563A" w:rsidRDefault="00496CBB" w:rsidP="00E958BC">
      <w:pPr>
        <w:pStyle w:val="Normlnywebov"/>
        <w:spacing w:before="0" w:after="0"/>
        <w:ind w:left="900"/>
        <w:jc w:val="both"/>
        <w:rPr>
          <w:sz w:val="24"/>
          <w:szCs w:val="24"/>
          <w:lang w:eastAsia="cs-CZ"/>
        </w:rPr>
      </w:pPr>
      <w:r w:rsidRPr="00496CBB">
        <w:rPr>
          <w:sz w:val="24"/>
          <w:szCs w:val="24"/>
          <w:lang w:eastAsia="cs-CZ"/>
        </w:rPr>
        <w:t>Výrok roz</w:t>
      </w:r>
      <w:r>
        <w:rPr>
          <w:sz w:val="24"/>
          <w:szCs w:val="24"/>
          <w:lang w:eastAsia="cs-CZ"/>
        </w:rPr>
        <w:t>sudku:</w:t>
      </w:r>
    </w:p>
    <w:p w:rsidR="00D80A3F" w:rsidRDefault="00496CBB" w:rsidP="009903DA">
      <w:pPr>
        <w:pStyle w:val="Normlnywebov"/>
        <w:spacing w:before="0" w:after="0"/>
        <w:ind w:left="902" w:right="28"/>
        <w:jc w:val="both"/>
        <w:rPr>
          <w:sz w:val="24"/>
          <w:szCs w:val="24"/>
          <w:lang w:eastAsia="cs-CZ"/>
        </w:rPr>
      </w:pPr>
      <w:r w:rsidRPr="0098563A">
        <w:rPr>
          <w:sz w:val="24"/>
          <w:szCs w:val="24"/>
          <w:lang w:eastAsia="cs-CZ"/>
        </w:rPr>
        <w:t>„</w:t>
      </w:r>
      <w:r w:rsidR="004A518F" w:rsidRPr="004A518F">
        <w:rPr>
          <w:sz w:val="24"/>
          <w:szCs w:val="24"/>
          <w:lang w:eastAsia="cs-CZ"/>
        </w:rPr>
        <w:t xml:space="preserve">Článok 11 C ods. 1 druhý </w:t>
      </w:r>
      <w:proofErr w:type="spellStart"/>
      <w:r w:rsidR="004A518F" w:rsidRPr="004A518F">
        <w:rPr>
          <w:sz w:val="24"/>
          <w:szCs w:val="24"/>
          <w:lang w:eastAsia="cs-CZ"/>
        </w:rPr>
        <w:t>pododsek</w:t>
      </w:r>
      <w:proofErr w:type="spellEnd"/>
      <w:r w:rsidR="004A518F" w:rsidRPr="004A518F">
        <w:rPr>
          <w:sz w:val="24"/>
          <w:szCs w:val="24"/>
          <w:lang w:eastAsia="cs-CZ"/>
        </w:rPr>
        <w:t xml:space="preserve"> šiestej smernice Rady 77/388/EHS zo 17. mája 1977 o zosúladení právnych predpisov členských štátov týkajúcich sa daní z obratu – spoločný systém dane z pridanej hodnoty: jednotný základ jej stanovenia sa má vykladať v tom zmysle, že členský štát nemôže podmieniť zníženie základu dane pre daň z pridanej hodnoty neúspešnosťou konkurzného konania, ak takéto konanie môže trvať viac ako desať rokov.</w:t>
      </w:r>
      <w:r w:rsidRPr="0098563A">
        <w:rPr>
          <w:sz w:val="24"/>
          <w:szCs w:val="24"/>
          <w:lang w:eastAsia="cs-CZ"/>
        </w:rPr>
        <w:t>“</w:t>
      </w:r>
      <w:r w:rsidR="004B5C1A">
        <w:rPr>
          <w:sz w:val="24"/>
          <w:szCs w:val="24"/>
          <w:lang w:eastAsia="cs-CZ"/>
        </w:rPr>
        <w:t>.</w:t>
      </w:r>
    </w:p>
    <w:p w:rsidR="004757B7" w:rsidRDefault="004757B7" w:rsidP="009903DA">
      <w:pPr>
        <w:pStyle w:val="Normlnywebov"/>
        <w:spacing w:before="0" w:after="0"/>
        <w:ind w:left="902" w:right="28"/>
        <w:jc w:val="both"/>
        <w:rPr>
          <w:sz w:val="24"/>
          <w:szCs w:val="24"/>
          <w:lang w:eastAsia="cs-CZ"/>
        </w:rPr>
      </w:pPr>
    </w:p>
    <w:p w:rsidR="004757B7" w:rsidRPr="00E958BC" w:rsidRDefault="004757B7" w:rsidP="004757B7">
      <w:pPr>
        <w:pStyle w:val="Zkladntext"/>
        <w:spacing w:after="0"/>
        <w:ind w:left="900"/>
        <w:jc w:val="both"/>
      </w:pPr>
      <w:r>
        <w:t xml:space="preserve">- rozsudok Súdneho dvora EÚ vo veci C - 146/19 SCT </w:t>
      </w:r>
      <w:proofErr w:type="spellStart"/>
      <w:r>
        <w:t>d.d</w:t>
      </w:r>
      <w:proofErr w:type="spellEnd"/>
      <w:r>
        <w:t>., v konkurze proti Slovinskej republike</w:t>
      </w:r>
      <w:r w:rsidRPr="00FA6121">
        <w:t xml:space="preserve"> [</w:t>
      </w:r>
      <w:r>
        <w:t>2020</w:t>
      </w:r>
      <w:r w:rsidRPr="00FA6121">
        <w:t>],</w:t>
      </w:r>
    </w:p>
    <w:p w:rsidR="004757B7" w:rsidRDefault="004757B7" w:rsidP="004757B7">
      <w:pPr>
        <w:pStyle w:val="Normlnywebov"/>
        <w:spacing w:before="0" w:after="0"/>
        <w:ind w:left="900"/>
        <w:jc w:val="both"/>
        <w:rPr>
          <w:sz w:val="24"/>
          <w:szCs w:val="24"/>
          <w:lang w:eastAsia="cs-CZ"/>
        </w:rPr>
      </w:pPr>
      <w:r w:rsidRPr="00496CBB">
        <w:rPr>
          <w:sz w:val="24"/>
          <w:szCs w:val="24"/>
          <w:lang w:eastAsia="cs-CZ"/>
        </w:rPr>
        <w:t>Výrok roz</w:t>
      </w:r>
      <w:r>
        <w:rPr>
          <w:sz w:val="24"/>
          <w:szCs w:val="24"/>
          <w:lang w:eastAsia="cs-CZ"/>
        </w:rPr>
        <w:t>sudku:</w:t>
      </w:r>
    </w:p>
    <w:p w:rsidR="004757B7" w:rsidRPr="004757B7" w:rsidRDefault="00F73B6D" w:rsidP="004757B7">
      <w:pPr>
        <w:pStyle w:val="Normlnywebov"/>
        <w:spacing w:before="0" w:after="0"/>
        <w:ind w:left="900" w:right="26"/>
        <w:jc w:val="both"/>
        <w:rPr>
          <w:sz w:val="24"/>
          <w:szCs w:val="24"/>
          <w:lang w:eastAsia="cs-CZ"/>
        </w:rPr>
      </w:pPr>
      <w:r>
        <w:rPr>
          <w:sz w:val="24"/>
          <w:szCs w:val="24"/>
          <w:lang w:eastAsia="cs-CZ"/>
        </w:rPr>
        <w:t xml:space="preserve">„1. </w:t>
      </w:r>
      <w:r w:rsidR="004757B7" w:rsidRPr="004757B7">
        <w:rPr>
          <w:sz w:val="24"/>
          <w:szCs w:val="24"/>
          <w:lang w:eastAsia="cs-CZ"/>
        </w:rPr>
        <w:t>Článok 90 ods. 1 a článok 273 smernice Rady 2006/112/ES z 28. novembra 2006 o spoločnom systéme dane z pridanej hodnoty sa majú vykladať v tom zmysle, že bránia právnej úprave členského štátu, podľa ktorej sa právo na zníženie zaplatenej dane z pridanej hodnoty súvisiacej s nevymožiteľnou pohľadávkou zdaniteľnej osobe odmietne, ak táto zdaniteľná osoba opomenula prihlásiť túto pohľadávku do konkurzného konania začatého voči jej dlžníkovi, hoci táto zdaniteľná osoba preukáže, že ak by uvedenú pohľadávku prihlásila, nebola by uhradená.</w:t>
      </w:r>
    </w:p>
    <w:p w:rsidR="004757B7" w:rsidRPr="004757B7" w:rsidRDefault="004757B7" w:rsidP="004757B7">
      <w:pPr>
        <w:pStyle w:val="Normlnywebov"/>
        <w:ind w:left="902" w:right="28"/>
        <w:jc w:val="both"/>
        <w:rPr>
          <w:sz w:val="24"/>
          <w:szCs w:val="24"/>
          <w:lang w:eastAsia="cs-CZ"/>
        </w:rPr>
      </w:pPr>
    </w:p>
    <w:p w:rsidR="004757B7" w:rsidRDefault="00F73B6D" w:rsidP="004757B7">
      <w:pPr>
        <w:pStyle w:val="Normlnywebov"/>
        <w:spacing w:before="0" w:after="0"/>
        <w:ind w:left="902" w:right="28"/>
        <w:jc w:val="both"/>
        <w:rPr>
          <w:sz w:val="24"/>
          <w:szCs w:val="24"/>
          <w:lang w:eastAsia="cs-CZ"/>
        </w:rPr>
      </w:pPr>
      <w:r>
        <w:rPr>
          <w:sz w:val="24"/>
          <w:szCs w:val="24"/>
          <w:lang w:eastAsia="cs-CZ"/>
        </w:rPr>
        <w:lastRenderedPageBreak/>
        <w:t xml:space="preserve">2. </w:t>
      </w:r>
      <w:r w:rsidR="004757B7" w:rsidRPr="004757B7">
        <w:rPr>
          <w:sz w:val="24"/>
          <w:szCs w:val="24"/>
          <w:lang w:eastAsia="cs-CZ"/>
        </w:rPr>
        <w:t>Článok 90 ods. 1 smernice 2006/112 sa má vykladať v tom zmysle, že vnútroštátny súd musí na základe povinnosti prijať všetky vhodné opatrenia na zabezpečenie vykonania tohto ustanovenia, ktorá je mu uložená, vykladať vnútroštátne právo v súlade s touto povinnosťou, alebo ak takýto konformný výklad nie je možný, ponechať neuplatneným akékoľvek vnútroštátne ustanovenie, ktorého uplatnenie by viedlo k výsledku odporujúcemu uvedenému ustanoveniu.</w:t>
      </w:r>
      <w:r w:rsidR="004757B7">
        <w:rPr>
          <w:sz w:val="24"/>
          <w:szCs w:val="24"/>
          <w:lang w:eastAsia="cs-CZ"/>
        </w:rPr>
        <w:t>“</w:t>
      </w:r>
      <w:r w:rsidR="00E62A2B">
        <w:rPr>
          <w:sz w:val="24"/>
          <w:szCs w:val="24"/>
          <w:lang w:eastAsia="cs-CZ"/>
        </w:rPr>
        <w:t>.</w:t>
      </w:r>
    </w:p>
    <w:p w:rsidR="004A518F" w:rsidRDefault="004A518F" w:rsidP="009903DA">
      <w:pPr>
        <w:pStyle w:val="Normlnywebov"/>
        <w:spacing w:before="0" w:after="0"/>
        <w:ind w:left="902" w:right="28"/>
        <w:jc w:val="both"/>
        <w:rPr>
          <w:sz w:val="24"/>
          <w:szCs w:val="24"/>
          <w:lang w:eastAsia="cs-CZ"/>
        </w:rPr>
      </w:pPr>
    </w:p>
    <w:p w:rsidR="00ED6F91" w:rsidRDefault="00ED6F91" w:rsidP="009903DA">
      <w:pPr>
        <w:numPr>
          <w:ilvl w:val="0"/>
          <w:numId w:val="1"/>
        </w:numPr>
        <w:tabs>
          <w:tab w:val="left" w:pos="360"/>
        </w:tabs>
        <w:jc w:val="both"/>
        <w:rPr>
          <w:rFonts w:ascii="Times New Roman" w:hAnsi="Times New Roman" w:cs="Times New Roman"/>
          <w:b/>
          <w:bCs/>
        </w:rPr>
      </w:pPr>
      <w:r w:rsidRPr="00181470">
        <w:rPr>
          <w:rFonts w:ascii="Times New Roman" w:hAnsi="Times New Roman" w:cs="Times New Roman"/>
          <w:b/>
          <w:bCs/>
        </w:rPr>
        <w:t>Záväzky Slovenskej republiky vo vzťahu k Európskej únii:</w:t>
      </w:r>
    </w:p>
    <w:p w:rsidR="00411CA2" w:rsidRPr="00181470" w:rsidRDefault="00411CA2" w:rsidP="009903DA">
      <w:pPr>
        <w:tabs>
          <w:tab w:val="left" w:pos="360"/>
        </w:tabs>
        <w:ind w:left="425"/>
        <w:jc w:val="both"/>
        <w:rPr>
          <w:rFonts w:ascii="Times New Roman" w:hAnsi="Times New Roman" w:cs="Times New Roman"/>
          <w:b/>
          <w:bCs/>
        </w:rPr>
      </w:pPr>
    </w:p>
    <w:p w:rsidR="00E3436B" w:rsidRPr="00181470" w:rsidRDefault="00A5051A" w:rsidP="009903DA">
      <w:pPr>
        <w:pStyle w:val="Zkladntext"/>
        <w:numPr>
          <w:ilvl w:val="0"/>
          <w:numId w:val="5"/>
        </w:numPr>
        <w:tabs>
          <w:tab w:val="left" w:pos="360"/>
          <w:tab w:val="left" w:pos="540"/>
        </w:tabs>
        <w:spacing w:after="0"/>
        <w:jc w:val="both"/>
      </w:pPr>
      <w:r w:rsidRPr="00181470">
        <w:t>L</w:t>
      </w:r>
      <w:r w:rsidR="008203E4" w:rsidRPr="00181470">
        <w:t xml:space="preserve">ehota na </w:t>
      </w:r>
      <w:r w:rsidR="008203E4" w:rsidRPr="00FA6121">
        <w:t xml:space="preserve">prebratie </w:t>
      </w:r>
      <w:r w:rsidR="00C93E94" w:rsidRPr="00FA6121">
        <w:t xml:space="preserve">článku 2 a 3 </w:t>
      </w:r>
      <w:r w:rsidR="008203E4" w:rsidRPr="00FA6121">
        <w:t>smernice</w:t>
      </w:r>
      <w:r w:rsidR="0019568B">
        <w:t xml:space="preserve"> (EÚ) </w:t>
      </w:r>
      <w:r w:rsidR="00655547">
        <w:t>2017/2455</w:t>
      </w:r>
      <w:r w:rsidR="008203E4" w:rsidRPr="00181470">
        <w:t xml:space="preserve"> </w:t>
      </w:r>
      <w:r w:rsidR="004B5C1A">
        <w:t xml:space="preserve">v platnom znení </w:t>
      </w:r>
      <w:r w:rsidR="008203E4" w:rsidRPr="00181470">
        <w:t>je stanovená do 3</w:t>
      </w:r>
      <w:r w:rsidR="004B5C1A">
        <w:t>0. 6.</w:t>
      </w:r>
      <w:r w:rsidR="00655547">
        <w:t>2020</w:t>
      </w:r>
      <w:r w:rsidR="00522DFA" w:rsidRPr="00181470">
        <w:t>.</w:t>
      </w:r>
      <w:r w:rsidR="00421D37" w:rsidRPr="00181470">
        <w:t xml:space="preserve"> Lehota na prebratie smernice</w:t>
      </w:r>
      <w:r w:rsidR="0019568B">
        <w:t xml:space="preserve"> (EÚ)</w:t>
      </w:r>
      <w:r w:rsidR="00421D37" w:rsidRPr="00181470">
        <w:t xml:space="preserve"> 2019/</w:t>
      </w:r>
      <w:r w:rsidR="00655547">
        <w:t>1995</w:t>
      </w:r>
      <w:r w:rsidR="00421D37" w:rsidRPr="00181470">
        <w:t xml:space="preserve"> </w:t>
      </w:r>
      <w:r w:rsidR="004B5C1A">
        <w:t xml:space="preserve">v platnom znení </w:t>
      </w:r>
      <w:r w:rsidR="00421D37" w:rsidRPr="00181470">
        <w:t>je stanovená do 3</w:t>
      </w:r>
      <w:r w:rsidR="004B5C1A">
        <w:t>0.6.</w:t>
      </w:r>
      <w:r w:rsidR="00421D37" w:rsidRPr="00181470">
        <w:t>20</w:t>
      </w:r>
      <w:r w:rsidR="00655547">
        <w:t>20</w:t>
      </w:r>
      <w:r w:rsidR="00421D37" w:rsidRPr="00181470">
        <w:t>.</w:t>
      </w:r>
    </w:p>
    <w:p w:rsidR="00ED6F91" w:rsidRPr="00181470" w:rsidRDefault="0025749D" w:rsidP="009903DA">
      <w:pPr>
        <w:pStyle w:val="Zkladntext"/>
        <w:numPr>
          <w:ilvl w:val="0"/>
          <w:numId w:val="5"/>
        </w:numPr>
        <w:tabs>
          <w:tab w:val="left" w:pos="360"/>
        </w:tabs>
        <w:spacing w:after="0"/>
        <w:jc w:val="both"/>
      </w:pPr>
      <w:r w:rsidRPr="00181470">
        <w:t>Proti S</w:t>
      </w:r>
      <w:r w:rsidR="003456A0" w:rsidRPr="00181470">
        <w:t xml:space="preserve">lovenskej republike </w:t>
      </w:r>
      <w:r w:rsidR="009D4299" w:rsidRPr="00181470">
        <w:t>ne</w:t>
      </w:r>
      <w:r w:rsidRPr="00181470">
        <w:t>bolo začaté konanie</w:t>
      </w:r>
      <w:r w:rsidR="00423F32" w:rsidRPr="00181470">
        <w:t xml:space="preserve"> v rámci „EÚ Pilot“, ani nebol začatý postup EK ako aj nebolo začaté konanie Súdneho dvora EÚ proti SR</w:t>
      </w:r>
      <w:r w:rsidR="00B04AF1">
        <w:t xml:space="preserve"> </w:t>
      </w:r>
      <w:r w:rsidRPr="00181470">
        <w:t>podľa čl. 258 až 260 Zmluvy o fungovaní Európskej únie</w:t>
      </w:r>
      <w:r w:rsidR="00ED6F91" w:rsidRPr="00181470">
        <w:t>.</w:t>
      </w:r>
    </w:p>
    <w:p w:rsidR="005C14D0" w:rsidRDefault="005C14D0" w:rsidP="00E958BC">
      <w:pPr>
        <w:pStyle w:val="Zkladntext"/>
        <w:numPr>
          <w:ilvl w:val="0"/>
          <w:numId w:val="5"/>
        </w:numPr>
        <w:tabs>
          <w:tab w:val="left" w:pos="360"/>
        </w:tabs>
        <w:spacing w:after="0"/>
        <w:jc w:val="both"/>
      </w:pPr>
      <w:r>
        <w:t>S</w:t>
      </w:r>
      <w:r w:rsidRPr="00181470">
        <w:t xml:space="preserve">mernica Rady 2006/112/ES z  28. novembra 2006 o spoločnom systéme dane z pridanej hodnoty </w:t>
      </w:r>
      <w:r w:rsidRPr="00181470">
        <w:rPr>
          <w:rStyle w:val="Zvraznenie"/>
          <w:i w:val="0"/>
        </w:rPr>
        <w:t>v platnom znení</w:t>
      </w:r>
      <w:r>
        <w:rPr>
          <w:rStyle w:val="Zvraznenie"/>
          <w:i w:val="0"/>
        </w:rPr>
        <w:t xml:space="preserve"> je</w:t>
      </w:r>
      <w:r>
        <w:t xml:space="preserve"> prebratá do zákona č. 222/2004 Z. z. o dani z pridanej hodnoty v znení neskorších predpisov v plnom rozsahu</w:t>
      </w:r>
      <w:r w:rsidRPr="007964E5">
        <w:t>.</w:t>
      </w:r>
    </w:p>
    <w:p w:rsidR="00E41162" w:rsidRDefault="00E41162" w:rsidP="00E41162">
      <w:pPr>
        <w:pStyle w:val="Zkladntext"/>
        <w:tabs>
          <w:tab w:val="left" w:pos="360"/>
        </w:tabs>
        <w:spacing w:after="0"/>
        <w:ind w:left="785"/>
        <w:jc w:val="both"/>
      </w:pPr>
      <w:r>
        <w:t xml:space="preserve">Články 2 a 3 smernice (EÚ) 2017/2455 </w:t>
      </w:r>
      <w:r w:rsidR="00173F48">
        <w:t xml:space="preserve">v platnom znení </w:t>
      </w:r>
      <w:r>
        <w:t>sú prebraté do zákona č. 222/2004 Z. z. o dani z pridanej hodnoty v znení neskorších predpisov v plnom rozsahu</w:t>
      </w:r>
      <w:r w:rsidRPr="007964E5">
        <w:t>.</w:t>
      </w:r>
      <w:r>
        <w:t xml:space="preserve"> Článok 1 smernice (EÚ) 2017/2455 bol transponovaný v inom legislatívnom procese. </w:t>
      </w:r>
    </w:p>
    <w:p w:rsidR="005C14D0" w:rsidRDefault="00655547" w:rsidP="00E41162">
      <w:pPr>
        <w:pStyle w:val="Zkladntext"/>
        <w:tabs>
          <w:tab w:val="left" w:pos="360"/>
        </w:tabs>
        <w:spacing w:after="0"/>
        <w:ind w:left="785"/>
        <w:jc w:val="both"/>
      </w:pPr>
      <w:r>
        <w:t>S</w:t>
      </w:r>
      <w:r w:rsidR="0019568B">
        <w:t>mernic</w:t>
      </w:r>
      <w:r>
        <w:t>a</w:t>
      </w:r>
      <w:r w:rsidR="0019568B">
        <w:t xml:space="preserve"> (EÚ) </w:t>
      </w:r>
      <w:r>
        <w:t xml:space="preserve">2019/1995 </w:t>
      </w:r>
      <w:r w:rsidR="00173F48">
        <w:t xml:space="preserve">v platnom znení </w:t>
      </w:r>
      <w:r w:rsidR="005C14D0" w:rsidRPr="00E41162">
        <w:rPr>
          <w:rStyle w:val="Zvraznenie"/>
          <w:i w:val="0"/>
        </w:rPr>
        <w:t>je</w:t>
      </w:r>
      <w:r w:rsidR="005C14D0">
        <w:t xml:space="preserve"> prebratá do zákona č. 222/2004 Z. z. o dani z pridanej hodnoty v znení neskorších predpisov v plnom rozsahu</w:t>
      </w:r>
      <w:r w:rsidR="005C14D0" w:rsidRPr="007964E5">
        <w:t>.</w:t>
      </w:r>
    </w:p>
    <w:p w:rsidR="005C14D0" w:rsidRDefault="005C14D0" w:rsidP="005C14D0">
      <w:pPr>
        <w:pStyle w:val="Zkladntext"/>
        <w:tabs>
          <w:tab w:val="left" w:pos="360"/>
        </w:tabs>
        <w:spacing w:after="0"/>
        <w:ind w:left="785"/>
        <w:jc w:val="both"/>
      </w:pPr>
      <w:r w:rsidRPr="00B04AF1">
        <w:t>S</w:t>
      </w:r>
      <w:r>
        <w:t>mernica Rady 2009/132/ES z 19. októbra 2009</w:t>
      </w:r>
      <w:r w:rsidR="00655547">
        <w:t xml:space="preserve"> </w:t>
      </w:r>
      <w:r w:rsidR="00173F48">
        <w:t xml:space="preserve">v platnom znení </w:t>
      </w:r>
      <w:r>
        <w:rPr>
          <w:rStyle w:val="Zvraznenie"/>
          <w:i w:val="0"/>
        </w:rPr>
        <w:t>je</w:t>
      </w:r>
      <w:r>
        <w:t xml:space="preserve"> prebratá do zákona č. 222/2004 Z. z. o dani z pridanej hodnoty v znení neskorších predpisov v plnom rozsahu</w:t>
      </w:r>
      <w:r w:rsidRPr="007964E5">
        <w:t>.</w:t>
      </w:r>
    </w:p>
    <w:p w:rsidR="005E68BC" w:rsidRPr="00181470" w:rsidRDefault="005E68BC" w:rsidP="004F4649">
      <w:pPr>
        <w:pStyle w:val="Zkladntext"/>
        <w:tabs>
          <w:tab w:val="left" w:pos="360"/>
        </w:tabs>
        <w:spacing w:after="0"/>
        <w:jc w:val="both"/>
      </w:pPr>
    </w:p>
    <w:p w:rsidR="00ED6F91" w:rsidRPr="00181470" w:rsidRDefault="00CE4115" w:rsidP="009903DA">
      <w:pPr>
        <w:pStyle w:val="Odsekzoznamu"/>
        <w:numPr>
          <w:ilvl w:val="0"/>
          <w:numId w:val="1"/>
        </w:numPr>
        <w:tabs>
          <w:tab w:val="left" w:pos="360"/>
        </w:tabs>
        <w:jc w:val="both"/>
        <w:rPr>
          <w:b/>
          <w:bCs/>
        </w:rPr>
      </w:pPr>
      <w:r w:rsidRPr="00181470">
        <w:rPr>
          <w:b/>
          <w:bCs/>
        </w:rPr>
        <w:t>Návrh</w:t>
      </w:r>
      <w:r w:rsidR="00ED6F91" w:rsidRPr="00181470">
        <w:rPr>
          <w:b/>
          <w:bCs/>
        </w:rPr>
        <w:t xml:space="preserve"> zákona</w:t>
      </w:r>
      <w:r w:rsidRPr="00181470">
        <w:rPr>
          <w:b/>
          <w:bCs/>
        </w:rPr>
        <w:t xml:space="preserve"> je zlučiteľný</w:t>
      </w:r>
      <w:r w:rsidR="00ED6F91" w:rsidRPr="00181470">
        <w:rPr>
          <w:b/>
          <w:bCs/>
        </w:rPr>
        <w:t xml:space="preserve"> s právom Európskej únie:</w:t>
      </w:r>
    </w:p>
    <w:p w:rsidR="00CC3ADA" w:rsidRPr="00181470" w:rsidRDefault="00CC3ADA" w:rsidP="009903DA">
      <w:pPr>
        <w:pStyle w:val="Odsekzoznamu"/>
        <w:tabs>
          <w:tab w:val="left" w:pos="360"/>
        </w:tabs>
        <w:ind w:left="425"/>
        <w:jc w:val="both"/>
        <w:rPr>
          <w:b/>
          <w:bCs/>
        </w:rPr>
      </w:pPr>
    </w:p>
    <w:p w:rsidR="00CC3ADA" w:rsidRPr="00181470" w:rsidRDefault="007F6A49" w:rsidP="009903DA">
      <w:pPr>
        <w:pStyle w:val="Odsekzoznamu"/>
        <w:tabs>
          <w:tab w:val="left" w:pos="360"/>
        </w:tabs>
        <w:ind w:left="425"/>
        <w:jc w:val="both"/>
        <w:rPr>
          <w:bCs/>
        </w:rPr>
      </w:pPr>
      <w:r>
        <w:rPr>
          <w:bCs/>
        </w:rPr>
        <w:tab/>
      </w:r>
      <w:r w:rsidR="00CE4115" w:rsidRPr="00181470">
        <w:rPr>
          <w:bCs/>
        </w:rPr>
        <w:t>Ú</w:t>
      </w:r>
      <w:r w:rsidR="00CC3ADA" w:rsidRPr="00181470">
        <w:rPr>
          <w:bCs/>
        </w:rPr>
        <w:t>pln</w:t>
      </w:r>
      <w:r w:rsidR="00CE4115" w:rsidRPr="00181470">
        <w:rPr>
          <w:bCs/>
        </w:rPr>
        <w:t>e</w:t>
      </w:r>
      <w:r w:rsidR="002074CF" w:rsidRPr="00181470">
        <w:rPr>
          <w:bCs/>
        </w:rPr>
        <w:t>.</w:t>
      </w:r>
    </w:p>
    <w:sectPr w:rsidR="00CC3ADA" w:rsidRPr="00181470" w:rsidSect="00DC1DF2">
      <w:footerReference w:type="even" r:id="rId9"/>
      <w:footerReference w:type="default" r:id="rId10"/>
      <w:pgSz w:w="11906" w:h="16838" w:code="9"/>
      <w:pgMar w:top="1191" w:right="1191" w:bottom="1191" w:left="119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55" w:rsidRDefault="00AF2655">
      <w:r>
        <w:separator/>
      </w:r>
    </w:p>
  </w:endnote>
  <w:endnote w:type="continuationSeparator" w:id="0">
    <w:p w:rsidR="00AF2655" w:rsidRDefault="00AF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A" w:rsidRDefault="00DD334A" w:rsidP="0019789C">
    <w:pPr>
      <w:pStyle w:val="Pta"/>
      <w:framePr w:wrap="around" w:vAnchor="text" w:hAnchor="margin" w:xAlign="right" w:y="1"/>
      <w:rPr>
        <w:rStyle w:val="slostrany"/>
      </w:rPr>
    </w:pPr>
    <w:r>
      <w:rPr>
        <w:rStyle w:val="slostrany"/>
      </w:rPr>
      <w:fldChar w:fldCharType="begin"/>
    </w:r>
    <w:r w:rsidR="00CC3ADA">
      <w:rPr>
        <w:rStyle w:val="slostrany"/>
      </w:rPr>
      <w:instrText xml:space="preserve">PAGE  </w:instrText>
    </w:r>
    <w:r>
      <w:rPr>
        <w:rStyle w:val="slostrany"/>
      </w:rPr>
      <w:fldChar w:fldCharType="end"/>
    </w:r>
  </w:p>
  <w:p w:rsidR="00CC3ADA" w:rsidRDefault="00CC3ADA" w:rsidP="0019789C">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DA" w:rsidRDefault="00CC3ADA" w:rsidP="0019789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55" w:rsidRDefault="00AF2655">
      <w:r>
        <w:separator/>
      </w:r>
    </w:p>
  </w:footnote>
  <w:footnote w:type="continuationSeparator" w:id="0">
    <w:p w:rsidR="00AF2655" w:rsidRDefault="00AF2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3.5pt" o:bullet="t">
        <v:imagedata r:id="rId1" o:title="bull"/>
      </v:shape>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15:restartNumberingAfterBreak="0">
    <w:nsid w:val="0193146C"/>
    <w:multiLevelType w:val="hybridMultilevel"/>
    <w:tmpl w:val="44528930"/>
    <w:lvl w:ilvl="0" w:tplc="041B0017">
      <w:start w:val="1"/>
      <w:numFmt w:val="lowerLetter"/>
      <w:lvlText w:val="%1)"/>
      <w:lvlJc w:val="left"/>
      <w:pPr>
        <w:tabs>
          <w:tab w:val="num" w:pos="785"/>
        </w:tabs>
        <w:ind w:left="785" w:hanging="360"/>
      </w:pPr>
      <w:rPr>
        <w:rFonts w:hint="default"/>
      </w:rPr>
    </w:lvl>
    <w:lvl w:ilvl="1" w:tplc="041B0019" w:tentative="1">
      <w:start w:val="1"/>
      <w:numFmt w:val="lowerLetter"/>
      <w:lvlText w:val="%2."/>
      <w:lvlJc w:val="left"/>
      <w:pPr>
        <w:tabs>
          <w:tab w:val="num" w:pos="1505"/>
        </w:tabs>
        <w:ind w:left="1505" w:hanging="360"/>
      </w:pPr>
    </w:lvl>
    <w:lvl w:ilvl="2" w:tplc="041B001B" w:tentative="1">
      <w:start w:val="1"/>
      <w:numFmt w:val="lowerRoman"/>
      <w:lvlText w:val="%3."/>
      <w:lvlJc w:val="right"/>
      <w:pPr>
        <w:tabs>
          <w:tab w:val="num" w:pos="2225"/>
        </w:tabs>
        <w:ind w:left="2225" w:hanging="180"/>
      </w:pPr>
    </w:lvl>
    <w:lvl w:ilvl="3" w:tplc="041B000F" w:tentative="1">
      <w:start w:val="1"/>
      <w:numFmt w:val="decimal"/>
      <w:lvlText w:val="%4."/>
      <w:lvlJc w:val="left"/>
      <w:pPr>
        <w:tabs>
          <w:tab w:val="num" w:pos="2945"/>
        </w:tabs>
        <w:ind w:left="2945" w:hanging="360"/>
      </w:p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 w15:restartNumberingAfterBreak="0">
    <w:nsid w:val="0749197D"/>
    <w:multiLevelType w:val="multilevel"/>
    <w:tmpl w:val="10FA859E"/>
    <w:lvl w:ilvl="0">
      <w:start w:val="6"/>
      <w:numFmt w:val="bullet"/>
      <w:lvlText w:val="-"/>
      <w:lvlJc w:val="left"/>
      <w:pPr>
        <w:ind w:left="993" w:hanging="425"/>
      </w:pPr>
      <w:rPr>
        <w:rFonts w:ascii="Times New Roman" w:eastAsia="Times New Roman" w:hAnsi="Times New Roman" w:hint="default"/>
        <w:b/>
        <w:bCs/>
      </w:rPr>
    </w:lvl>
    <w:lvl w:ilvl="1">
      <w:start w:val="1"/>
      <w:numFmt w:val="lowerLetter"/>
      <w:lvlText w:val="%2)"/>
      <w:legacy w:legacy="1" w:legacySpace="0" w:legacyIndent="425"/>
      <w:lvlJc w:val="left"/>
      <w:pPr>
        <w:ind w:left="1418" w:hanging="425"/>
      </w:pPr>
    </w:lvl>
    <w:lvl w:ilvl="2">
      <w:start w:val="1"/>
      <w:numFmt w:val="decimal"/>
      <w:lvlText w:val="%3.)"/>
      <w:legacy w:legacy="1" w:legacySpace="0" w:legacyIndent="425"/>
      <w:lvlJc w:val="left"/>
      <w:pPr>
        <w:ind w:left="1843" w:hanging="425"/>
      </w:pPr>
    </w:lvl>
    <w:lvl w:ilvl="3">
      <w:start w:val="1"/>
      <w:numFmt w:val="lowerLetter"/>
      <w:lvlText w:val="%4)"/>
      <w:legacy w:legacy="1" w:legacySpace="0" w:legacyIndent="708"/>
      <w:lvlJc w:val="left"/>
      <w:pPr>
        <w:ind w:left="2551" w:hanging="708"/>
      </w:pPr>
    </w:lvl>
    <w:lvl w:ilvl="4">
      <w:start w:val="1"/>
      <w:numFmt w:val="decimal"/>
      <w:lvlText w:val="(%5)"/>
      <w:legacy w:legacy="1" w:legacySpace="0" w:legacyIndent="708"/>
      <w:lvlJc w:val="left"/>
      <w:pPr>
        <w:ind w:left="3259" w:hanging="708"/>
      </w:pPr>
    </w:lvl>
    <w:lvl w:ilvl="5">
      <w:start w:val="1"/>
      <w:numFmt w:val="lowerLetter"/>
      <w:lvlText w:val="(%6)"/>
      <w:legacy w:legacy="1" w:legacySpace="0" w:legacyIndent="708"/>
      <w:lvlJc w:val="left"/>
      <w:pPr>
        <w:ind w:left="3967" w:hanging="708"/>
      </w:pPr>
    </w:lvl>
    <w:lvl w:ilvl="6">
      <w:start w:val="1"/>
      <w:numFmt w:val="lowerRoman"/>
      <w:lvlText w:val="(%7)"/>
      <w:legacy w:legacy="1" w:legacySpace="0" w:legacyIndent="708"/>
      <w:lvlJc w:val="left"/>
      <w:pPr>
        <w:ind w:left="4675" w:hanging="708"/>
      </w:pPr>
    </w:lvl>
    <w:lvl w:ilvl="7">
      <w:start w:val="1"/>
      <w:numFmt w:val="lowerLetter"/>
      <w:lvlText w:val="(%8)"/>
      <w:legacy w:legacy="1" w:legacySpace="0" w:legacyIndent="708"/>
      <w:lvlJc w:val="left"/>
      <w:pPr>
        <w:ind w:left="5383" w:hanging="708"/>
      </w:pPr>
    </w:lvl>
    <w:lvl w:ilvl="8">
      <w:start w:val="1"/>
      <w:numFmt w:val="lowerRoman"/>
      <w:lvlText w:val="(%9)"/>
      <w:legacy w:legacy="1" w:legacySpace="0" w:legacyIndent="708"/>
      <w:lvlJc w:val="left"/>
      <w:pPr>
        <w:ind w:left="6091" w:hanging="708"/>
      </w:pPr>
    </w:lvl>
  </w:abstractNum>
  <w:abstractNum w:abstractNumId="2" w15:restartNumberingAfterBreak="0">
    <w:nsid w:val="124B0749"/>
    <w:multiLevelType w:val="hybridMultilevel"/>
    <w:tmpl w:val="236AF06C"/>
    <w:lvl w:ilvl="0" w:tplc="041B0017">
      <w:start w:val="4"/>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191D2169"/>
    <w:multiLevelType w:val="hybridMultilevel"/>
    <w:tmpl w:val="435C7804"/>
    <w:lvl w:ilvl="0" w:tplc="04B4E764">
      <w:start w:val="2"/>
      <w:numFmt w:val="decimal"/>
      <w:lvlText w:val="%1."/>
      <w:lvlJc w:val="left"/>
      <w:pPr>
        <w:ind w:left="720" w:hanging="360"/>
      </w:pPr>
      <w:rPr>
        <w:rFonts w:cs="Arial Narrow" w:hint="default"/>
        <w:u w:val="none"/>
      </w:rPr>
    </w:lvl>
    <w:lvl w:ilvl="1" w:tplc="0C0C94D6">
      <w:start w:val="2"/>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D3F2D1F"/>
    <w:multiLevelType w:val="hybridMultilevel"/>
    <w:tmpl w:val="2976140A"/>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0BB08A6"/>
    <w:multiLevelType w:val="hybridMultilevel"/>
    <w:tmpl w:val="1FB241BC"/>
    <w:lvl w:ilvl="0" w:tplc="CCCEB200">
      <w:start w:val="6"/>
      <w:numFmt w:val="bullet"/>
      <w:lvlText w:val="-"/>
      <w:lvlJc w:val="left"/>
      <w:pPr>
        <w:tabs>
          <w:tab w:val="num" w:pos="900"/>
        </w:tabs>
        <w:ind w:left="900" w:hanging="360"/>
      </w:pPr>
      <w:rPr>
        <w:rFonts w:ascii="Times New Roman" w:eastAsia="Times New Roman" w:hAnsi="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cs="Wingdings" w:hint="default"/>
      </w:rPr>
    </w:lvl>
    <w:lvl w:ilvl="3" w:tplc="041B0001">
      <w:start w:val="1"/>
      <w:numFmt w:val="bullet"/>
      <w:lvlText w:val=""/>
      <w:lvlJc w:val="left"/>
      <w:pPr>
        <w:tabs>
          <w:tab w:val="num" w:pos="3060"/>
        </w:tabs>
        <w:ind w:left="3060" w:hanging="360"/>
      </w:pPr>
      <w:rPr>
        <w:rFonts w:ascii="Symbol" w:hAnsi="Symbol" w:cs="Symbol"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cs="Wingdings" w:hint="default"/>
      </w:rPr>
    </w:lvl>
    <w:lvl w:ilvl="6" w:tplc="041B0001">
      <w:start w:val="1"/>
      <w:numFmt w:val="bullet"/>
      <w:lvlText w:val=""/>
      <w:lvlJc w:val="left"/>
      <w:pPr>
        <w:tabs>
          <w:tab w:val="num" w:pos="5220"/>
        </w:tabs>
        <w:ind w:left="5220" w:hanging="360"/>
      </w:pPr>
      <w:rPr>
        <w:rFonts w:ascii="Symbol" w:hAnsi="Symbol" w:cs="Symbol" w:hint="default"/>
      </w:rPr>
    </w:lvl>
    <w:lvl w:ilvl="7" w:tplc="041B0003">
      <w:start w:val="1"/>
      <w:numFmt w:val="bullet"/>
      <w:lvlText w:val="o"/>
      <w:lvlJc w:val="left"/>
      <w:pPr>
        <w:tabs>
          <w:tab w:val="num" w:pos="5940"/>
        </w:tabs>
        <w:ind w:left="5940" w:hanging="360"/>
      </w:pPr>
      <w:rPr>
        <w:rFonts w:ascii="Courier New" w:hAnsi="Courier New" w:cs="Courier New" w:hint="default"/>
      </w:rPr>
    </w:lvl>
    <w:lvl w:ilvl="8" w:tplc="041B0005">
      <w:start w:val="1"/>
      <w:numFmt w:val="bullet"/>
      <w:lvlText w:val=""/>
      <w:lvlJc w:val="left"/>
      <w:pPr>
        <w:tabs>
          <w:tab w:val="num" w:pos="6660"/>
        </w:tabs>
        <w:ind w:left="6660" w:hanging="360"/>
      </w:pPr>
      <w:rPr>
        <w:rFonts w:ascii="Wingdings" w:hAnsi="Wingdings" w:cs="Wingdings" w:hint="default"/>
      </w:rPr>
    </w:lvl>
  </w:abstractNum>
  <w:abstractNum w:abstractNumId="6" w15:restartNumberingAfterBreak="0">
    <w:nsid w:val="56204527"/>
    <w:multiLevelType w:val="hybridMultilevel"/>
    <w:tmpl w:val="574A07BE"/>
    <w:lvl w:ilvl="0" w:tplc="CCCEB200">
      <w:start w:val="6"/>
      <w:numFmt w:val="bullet"/>
      <w:lvlText w:val="-"/>
      <w:lvlJc w:val="left"/>
      <w:pPr>
        <w:ind w:left="644" w:hanging="360"/>
      </w:pPr>
      <w:rPr>
        <w:rFonts w:ascii="Times New Roman" w:eastAsia="Times New Roman" w:hAnsi="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5C9B77D4"/>
    <w:multiLevelType w:val="multilevel"/>
    <w:tmpl w:val="D4E25A3E"/>
    <w:lvl w:ilvl="0">
      <w:start w:val="1"/>
      <w:numFmt w:val="decimal"/>
      <w:lvlText w:val="%1."/>
      <w:legacy w:legacy="1" w:legacySpace="0" w:legacyIndent="425"/>
      <w:lvlJc w:val="left"/>
      <w:pPr>
        <w:ind w:left="425" w:hanging="425"/>
      </w:pPr>
      <w:rPr>
        <w:b/>
        <w:bCs/>
      </w:rPr>
    </w:lvl>
    <w:lvl w:ilvl="1">
      <w:start w:val="1"/>
      <w:numFmt w:val="lowerLetter"/>
      <w:lvlText w:val="%2)"/>
      <w:legacy w:legacy="1" w:legacySpace="0" w:legacyIndent="425"/>
      <w:lvlJc w:val="left"/>
      <w:pPr>
        <w:ind w:left="850" w:hanging="425"/>
      </w:pPr>
      <w:rPr>
        <w:b/>
      </w:rPr>
    </w:lvl>
    <w:lvl w:ilvl="2">
      <w:start w:val="1"/>
      <w:numFmt w:val="decimal"/>
      <w:lvlText w:val="%3.)"/>
      <w:legacy w:legacy="1" w:legacySpace="0" w:legacyIndent="425"/>
      <w:lvlJc w:val="left"/>
      <w:pPr>
        <w:ind w:left="1275" w:hanging="425"/>
      </w:pPr>
    </w:lvl>
    <w:lvl w:ilvl="3">
      <w:start w:val="1"/>
      <w:numFmt w:val="lowerLetter"/>
      <w:lvlText w:val="%4)"/>
      <w:legacy w:legacy="1" w:legacySpace="0" w:legacyIndent="708"/>
      <w:lvlJc w:val="left"/>
      <w:pPr>
        <w:ind w:left="1983" w:hanging="708"/>
      </w:pPr>
    </w:lvl>
    <w:lvl w:ilvl="4">
      <w:start w:val="1"/>
      <w:numFmt w:val="decimal"/>
      <w:lvlText w:val="(%5)"/>
      <w:legacy w:legacy="1" w:legacySpace="0" w:legacyIndent="708"/>
      <w:lvlJc w:val="left"/>
      <w:pPr>
        <w:ind w:left="2691" w:hanging="708"/>
      </w:pPr>
    </w:lvl>
    <w:lvl w:ilvl="5">
      <w:start w:val="1"/>
      <w:numFmt w:val="lowerLetter"/>
      <w:lvlText w:val="(%6)"/>
      <w:legacy w:legacy="1" w:legacySpace="0" w:legacyIndent="708"/>
      <w:lvlJc w:val="left"/>
      <w:pPr>
        <w:ind w:left="3399" w:hanging="708"/>
      </w:pPr>
    </w:lvl>
    <w:lvl w:ilvl="6">
      <w:start w:val="1"/>
      <w:numFmt w:val="lowerRoman"/>
      <w:lvlText w:val="(%7)"/>
      <w:legacy w:legacy="1" w:legacySpace="0" w:legacyIndent="708"/>
      <w:lvlJc w:val="left"/>
      <w:pPr>
        <w:ind w:left="4107" w:hanging="708"/>
      </w:pPr>
    </w:lvl>
    <w:lvl w:ilvl="7">
      <w:start w:val="1"/>
      <w:numFmt w:val="lowerLetter"/>
      <w:lvlText w:val="(%8)"/>
      <w:legacy w:legacy="1" w:legacySpace="0" w:legacyIndent="708"/>
      <w:lvlJc w:val="left"/>
      <w:pPr>
        <w:ind w:left="4815" w:hanging="708"/>
      </w:pPr>
    </w:lvl>
    <w:lvl w:ilvl="8">
      <w:start w:val="1"/>
      <w:numFmt w:val="lowerRoman"/>
      <w:lvlText w:val="(%9)"/>
      <w:legacy w:legacy="1" w:legacySpace="0" w:legacyIndent="708"/>
      <w:lvlJc w:val="left"/>
      <w:pPr>
        <w:ind w:left="5523" w:hanging="708"/>
      </w:pPr>
    </w:lvl>
  </w:abstractNum>
  <w:abstractNum w:abstractNumId="8" w15:restartNumberingAfterBreak="0">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9" w15:restartNumberingAfterBreak="0">
    <w:nsid w:val="6BF03261"/>
    <w:multiLevelType w:val="hybridMultilevel"/>
    <w:tmpl w:val="69926042"/>
    <w:lvl w:ilvl="0" w:tplc="54082824">
      <w:start w:val="1"/>
      <w:numFmt w:val="decimal"/>
      <w:lvlText w:val="%1."/>
      <w:lvlJc w:val="left"/>
      <w:pPr>
        <w:ind w:left="3196" w:hanging="360"/>
      </w:pPr>
      <w:rPr>
        <w:rFonts w:cs="Arial Narrow" w:hint="default"/>
      </w:rPr>
    </w:lvl>
    <w:lvl w:ilvl="1" w:tplc="041B0019" w:tentative="1">
      <w:start w:val="1"/>
      <w:numFmt w:val="lowerLetter"/>
      <w:lvlText w:val="%2."/>
      <w:lvlJc w:val="left"/>
      <w:pPr>
        <w:ind w:left="3916" w:hanging="360"/>
      </w:pPr>
      <w:rPr>
        <w:rFonts w:cs="Times New Roman"/>
      </w:rPr>
    </w:lvl>
    <w:lvl w:ilvl="2" w:tplc="041B001B" w:tentative="1">
      <w:start w:val="1"/>
      <w:numFmt w:val="lowerRoman"/>
      <w:lvlText w:val="%3."/>
      <w:lvlJc w:val="right"/>
      <w:pPr>
        <w:ind w:left="4636" w:hanging="180"/>
      </w:pPr>
      <w:rPr>
        <w:rFonts w:cs="Times New Roman"/>
      </w:rPr>
    </w:lvl>
    <w:lvl w:ilvl="3" w:tplc="041B000F" w:tentative="1">
      <w:start w:val="1"/>
      <w:numFmt w:val="decimal"/>
      <w:lvlText w:val="%4."/>
      <w:lvlJc w:val="left"/>
      <w:pPr>
        <w:ind w:left="5356" w:hanging="360"/>
      </w:pPr>
      <w:rPr>
        <w:rFonts w:cs="Times New Roman"/>
      </w:rPr>
    </w:lvl>
    <w:lvl w:ilvl="4" w:tplc="041B0019" w:tentative="1">
      <w:start w:val="1"/>
      <w:numFmt w:val="lowerLetter"/>
      <w:lvlText w:val="%5."/>
      <w:lvlJc w:val="left"/>
      <w:pPr>
        <w:ind w:left="6076" w:hanging="360"/>
      </w:pPr>
      <w:rPr>
        <w:rFonts w:cs="Times New Roman"/>
      </w:rPr>
    </w:lvl>
    <w:lvl w:ilvl="5" w:tplc="041B001B" w:tentative="1">
      <w:start w:val="1"/>
      <w:numFmt w:val="lowerRoman"/>
      <w:lvlText w:val="%6."/>
      <w:lvlJc w:val="right"/>
      <w:pPr>
        <w:ind w:left="6796" w:hanging="180"/>
      </w:pPr>
      <w:rPr>
        <w:rFonts w:cs="Times New Roman"/>
      </w:rPr>
    </w:lvl>
    <w:lvl w:ilvl="6" w:tplc="041B000F" w:tentative="1">
      <w:start w:val="1"/>
      <w:numFmt w:val="decimal"/>
      <w:lvlText w:val="%7."/>
      <w:lvlJc w:val="left"/>
      <w:pPr>
        <w:ind w:left="7516" w:hanging="360"/>
      </w:pPr>
      <w:rPr>
        <w:rFonts w:cs="Times New Roman"/>
      </w:rPr>
    </w:lvl>
    <w:lvl w:ilvl="7" w:tplc="041B0019" w:tentative="1">
      <w:start w:val="1"/>
      <w:numFmt w:val="lowerLetter"/>
      <w:lvlText w:val="%8."/>
      <w:lvlJc w:val="left"/>
      <w:pPr>
        <w:ind w:left="8236" w:hanging="360"/>
      </w:pPr>
      <w:rPr>
        <w:rFonts w:cs="Times New Roman"/>
      </w:rPr>
    </w:lvl>
    <w:lvl w:ilvl="8" w:tplc="041B001B" w:tentative="1">
      <w:start w:val="1"/>
      <w:numFmt w:val="lowerRoman"/>
      <w:lvlText w:val="%9."/>
      <w:lvlJc w:val="right"/>
      <w:pPr>
        <w:ind w:left="8956" w:hanging="180"/>
      </w:pPr>
      <w:rPr>
        <w:rFonts w:cs="Times New Roman"/>
      </w:rPr>
    </w:lvl>
  </w:abstractNum>
  <w:abstractNum w:abstractNumId="10" w15:restartNumberingAfterBreak="0">
    <w:nsid w:val="7C09451C"/>
    <w:multiLevelType w:val="multilevel"/>
    <w:tmpl w:val="FC50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06BC2"/>
    <w:multiLevelType w:val="multilevel"/>
    <w:tmpl w:val="70DE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2"/>
  </w:num>
  <w:num w:numId="5">
    <w:abstractNumId w:val="0"/>
  </w:num>
  <w:num w:numId="6">
    <w:abstractNumId w:val="10"/>
  </w:num>
  <w:num w:numId="7">
    <w:abstractNumId w:val="11"/>
  </w:num>
  <w:num w:numId="8">
    <w:abstractNumId w:val="3"/>
  </w:num>
  <w:num w:numId="9">
    <w:abstractNumId w:val="1"/>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91"/>
    <w:rsid w:val="00000627"/>
    <w:rsid w:val="0000109A"/>
    <w:rsid w:val="000076A9"/>
    <w:rsid w:val="000123E9"/>
    <w:rsid w:val="00012948"/>
    <w:rsid w:val="00030077"/>
    <w:rsid w:val="00046C33"/>
    <w:rsid w:val="00054061"/>
    <w:rsid w:val="000644A2"/>
    <w:rsid w:val="00084A49"/>
    <w:rsid w:val="00086349"/>
    <w:rsid w:val="00087337"/>
    <w:rsid w:val="000A5314"/>
    <w:rsid w:val="000B0C86"/>
    <w:rsid w:val="000C755E"/>
    <w:rsid w:val="000D3A05"/>
    <w:rsid w:val="000F62D9"/>
    <w:rsid w:val="000F792F"/>
    <w:rsid w:val="00100CF2"/>
    <w:rsid w:val="0010177A"/>
    <w:rsid w:val="00106F2D"/>
    <w:rsid w:val="00111D33"/>
    <w:rsid w:val="00112A40"/>
    <w:rsid w:val="00116CCA"/>
    <w:rsid w:val="00121C8D"/>
    <w:rsid w:val="0013508C"/>
    <w:rsid w:val="001522A5"/>
    <w:rsid w:val="00161DDC"/>
    <w:rsid w:val="001664F5"/>
    <w:rsid w:val="00166969"/>
    <w:rsid w:val="00173F48"/>
    <w:rsid w:val="00176C55"/>
    <w:rsid w:val="00181470"/>
    <w:rsid w:val="00181CB1"/>
    <w:rsid w:val="00190FC0"/>
    <w:rsid w:val="001918F5"/>
    <w:rsid w:val="00193476"/>
    <w:rsid w:val="0019568B"/>
    <w:rsid w:val="0019573E"/>
    <w:rsid w:val="00197472"/>
    <w:rsid w:val="0019789C"/>
    <w:rsid w:val="001A0EA4"/>
    <w:rsid w:val="001A3F0B"/>
    <w:rsid w:val="001A6184"/>
    <w:rsid w:val="001B0176"/>
    <w:rsid w:val="001B1195"/>
    <w:rsid w:val="001B5F74"/>
    <w:rsid w:val="001C19A1"/>
    <w:rsid w:val="001C7871"/>
    <w:rsid w:val="001D1018"/>
    <w:rsid w:val="001D3990"/>
    <w:rsid w:val="001E2193"/>
    <w:rsid w:val="001E28D3"/>
    <w:rsid w:val="001E31DC"/>
    <w:rsid w:val="001F3CF3"/>
    <w:rsid w:val="001F4E0C"/>
    <w:rsid w:val="001F554F"/>
    <w:rsid w:val="001F76FB"/>
    <w:rsid w:val="00201D26"/>
    <w:rsid w:val="002062AB"/>
    <w:rsid w:val="002074CF"/>
    <w:rsid w:val="00216A4A"/>
    <w:rsid w:val="002243BD"/>
    <w:rsid w:val="0022751F"/>
    <w:rsid w:val="0024073C"/>
    <w:rsid w:val="00244387"/>
    <w:rsid w:val="002540E8"/>
    <w:rsid w:val="0025749D"/>
    <w:rsid w:val="00267379"/>
    <w:rsid w:val="002719B4"/>
    <w:rsid w:val="00272618"/>
    <w:rsid w:val="00275CD7"/>
    <w:rsid w:val="002865EC"/>
    <w:rsid w:val="00293A0E"/>
    <w:rsid w:val="002A073A"/>
    <w:rsid w:val="002A0B41"/>
    <w:rsid w:val="002A37C5"/>
    <w:rsid w:val="002C467A"/>
    <w:rsid w:val="002C6DA7"/>
    <w:rsid w:val="002D26AA"/>
    <w:rsid w:val="002D33C4"/>
    <w:rsid w:val="002D3E61"/>
    <w:rsid w:val="002E0191"/>
    <w:rsid w:val="00312E67"/>
    <w:rsid w:val="00323322"/>
    <w:rsid w:val="0032661B"/>
    <w:rsid w:val="00330914"/>
    <w:rsid w:val="003321B0"/>
    <w:rsid w:val="0034386E"/>
    <w:rsid w:val="003456A0"/>
    <w:rsid w:val="0035021B"/>
    <w:rsid w:val="003550B7"/>
    <w:rsid w:val="00387C38"/>
    <w:rsid w:val="003A7AE4"/>
    <w:rsid w:val="003C6BB6"/>
    <w:rsid w:val="003D6923"/>
    <w:rsid w:val="003E3DB6"/>
    <w:rsid w:val="003E3E82"/>
    <w:rsid w:val="003E580E"/>
    <w:rsid w:val="004057D4"/>
    <w:rsid w:val="00411CA2"/>
    <w:rsid w:val="00417B76"/>
    <w:rsid w:val="00421D37"/>
    <w:rsid w:val="00422083"/>
    <w:rsid w:val="004220D4"/>
    <w:rsid w:val="00423F32"/>
    <w:rsid w:val="004306E4"/>
    <w:rsid w:val="00442492"/>
    <w:rsid w:val="0045408A"/>
    <w:rsid w:val="004547BE"/>
    <w:rsid w:val="004732CE"/>
    <w:rsid w:val="004752C9"/>
    <w:rsid w:val="004757B7"/>
    <w:rsid w:val="00482113"/>
    <w:rsid w:val="00483D23"/>
    <w:rsid w:val="0049159F"/>
    <w:rsid w:val="00491F99"/>
    <w:rsid w:val="004943D5"/>
    <w:rsid w:val="00496CBB"/>
    <w:rsid w:val="004A518F"/>
    <w:rsid w:val="004B5C1A"/>
    <w:rsid w:val="004C4A91"/>
    <w:rsid w:val="004C61C4"/>
    <w:rsid w:val="004E35AA"/>
    <w:rsid w:val="004F4649"/>
    <w:rsid w:val="004F6370"/>
    <w:rsid w:val="004F74A9"/>
    <w:rsid w:val="00513C44"/>
    <w:rsid w:val="00522DFA"/>
    <w:rsid w:val="005250CE"/>
    <w:rsid w:val="00525CD1"/>
    <w:rsid w:val="005338AF"/>
    <w:rsid w:val="00534BE3"/>
    <w:rsid w:val="00554A9F"/>
    <w:rsid w:val="005702A5"/>
    <w:rsid w:val="0058023E"/>
    <w:rsid w:val="00593275"/>
    <w:rsid w:val="005B6995"/>
    <w:rsid w:val="005C14D0"/>
    <w:rsid w:val="005C1531"/>
    <w:rsid w:val="005C4364"/>
    <w:rsid w:val="005C797B"/>
    <w:rsid w:val="005D34AF"/>
    <w:rsid w:val="005D3AB9"/>
    <w:rsid w:val="005E68BC"/>
    <w:rsid w:val="005E6D74"/>
    <w:rsid w:val="005F154A"/>
    <w:rsid w:val="005F3542"/>
    <w:rsid w:val="005F4B42"/>
    <w:rsid w:val="005F7E82"/>
    <w:rsid w:val="00603ED7"/>
    <w:rsid w:val="00604640"/>
    <w:rsid w:val="00610F3B"/>
    <w:rsid w:val="00617FB0"/>
    <w:rsid w:val="0062538C"/>
    <w:rsid w:val="006266E0"/>
    <w:rsid w:val="006364DD"/>
    <w:rsid w:val="006404AD"/>
    <w:rsid w:val="00640B06"/>
    <w:rsid w:val="006544B5"/>
    <w:rsid w:val="00655547"/>
    <w:rsid w:val="006651FC"/>
    <w:rsid w:val="00672B49"/>
    <w:rsid w:val="00684588"/>
    <w:rsid w:val="006868A7"/>
    <w:rsid w:val="00697DDD"/>
    <w:rsid w:val="006A4EF4"/>
    <w:rsid w:val="006A4FAE"/>
    <w:rsid w:val="006B206F"/>
    <w:rsid w:val="006F4200"/>
    <w:rsid w:val="007156AD"/>
    <w:rsid w:val="0071645E"/>
    <w:rsid w:val="007164BF"/>
    <w:rsid w:val="007172FB"/>
    <w:rsid w:val="00721380"/>
    <w:rsid w:val="00732D0F"/>
    <w:rsid w:val="00757F6F"/>
    <w:rsid w:val="00774E0B"/>
    <w:rsid w:val="00776F43"/>
    <w:rsid w:val="00790236"/>
    <w:rsid w:val="007964E5"/>
    <w:rsid w:val="007A164A"/>
    <w:rsid w:val="007A4ABF"/>
    <w:rsid w:val="007B5D48"/>
    <w:rsid w:val="007C1094"/>
    <w:rsid w:val="007D0443"/>
    <w:rsid w:val="007D047F"/>
    <w:rsid w:val="007F198C"/>
    <w:rsid w:val="007F6A49"/>
    <w:rsid w:val="007F78D4"/>
    <w:rsid w:val="007F792C"/>
    <w:rsid w:val="0080216E"/>
    <w:rsid w:val="008170C8"/>
    <w:rsid w:val="00817460"/>
    <w:rsid w:val="00817E6D"/>
    <w:rsid w:val="008203E4"/>
    <w:rsid w:val="00845BEF"/>
    <w:rsid w:val="00846A75"/>
    <w:rsid w:val="008664C6"/>
    <w:rsid w:val="008730C2"/>
    <w:rsid w:val="008827AE"/>
    <w:rsid w:val="008830BA"/>
    <w:rsid w:val="00891342"/>
    <w:rsid w:val="008928A9"/>
    <w:rsid w:val="00893A02"/>
    <w:rsid w:val="008A4E3A"/>
    <w:rsid w:val="008B0368"/>
    <w:rsid w:val="008B3369"/>
    <w:rsid w:val="008B56D1"/>
    <w:rsid w:val="008C6C83"/>
    <w:rsid w:val="00902F77"/>
    <w:rsid w:val="009075CB"/>
    <w:rsid w:val="00911977"/>
    <w:rsid w:val="0092017E"/>
    <w:rsid w:val="00925F9D"/>
    <w:rsid w:val="0094087E"/>
    <w:rsid w:val="00945685"/>
    <w:rsid w:val="00960664"/>
    <w:rsid w:val="009643F5"/>
    <w:rsid w:val="009666D2"/>
    <w:rsid w:val="009769D0"/>
    <w:rsid w:val="00980020"/>
    <w:rsid w:val="00981B1A"/>
    <w:rsid w:val="0098412F"/>
    <w:rsid w:val="0098563A"/>
    <w:rsid w:val="00987FE9"/>
    <w:rsid w:val="009903DA"/>
    <w:rsid w:val="00997F82"/>
    <w:rsid w:val="009A3CF7"/>
    <w:rsid w:val="009A4D40"/>
    <w:rsid w:val="009A6B70"/>
    <w:rsid w:val="009B0FDE"/>
    <w:rsid w:val="009B26C3"/>
    <w:rsid w:val="009B3B19"/>
    <w:rsid w:val="009B6720"/>
    <w:rsid w:val="009B7FFD"/>
    <w:rsid w:val="009C221A"/>
    <w:rsid w:val="009D17B5"/>
    <w:rsid w:val="009D4299"/>
    <w:rsid w:val="009E1AF9"/>
    <w:rsid w:val="009F1C17"/>
    <w:rsid w:val="00A023E4"/>
    <w:rsid w:val="00A07395"/>
    <w:rsid w:val="00A07632"/>
    <w:rsid w:val="00A36959"/>
    <w:rsid w:val="00A36A78"/>
    <w:rsid w:val="00A37637"/>
    <w:rsid w:val="00A40FB1"/>
    <w:rsid w:val="00A5051A"/>
    <w:rsid w:val="00A52A8A"/>
    <w:rsid w:val="00A60728"/>
    <w:rsid w:val="00A6226C"/>
    <w:rsid w:val="00A63A69"/>
    <w:rsid w:val="00A7300A"/>
    <w:rsid w:val="00A806B1"/>
    <w:rsid w:val="00A844E3"/>
    <w:rsid w:val="00A94176"/>
    <w:rsid w:val="00A97AF9"/>
    <w:rsid w:val="00AA206F"/>
    <w:rsid w:val="00AA641B"/>
    <w:rsid w:val="00AA6D61"/>
    <w:rsid w:val="00AB1CCC"/>
    <w:rsid w:val="00AB1EDF"/>
    <w:rsid w:val="00AB4B6C"/>
    <w:rsid w:val="00AC4875"/>
    <w:rsid w:val="00AC7789"/>
    <w:rsid w:val="00AD5A62"/>
    <w:rsid w:val="00AE0886"/>
    <w:rsid w:val="00AE1628"/>
    <w:rsid w:val="00AE2BD8"/>
    <w:rsid w:val="00AE2F0D"/>
    <w:rsid w:val="00AE42F5"/>
    <w:rsid w:val="00AE4FDE"/>
    <w:rsid w:val="00AF2655"/>
    <w:rsid w:val="00AF7C8C"/>
    <w:rsid w:val="00B03964"/>
    <w:rsid w:val="00B04AF1"/>
    <w:rsid w:val="00B07A9F"/>
    <w:rsid w:val="00B10189"/>
    <w:rsid w:val="00B32AF9"/>
    <w:rsid w:val="00B4216E"/>
    <w:rsid w:val="00B46875"/>
    <w:rsid w:val="00B47151"/>
    <w:rsid w:val="00B47BE8"/>
    <w:rsid w:val="00B550E2"/>
    <w:rsid w:val="00B55479"/>
    <w:rsid w:val="00B648DC"/>
    <w:rsid w:val="00B67B9A"/>
    <w:rsid w:val="00B76EA1"/>
    <w:rsid w:val="00B97038"/>
    <w:rsid w:val="00BA1052"/>
    <w:rsid w:val="00BB3A4A"/>
    <w:rsid w:val="00BB5203"/>
    <w:rsid w:val="00BE0846"/>
    <w:rsid w:val="00BF604A"/>
    <w:rsid w:val="00C0389F"/>
    <w:rsid w:val="00C04413"/>
    <w:rsid w:val="00C271CD"/>
    <w:rsid w:val="00C30F8B"/>
    <w:rsid w:val="00C34205"/>
    <w:rsid w:val="00C42D69"/>
    <w:rsid w:val="00C47467"/>
    <w:rsid w:val="00C63A39"/>
    <w:rsid w:val="00C70CBA"/>
    <w:rsid w:val="00C93E94"/>
    <w:rsid w:val="00CA6412"/>
    <w:rsid w:val="00CB22E4"/>
    <w:rsid w:val="00CB3E76"/>
    <w:rsid w:val="00CC3ADA"/>
    <w:rsid w:val="00CD61AD"/>
    <w:rsid w:val="00CE4115"/>
    <w:rsid w:val="00CF6E86"/>
    <w:rsid w:val="00D04096"/>
    <w:rsid w:val="00D11007"/>
    <w:rsid w:val="00D122DC"/>
    <w:rsid w:val="00D45DB3"/>
    <w:rsid w:val="00D45FE4"/>
    <w:rsid w:val="00D46A83"/>
    <w:rsid w:val="00D504C2"/>
    <w:rsid w:val="00D517AD"/>
    <w:rsid w:val="00D53D52"/>
    <w:rsid w:val="00D6260F"/>
    <w:rsid w:val="00D71DA9"/>
    <w:rsid w:val="00D80A3F"/>
    <w:rsid w:val="00D87659"/>
    <w:rsid w:val="00D923D8"/>
    <w:rsid w:val="00D9261B"/>
    <w:rsid w:val="00D94B95"/>
    <w:rsid w:val="00D97A85"/>
    <w:rsid w:val="00DA45EC"/>
    <w:rsid w:val="00DA4E14"/>
    <w:rsid w:val="00DA52D6"/>
    <w:rsid w:val="00DB1115"/>
    <w:rsid w:val="00DB651E"/>
    <w:rsid w:val="00DC0F7A"/>
    <w:rsid w:val="00DC1847"/>
    <w:rsid w:val="00DC1DF2"/>
    <w:rsid w:val="00DC32BA"/>
    <w:rsid w:val="00DC5431"/>
    <w:rsid w:val="00DC55DE"/>
    <w:rsid w:val="00DD334A"/>
    <w:rsid w:val="00DE10B6"/>
    <w:rsid w:val="00DE11CA"/>
    <w:rsid w:val="00DE20B4"/>
    <w:rsid w:val="00DE337E"/>
    <w:rsid w:val="00DE7F97"/>
    <w:rsid w:val="00DF46F5"/>
    <w:rsid w:val="00E10D0E"/>
    <w:rsid w:val="00E26358"/>
    <w:rsid w:val="00E31512"/>
    <w:rsid w:val="00E32DD5"/>
    <w:rsid w:val="00E3436B"/>
    <w:rsid w:val="00E34FE2"/>
    <w:rsid w:val="00E40940"/>
    <w:rsid w:val="00E41162"/>
    <w:rsid w:val="00E43043"/>
    <w:rsid w:val="00E46714"/>
    <w:rsid w:val="00E5240D"/>
    <w:rsid w:val="00E62A2B"/>
    <w:rsid w:val="00E63204"/>
    <w:rsid w:val="00E650E1"/>
    <w:rsid w:val="00E75A98"/>
    <w:rsid w:val="00E75E1C"/>
    <w:rsid w:val="00E76615"/>
    <w:rsid w:val="00E76FB9"/>
    <w:rsid w:val="00E92141"/>
    <w:rsid w:val="00E958BC"/>
    <w:rsid w:val="00EB633F"/>
    <w:rsid w:val="00EC59F6"/>
    <w:rsid w:val="00EC5AAC"/>
    <w:rsid w:val="00ED2F4A"/>
    <w:rsid w:val="00ED4FED"/>
    <w:rsid w:val="00ED6F91"/>
    <w:rsid w:val="00EF209E"/>
    <w:rsid w:val="00EF521E"/>
    <w:rsid w:val="00EF62E2"/>
    <w:rsid w:val="00F01F02"/>
    <w:rsid w:val="00F033CC"/>
    <w:rsid w:val="00F07584"/>
    <w:rsid w:val="00F165C2"/>
    <w:rsid w:val="00F207C5"/>
    <w:rsid w:val="00F32166"/>
    <w:rsid w:val="00F4409E"/>
    <w:rsid w:val="00F45BD2"/>
    <w:rsid w:val="00F541BE"/>
    <w:rsid w:val="00F64833"/>
    <w:rsid w:val="00F66D86"/>
    <w:rsid w:val="00F723B3"/>
    <w:rsid w:val="00F73B6D"/>
    <w:rsid w:val="00F7772C"/>
    <w:rsid w:val="00F83337"/>
    <w:rsid w:val="00F85826"/>
    <w:rsid w:val="00F97BBC"/>
    <w:rsid w:val="00F97FFE"/>
    <w:rsid w:val="00FA0B34"/>
    <w:rsid w:val="00FA5817"/>
    <w:rsid w:val="00FA6121"/>
    <w:rsid w:val="00FA76A2"/>
    <w:rsid w:val="00FB1D46"/>
    <w:rsid w:val="00FB7394"/>
    <w:rsid w:val="00FC6464"/>
    <w:rsid w:val="00FC78AF"/>
    <w:rsid w:val="00FD3EF7"/>
    <w:rsid w:val="00FE3A43"/>
    <w:rsid w:val="00FF021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10F698-7B23-4DFE-B1D3-6319A40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D6F91"/>
    <w:rPr>
      <w:rFonts w:ascii="Arial"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iPriority w:val="99"/>
    <w:rsid w:val="00ED6F91"/>
    <w:pPr>
      <w:ind w:firstLine="709"/>
      <w:jc w:val="both"/>
    </w:pPr>
    <w:rPr>
      <w:rFonts w:ascii="Times New Roman" w:hAnsi="Times New Roman" w:cs="Times New Roman"/>
    </w:rPr>
  </w:style>
  <w:style w:type="paragraph" w:styleId="Nzov">
    <w:name w:val="Title"/>
    <w:basedOn w:val="Normlny"/>
    <w:qFormat/>
    <w:rsid w:val="00ED6F91"/>
    <w:pPr>
      <w:jc w:val="center"/>
    </w:pPr>
    <w:rPr>
      <w:rFonts w:ascii="Times New Roman" w:hAnsi="Times New Roman" w:cs="Times New Roman"/>
      <w:b/>
      <w:bCs/>
    </w:rPr>
  </w:style>
  <w:style w:type="paragraph" w:styleId="Zkladntext">
    <w:name w:val="Body Text"/>
    <w:basedOn w:val="Normlny"/>
    <w:link w:val="ZkladntextChar"/>
    <w:uiPriority w:val="99"/>
    <w:rsid w:val="00ED6F91"/>
    <w:pPr>
      <w:spacing w:after="120"/>
    </w:pPr>
    <w:rPr>
      <w:rFonts w:ascii="Times New Roman" w:hAnsi="Times New Roman" w:cs="Times New Roman"/>
      <w:lang w:eastAsia="cs-CZ"/>
    </w:rPr>
  </w:style>
  <w:style w:type="character" w:styleId="Zvraznenie">
    <w:name w:val="Emphasis"/>
    <w:uiPriority w:val="20"/>
    <w:qFormat/>
    <w:rsid w:val="00ED6F91"/>
    <w:rPr>
      <w:i/>
      <w:iCs/>
    </w:rPr>
  </w:style>
  <w:style w:type="character" w:styleId="Hypertextovprepojenie">
    <w:name w:val="Hyperlink"/>
    <w:rsid w:val="00ED6F91"/>
    <w:rPr>
      <w:color w:val="0000FF"/>
      <w:u w:val="single"/>
    </w:rPr>
  </w:style>
  <w:style w:type="character" w:customStyle="1" w:styleId="ZkladntextChar0">
    <w:name w:val="Základní text Char"/>
    <w:rsid w:val="00ED6F91"/>
    <w:rPr>
      <w:snapToGrid w:val="0"/>
      <w:color w:val="000000"/>
      <w:sz w:val="24"/>
      <w:szCs w:val="24"/>
      <w:lang w:val="sk-SK" w:eastAsia="sk-SK"/>
    </w:rPr>
  </w:style>
  <w:style w:type="paragraph" w:styleId="Pta">
    <w:name w:val="footer"/>
    <w:basedOn w:val="Normlny"/>
    <w:link w:val="PtaChar"/>
    <w:uiPriority w:val="99"/>
    <w:rsid w:val="0019789C"/>
    <w:pPr>
      <w:tabs>
        <w:tab w:val="center" w:pos="4536"/>
        <w:tab w:val="right" w:pos="9072"/>
      </w:tabs>
    </w:pPr>
  </w:style>
  <w:style w:type="character" w:styleId="slostrany">
    <w:name w:val="page number"/>
    <w:basedOn w:val="Predvolenpsmoodseku"/>
    <w:rsid w:val="0019789C"/>
  </w:style>
  <w:style w:type="paragraph" w:customStyle="1" w:styleId="c02alineaalta">
    <w:name w:val="c02alineaalta"/>
    <w:basedOn w:val="Normlny"/>
    <w:rsid w:val="00176C55"/>
    <w:pPr>
      <w:spacing w:after="240"/>
      <w:ind w:left="567"/>
      <w:jc w:val="both"/>
    </w:pPr>
    <w:rPr>
      <w:sz w:val="22"/>
      <w:szCs w:val="22"/>
    </w:rPr>
  </w:style>
  <w:style w:type="paragraph" w:customStyle="1" w:styleId="Normlnywebov8">
    <w:name w:val="Normálny (webový)8"/>
    <w:basedOn w:val="Normlny"/>
    <w:rsid w:val="00FF0218"/>
    <w:pPr>
      <w:spacing w:before="84" w:after="84"/>
      <w:ind w:left="251" w:right="251"/>
    </w:pPr>
    <w:rPr>
      <w:rFonts w:ascii="Times New Roman" w:hAnsi="Times New Roman" w:cs="Times New Roman"/>
      <w:sz w:val="22"/>
      <w:szCs w:val="22"/>
    </w:rPr>
  </w:style>
  <w:style w:type="character" w:styleId="Siln">
    <w:name w:val="Strong"/>
    <w:uiPriority w:val="22"/>
    <w:qFormat/>
    <w:rsid w:val="00FF0218"/>
    <w:rPr>
      <w:b/>
      <w:bCs/>
    </w:rPr>
  </w:style>
  <w:style w:type="paragraph" w:styleId="Hlavika">
    <w:name w:val="header"/>
    <w:basedOn w:val="Normlny"/>
    <w:rsid w:val="004732CE"/>
    <w:pPr>
      <w:tabs>
        <w:tab w:val="center" w:pos="4536"/>
        <w:tab w:val="right" w:pos="9072"/>
      </w:tabs>
    </w:pPr>
  </w:style>
  <w:style w:type="paragraph" w:customStyle="1" w:styleId="Zkladntext0">
    <w:name w:val="Základní text"/>
    <w:uiPriority w:val="99"/>
    <w:rsid w:val="00E63204"/>
    <w:pPr>
      <w:widowControl w:val="0"/>
      <w:snapToGrid w:val="0"/>
    </w:pPr>
    <w:rPr>
      <w:color w:val="000000"/>
      <w:sz w:val="24"/>
    </w:rPr>
  </w:style>
  <w:style w:type="character" w:customStyle="1" w:styleId="ZarkazkladnhotextuChar">
    <w:name w:val="Zarážka základného textu Char"/>
    <w:link w:val="Zarkazkladnhotextu"/>
    <w:uiPriority w:val="99"/>
    <w:locked/>
    <w:rsid w:val="003A7AE4"/>
    <w:rPr>
      <w:sz w:val="24"/>
      <w:szCs w:val="24"/>
    </w:rPr>
  </w:style>
  <w:style w:type="paragraph" w:customStyle="1" w:styleId="Default">
    <w:name w:val="Default"/>
    <w:rsid w:val="00846A7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46A75"/>
    <w:rPr>
      <w:rFonts w:cs="Times New Roman"/>
      <w:color w:val="auto"/>
    </w:rPr>
  </w:style>
  <w:style w:type="paragraph" w:customStyle="1" w:styleId="CM3">
    <w:name w:val="CM3"/>
    <w:basedOn w:val="Default"/>
    <w:next w:val="Default"/>
    <w:uiPriority w:val="99"/>
    <w:rsid w:val="00846A75"/>
    <w:rPr>
      <w:rFonts w:cs="Times New Roman"/>
      <w:color w:val="auto"/>
    </w:rPr>
  </w:style>
  <w:style w:type="paragraph" w:customStyle="1" w:styleId="CM4">
    <w:name w:val="CM4"/>
    <w:basedOn w:val="Default"/>
    <w:next w:val="Default"/>
    <w:uiPriority w:val="99"/>
    <w:rsid w:val="00846A75"/>
    <w:rPr>
      <w:rFonts w:cs="Times New Roman"/>
      <w:color w:val="auto"/>
    </w:rPr>
  </w:style>
  <w:style w:type="character" w:customStyle="1" w:styleId="ZkladntextChar">
    <w:name w:val="Základný text Char"/>
    <w:link w:val="Zkladntext"/>
    <w:uiPriority w:val="99"/>
    <w:rsid w:val="006A4EF4"/>
    <w:rPr>
      <w:sz w:val="24"/>
      <w:szCs w:val="24"/>
      <w:lang w:eastAsia="cs-CZ"/>
    </w:rPr>
  </w:style>
  <w:style w:type="paragraph" w:styleId="Textbubliny">
    <w:name w:val="Balloon Text"/>
    <w:basedOn w:val="Normlny"/>
    <w:link w:val="TextbublinyChar"/>
    <w:uiPriority w:val="99"/>
    <w:semiHidden/>
    <w:unhideWhenUsed/>
    <w:rsid w:val="00DC0F7A"/>
    <w:rPr>
      <w:rFonts w:ascii="Tahoma" w:hAnsi="Tahoma" w:cs="Tahoma"/>
      <w:sz w:val="16"/>
      <w:szCs w:val="16"/>
    </w:rPr>
  </w:style>
  <w:style w:type="character" w:customStyle="1" w:styleId="TextbublinyChar">
    <w:name w:val="Text bubliny Char"/>
    <w:link w:val="Textbubliny"/>
    <w:uiPriority w:val="99"/>
    <w:semiHidden/>
    <w:rsid w:val="00DC0F7A"/>
    <w:rPr>
      <w:rFonts w:ascii="Tahoma" w:hAnsi="Tahoma" w:cs="Tahoma"/>
      <w:sz w:val="16"/>
      <w:szCs w:val="16"/>
    </w:rPr>
  </w:style>
  <w:style w:type="paragraph" w:styleId="Odsekzoznamu">
    <w:name w:val="List Paragraph"/>
    <w:basedOn w:val="Normlny"/>
    <w:uiPriority w:val="99"/>
    <w:qFormat/>
    <w:rsid w:val="00522DFA"/>
    <w:pPr>
      <w:widowControl w:val="0"/>
      <w:adjustRightInd w:val="0"/>
      <w:ind w:left="720"/>
      <w:contextualSpacing/>
    </w:pPr>
    <w:rPr>
      <w:rFonts w:ascii="Times New Roman" w:hAnsi="Times New Roman" w:cs="Times New Roman"/>
    </w:rPr>
  </w:style>
  <w:style w:type="paragraph" w:customStyle="1" w:styleId="Zkladntext1">
    <w:name w:val="Zkladn text"/>
    <w:rsid w:val="00F45BD2"/>
    <w:pPr>
      <w:widowControl w:val="0"/>
      <w:autoSpaceDE w:val="0"/>
      <w:autoSpaceDN w:val="0"/>
    </w:pPr>
    <w:rPr>
      <w:color w:val="000000"/>
    </w:rPr>
  </w:style>
  <w:style w:type="paragraph" w:styleId="Normlnywebov">
    <w:name w:val="Normal (Web)"/>
    <w:basedOn w:val="Normlny"/>
    <w:rsid w:val="00757F6F"/>
    <w:pPr>
      <w:spacing w:before="125" w:after="125"/>
      <w:ind w:left="563" w:right="438"/>
    </w:pPr>
    <w:rPr>
      <w:rFonts w:ascii="Times New Roman" w:hAnsi="Times New Roman" w:cs="Times New Roman"/>
      <w:sz w:val="19"/>
      <w:szCs w:val="19"/>
    </w:rPr>
  </w:style>
  <w:style w:type="paragraph" w:customStyle="1" w:styleId="hidden">
    <w:name w:val="hidden"/>
    <w:basedOn w:val="Normlny"/>
    <w:rsid w:val="008203E4"/>
    <w:pPr>
      <w:spacing w:after="150"/>
    </w:pPr>
    <w:rPr>
      <w:rFonts w:ascii="Times New Roman" w:hAnsi="Times New Roman" w:cs="Times New Roman"/>
      <w:vanish/>
    </w:rPr>
  </w:style>
  <w:style w:type="paragraph" w:customStyle="1" w:styleId="textundertitle">
    <w:name w:val="textundertitle"/>
    <w:basedOn w:val="Normlny"/>
    <w:rsid w:val="00925F9D"/>
    <w:pPr>
      <w:spacing w:after="30"/>
    </w:pPr>
    <w:rPr>
      <w:rFonts w:ascii="Times New Roman" w:hAnsi="Times New Roman" w:cs="Times New Roman"/>
    </w:rPr>
  </w:style>
  <w:style w:type="paragraph" w:customStyle="1" w:styleId="c08dispositif">
    <w:name w:val="c08dispositif"/>
    <w:basedOn w:val="Normlny"/>
    <w:rsid w:val="00E75E1C"/>
    <w:pPr>
      <w:spacing w:before="100" w:beforeAutospacing="1" w:after="240"/>
      <w:ind w:left="1134" w:hanging="567"/>
      <w:jc w:val="both"/>
    </w:pPr>
    <w:rPr>
      <w:rFonts w:ascii="Times New Roman" w:hAnsi="Times New Roman" w:cs="Times New Roman"/>
      <w:b/>
      <w:bCs/>
    </w:rPr>
  </w:style>
  <w:style w:type="character" w:customStyle="1" w:styleId="ovfl-xlt1">
    <w:name w:val="ovfl-xlt1"/>
    <w:basedOn w:val="Predvolenpsmoodseku"/>
    <w:rsid w:val="00D80A3F"/>
    <w:rPr>
      <w:rFonts w:ascii="Arial" w:hAnsi="Arial" w:cs="Arial" w:hint="default"/>
      <w:caps/>
      <w:color w:val="F4B400"/>
      <w:sz w:val="21"/>
      <w:szCs w:val="21"/>
    </w:rPr>
  </w:style>
  <w:style w:type="character" w:customStyle="1" w:styleId="snck-msg3">
    <w:name w:val="snck-msg3"/>
    <w:basedOn w:val="Predvolenpsmoodseku"/>
    <w:rsid w:val="00D80A3F"/>
    <w:rPr>
      <w:color w:val="FFFFFF"/>
    </w:rPr>
  </w:style>
  <w:style w:type="character" w:customStyle="1" w:styleId="cmty-btn1">
    <w:name w:val="cmty-btn1"/>
    <w:basedOn w:val="Predvolenpsmoodseku"/>
    <w:rsid w:val="00D80A3F"/>
    <w:rPr>
      <w:rFonts w:ascii="Arial" w:hAnsi="Arial" w:cs="Arial" w:hint="default"/>
      <w:caps/>
      <w:color w:val="F4B400"/>
      <w:sz w:val="21"/>
      <w:szCs w:val="21"/>
    </w:rPr>
  </w:style>
  <w:style w:type="character" w:customStyle="1" w:styleId="tlid-result-container-error-button">
    <w:name w:val="tlid-result-container-error-button"/>
    <w:basedOn w:val="Predvolenpsmoodseku"/>
    <w:rsid w:val="00D80A3F"/>
  </w:style>
  <w:style w:type="character" w:customStyle="1" w:styleId="empty-placeholder3">
    <w:name w:val="empty-placeholder3"/>
    <w:basedOn w:val="Predvolenpsmoodseku"/>
    <w:rsid w:val="00D80A3F"/>
  </w:style>
  <w:style w:type="character" w:customStyle="1" w:styleId="translating-placeholder">
    <w:name w:val="translating-placeholder"/>
    <w:basedOn w:val="Predvolenpsmoodseku"/>
    <w:rsid w:val="00D80A3F"/>
  </w:style>
  <w:style w:type="character" w:customStyle="1" w:styleId="tlid-translation">
    <w:name w:val="tlid-translation"/>
    <w:basedOn w:val="Predvolenpsmoodseku"/>
    <w:rsid w:val="00D80A3F"/>
  </w:style>
  <w:style w:type="character" w:customStyle="1" w:styleId="PtaChar">
    <w:name w:val="Päta Char"/>
    <w:basedOn w:val="Predvolenpsmoodseku"/>
    <w:link w:val="Pta"/>
    <w:uiPriority w:val="99"/>
    <w:rsid w:val="001B119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449">
      <w:bodyDiv w:val="1"/>
      <w:marLeft w:val="0"/>
      <w:marRight w:val="0"/>
      <w:marTop w:val="0"/>
      <w:marBottom w:val="0"/>
      <w:divBdr>
        <w:top w:val="none" w:sz="0" w:space="0" w:color="auto"/>
        <w:left w:val="none" w:sz="0" w:space="0" w:color="auto"/>
        <w:bottom w:val="none" w:sz="0" w:space="0" w:color="auto"/>
        <w:right w:val="none" w:sz="0" w:space="0" w:color="auto"/>
      </w:divBdr>
    </w:div>
    <w:div w:id="92938864">
      <w:bodyDiv w:val="1"/>
      <w:marLeft w:val="0"/>
      <w:marRight w:val="0"/>
      <w:marTop w:val="0"/>
      <w:marBottom w:val="0"/>
      <w:divBdr>
        <w:top w:val="none" w:sz="0" w:space="0" w:color="auto"/>
        <w:left w:val="none" w:sz="0" w:space="0" w:color="auto"/>
        <w:bottom w:val="none" w:sz="0" w:space="0" w:color="auto"/>
        <w:right w:val="none" w:sz="0" w:space="0" w:color="auto"/>
      </w:divBdr>
      <w:divsChild>
        <w:div w:id="4917216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1115874">
      <w:bodyDiv w:val="1"/>
      <w:marLeft w:val="390"/>
      <w:marRight w:val="390"/>
      <w:marTop w:val="0"/>
      <w:marBottom w:val="0"/>
      <w:divBdr>
        <w:top w:val="none" w:sz="0" w:space="0" w:color="auto"/>
        <w:left w:val="none" w:sz="0" w:space="0" w:color="auto"/>
        <w:bottom w:val="none" w:sz="0" w:space="0" w:color="auto"/>
        <w:right w:val="none" w:sz="0" w:space="0" w:color="auto"/>
      </w:divBdr>
      <w:divsChild>
        <w:div w:id="776605600">
          <w:marLeft w:val="0"/>
          <w:marRight w:val="0"/>
          <w:marTop w:val="0"/>
          <w:marBottom w:val="0"/>
          <w:divBdr>
            <w:top w:val="none" w:sz="0" w:space="0" w:color="auto"/>
            <w:left w:val="none" w:sz="0" w:space="0" w:color="auto"/>
            <w:bottom w:val="none" w:sz="0" w:space="0" w:color="auto"/>
            <w:right w:val="none" w:sz="0" w:space="0" w:color="auto"/>
          </w:divBdr>
          <w:divsChild>
            <w:div w:id="1290671493">
              <w:marLeft w:val="0"/>
              <w:marRight w:val="0"/>
              <w:marTop w:val="0"/>
              <w:marBottom w:val="0"/>
              <w:divBdr>
                <w:top w:val="none" w:sz="0" w:space="0" w:color="auto"/>
                <w:left w:val="none" w:sz="0" w:space="0" w:color="auto"/>
                <w:bottom w:val="none" w:sz="0" w:space="0" w:color="auto"/>
                <w:right w:val="none" w:sz="0" w:space="0" w:color="auto"/>
              </w:divBdr>
              <w:divsChild>
                <w:div w:id="1454253978">
                  <w:marLeft w:val="-150"/>
                  <w:marRight w:val="-150"/>
                  <w:marTop w:val="0"/>
                  <w:marBottom w:val="0"/>
                  <w:divBdr>
                    <w:top w:val="none" w:sz="0" w:space="0" w:color="auto"/>
                    <w:left w:val="none" w:sz="0" w:space="0" w:color="auto"/>
                    <w:bottom w:val="none" w:sz="0" w:space="0" w:color="auto"/>
                    <w:right w:val="none" w:sz="0" w:space="0" w:color="auto"/>
                  </w:divBdr>
                  <w:divsChild>
                    <w:div w:id="685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5771">
      <w:bodyDiv w:val="1"/>
      <w:marLeft w:val="0"/>
      <w:marRight w:val="0"/>
      <w:marTop w:val="0"/>
      <w:marBottom w:val="0"/>
      <w:divBdr>
        <w:top w:val="none" w:sz="0" w:space="0" w:color="auto"/>
        <w:left w:val="none" w:sz="0" w:space="0" w:color="auto"/>
        <w:bottom w:val="none" w:sz="0" w:space="0" w:color="auto"/>
        <w:right w:val="none" w:sz="0" w:space="0" w:color="auto"/>
      </w:divBdr>
      <w:divsChild>
        <w:div w:id="1132209862">
          <w:marLeft w:val="0"/>
          <w:marRight w:val="0"/>
          <w:marTop w:val="0"/>
          <w:marBottom w:val="0"/>
          <w:divBdr>
            <w:top w:val="none" w:sz="0" w:space="0" w:color="auto"/>
            <w:left w:val="none" w:sz="0" w:space="0" w:color="auto"/>
            <w:bottom w:val="none" w:sz="0" w:space="0" w:color="auto"/>
            <w:right w:val="none" w:sz="0" w:space="0" w:color="auto"/>
          </w:divBdr>
          <w:divsChild>
            <w:div w:id="594241421">
              <w:marLeft w:val="0"/>
              <w:marRight w:val="0"/>
              <w:marTop w:val="0"/>
              <w:marBottom w:val="0"/>
              <w:divBdr>
                <w:top w:val="none" w:sz="0" w:space="0" w:color="auto"/>
                <w:left w:val="none" w:sz="0" w:space="0" w:color="auto"/>
                <w:bottom w:val="none" w:sz="0" w:space="0" w:color="auto"/>
                <w:right w:val="none" w:sz="0" w:space="0" w:color="auto"/>
              </w:divBdr>
              <w:divsChild>
                <w:div w:id="310714501">
                  <w:marLeft w:val="0"/>
                  <w:marRight w:val="0"/>
                  <w:marTop w:val="0"/>
                  <w:marBottom w:val="0"/>
                  <w:divBdr>
                    <w:top w:val="none" w:sz="0" w:space="0" w:color="auto"/>
                    <w:left w:val="none" w:sz="0" w:space="0" w:color="auto"/>
                    <w:bottom w:val="none" w:sz="0" w:space="0" w:color="auto"/>
                    <w:right w:val="none" w:sz="0" w:space="0" w:color="auto"/>
                  </w:divBdr>
                  <w:divsChild>
                    <w:div w:id="875703429">
                      <w:marLeft w:val="-150"/>
                      <w:marRight w:val="-150"/>
                      <w:marTop w:val="0"/>
                      <w:marBottom w:val="0"/>
                      <w:divBdr>
                        <w:top w:val="none" w:sz="0" w:space="0" w:color="auto"/>
                        <w:left w:val="none" w:sz="0" w:space="0" w:color="auto"/>
                        <w:bottom w:val="none" w:sz="0" w:space="0" w:color="auto"/>
                        <w:right w:val="none" w:sz="0" w:space="0" w:color="auto"/>
                      </w:divBdr>
                      <w:divsChild>
                        <w:div w:id="485362607">
                          <w:marLeft w:val="0"/>
                          <w:marRight w:val="0"/>
                          <w:marTop w:val="0"/>
                          <w:marBottom w:val="0"/>
                          <w:divBdr>
                            <w:top w:val="none" w:sz="0" w:space="0" w:color="auto"/>
                            <w:left w:val="none" w:sz="0" w:space="0" w:color="auto"/>
                            <w:bottom w:val="none" w:sz="0" w:space="0" w:color="auto"/>
                            <w:right w:val="none" w:sz="0" w:space="0" w:color="auto"/>
                          </w:divBdr>
                          <w:divsChild>
                            <w:div w:id="1490487501">
                              <w:marLeft w:val="0"/>
                              <w:marRight w:val="0"/>
                              <w:marTop w:val="0"/>
                              <w:marBottom w:val="0"/>
                              <w:divBdr>
                                <w:top w:val="none" w:sz="0" w:space="0" w:color="auto"/>
                                <w:left w:val="none" w:sz="0" w:space="0" w:color="auto"/>
                                <w:bottom w:val="none" w:sz="0" w:space="0" w:color="auto"/>
                                <w:right w:val="none" w:sz="0" w:space="0" w:color="auto"/>
                              </w:divBdr>
                              <w:divsChild>
                                <w:div w:id="1890267268">
                                  <w:marLeft w:val="0"/>
                                  <w:marRight w:val="0"/>
                                  <w:marTop w:val="0"/>
                                  <w:marBottom w:val="300"/>
                                  <w:divBdr>
                                    <w:top w:val="none" w:sz="0" w:space="0" w:color="auto"/>
                                    <w:left w:val="none" w:sz="0" w:space="0" w:color="auto"/>
                                    <w:bottom w:val="none" w:sz="0" w:space="0" w:color="auto"/>
                                    <w:right w:val="none" w:sz="0" w:space="0" w:color="auto"/>
                                  </w:divBdr>
                                  <w:divsChild>
                                    <w:div w:id="1806972491">
                                      <w:marLeft w:val="0"/>
                                      <w:marRight w:val="0"/>
                                      <w:marTop w:val="0"/>
                                      <w:marBottom w:val="0"/>
                                      <w:divBdr>
                                        <w:top w:val="none" w:sz="0" w:space="0" w:color="auto"/>
                                        <w:left w:val="none" w:sz="0" w:space="0" w:color="auto"/>
                                        <w:bottom w:val="none" w:sz="0" w:space="0" w:color="auto"/>
                                        <w:right w:val="none" w:sz="0" w:space="0" w:color="auto"/>
                                      </w:divBdr>
                                      <w:divsChild>
                                        <w:div w:id="2058628812">
                                          <w:marLeft w:val="0"/>
                                          <w:marRight w:val="0"/>
                                          <w:marTop w:val="0"/>
                                          <w:marBottom w:val="0"/>
                                          <w:divBdr>
                                            <w:top w:val="none" w:sz="0" w:space="0" w:color="auto"/>
                                            <w:left w:val="none" w:sz="0" w:space="0" w:color="auto"/>
                                            <w:bottom w:val="none" w:sz="0" w:space="0" w:color="auto"/>
                                            <w:right w:val="none" w:sz="0" w:space="0" w:color="auto"/>
                                          </w:divBdr>
                                          <w:divsChild>
                                            <w:div w:id="14456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341604">
      <w:bodyDiv w:val="1"/>
      <w:marLeft w:val="0"/>
      <w:marRight w:val="0"/>
      <w:marTop w:val="0"/>
      <w:marBottom w:val="0"/>
      <w:divBdr>
        <w:top w:val="none" w:sz="0" w:space="0" w:color="auto"/>
        <w:left w:val="none" w:sz="0" w:space="0" w:color="auto"/>
        <w:bottom w:val="none" w:sz="0" w:space="0" w:color="auto"/>
        <w:right w:val="none" w:sz="0" w:space="0" w:color="auto"/>
      </w:divBdr>
    </w:div>
    <w:div w:id="478772548">
      <w:bodyDiv w:val="1"/>
      <w:marLeft w:val="0"/>
      <w:marRight w:val="0"/>
      <w:marTop w:val="0"/>
      <w:marBottom w:val="0"/>
      <w:divBdr>
        <w:top w:val="none" w:sz="0" w:space="0" w:color="auto"/>
        <w:left w:val="none" w:sz="0" w:space="0" w:color="auto"/>
        <w:bottom w:val="none" w:sz="0" w:space="0" w:color="auto"/>
        <w:right w:val="none" w:sz="0" w:space="0" w:color="auto"/>
      </w:divBdr>
    </w:div>
    <w:div w:id="577176811">
      <w:bodyDiv w:val="1"/>
      <w:marLeft w:val="0"/>
      <w:marRight w:val="0"/>
      <w:marTop w:val="0"/>
      <w:marBottom w:val="0"/>
      <w:divBdr>
        <w:top w:val="none" w:sz="0" w:space="0" w:color="auto"/>
        <w:left w:val="none" w:sz="0" w:space="0" w:color="auto"/>
        <w:bottom w:val="none" w:sz="0" w:space="0" w:color="auto"/>
        <w:right w:val="none" w:sz="0" w:space="0" w:color="auto"/>
      </w:divBdr>
      <w:divsChild>
        <w:div w:id="404962262">
          <w:marLeft w:val="0"/>
          <w:marRight w:val="0"/>
          <w:marTop w:val="0"/>
          <w:marBottom w:val="0"/>
          <w:divBdr>
            <w:top w:val="none" w:sz="0" w:space="0" w:color="auto"/>
            <w:left w:val="none" w:sz="0" w:space="0" w:color="auto"/>
            <w:bottom w:val="none" w:sz="0" w:space="0" w:color="auto"/>
            <w:right w:val="none" w:sz="0" w:space="0" w:color="auto"/>
          </w:divBdr>
          <w:divsChild>
            <w:div w:id="67464237">
              <w:marLeft w:val="0"/>
              <w:marRight w:val="0"/>
              <w:marTop w:val="0"/>
              <w:marBottom w:val="0"/>
              <w:divBdr>
                <w:top w:val="none" w:sz="0" w:space="0" w:color="auto"/>
                <w:left w:val="none" w:sz="0" w:space="0" w:color="auto"/>
                <w:bottom w:val="none" w:sz="0" w:space="0" w:color="auto"/>
                <w:right w:val="none" w:sz="0" w:space="0" w:color="auto"/>
              </w:divBdr>
              <w:divsChild>
                <w:div w:id="781340164">
                  <w:marLeft w:val="0"/>
                  <w:marRight w:val="0"/>
                  <w:marTop w:val="0"/>
                  <w:marBottom w:val="0"/>
                  <w:divBdr>
                    <w:top w:val="none" w:sz="0" w:space="0" w:color="auto"/>
                    <w:left w:val="none" w:sz="0" w:space="0" w:color="auto"/>
                    <w:bottom w:val="none" w:sz="0" w:space="0" w:color="auto"/>
                    <w:right w:val="none" w:sz="0" w:space="0" w:color="auto"/>
                  </w:divBdr>
                  <w:divsChild>
                    <w:div w:id="1439712175">
                      <w:marLeft w:val="0"/>
                      <w:marRight w:val="0"/>
                      <w:marTop w:val="0"/>
                      <w:marBottom w:val="0"/>
                      <w:divBdr>
                        <w:top w:val="none" w:sz="0" w:space="0" w:color="auto"/>
                        <w:left w:val="none" w:sz="0" w:space="0" w:color="auto"/>
                        <w:bottom w:val="none" w:sz="0" w:space="0" w:color="auto"/>
                        <w:right w:val="none" w:sz="0" w:space="0" w:color="auto"/>
                      </w:divBdr>
                      <w:divsChild>
                        <w:div w:id="1749961312">
                          <w:marLeft w:val="0"/>
                          <w:marRight w:val="0"/>
                          <w:marTop w:val="0"/>
                          <w:marBottom w:val="0"/>
                          <w:divBdr>
                            <w:top w:val="none" w:sz="0" w:space="0" w:color="auto"/>
                            <w:left w:val="none" w:sz="0" w:space="0" w:color="auto"/>
                            <w:bottom w:val="none" w:sz="0" w:space="0" w:color="auto"/>
                            <w:right w:val="none" w:sz="0" w:space="0" w:color="auto"/>
                          </w:divBdr>
                          <w:divsChild>
                            <w:div w:id="425418226">
                              <w:marLeft w:val="0"/>
                              <w:marRight w:val="0"/>
                              <w:marTop w:val="0"/>
                              <w:marBottom w:val="0"/>
                              <w:divBdr>
                                <w:top w:val="none" w:sz="0" w:space="0" w:color="auto"/>
                                <w:left w:val="none" w:sz="0" w:space="0" w:color="auto"/>
                                <w:bottom w:val="none" w:sz="0" w:space="0" w:color="auto"/>
                                <w:right w:val="none" w:sz="0" w:space="0" w:color="auto"/>
                              </w:divBdr>
                              <w:divsChild>
                                <w:div w:id="1289320446">
                                  <w:marLeft w:val="0"/>
                                  <w:marRight w:val="0"/>
                                  <w:marTop w:val="0"/>
                                  <w:marBottom w:val="0"/>
                                  <w:divBdr>
                                    <w:top w:val="none" w:sz="0" w:space="0" w:color="auto"/>
                                    <w:left w:val="none" w:sz="0" w:space="0" w:color="auto"/>
                                    <w:bottom w:val="none" w:sz="0" w:space="0" w:color="auto"/>
                                    <w:right w:val="none" w:sz="0" w:space="0" w:color="auto"/>
                                  </w:divBdr>
                                  <w:divsChild>
                                    <w:div w:id="96410838">
                                      <w:marLeft w:val="0"/>
                                      <w:marRight w:val="0"/>
                                      <w:marTop w:val="0"/>
                                      <w:marBottom w:val="0"/>
                                      <w:divBdr>
                                        <w:top w:val="none" w:sz="0" w:space="0" w:color="auto"/>
                                        <w:left w:val="none" w:sz="0" w:space="0" w:color="auto"/>
                                        <w:bottom w:val="none" w:sz="0" w:space="0" w:color="auto"/>
                                        <w:right w:val="none" w:sz="0" w:space="0" w:color="auto"/>
                                      </w:divBdr>
                                      <w:divsChild>
                                        <w:div w:id="1089153904">
                                          <w:marLeft w:val="0"/>
                                          <w:marRight w:val="0"/>
                                          <w:marTop w:val="0"/>
                                          <w:marBottom w:val="0"/>
                                          <w:divBdr>
                                            <w:top w:val="none" w:sz="0" w:space="0" w:color="auto"/>
                                            <w:left w:val="none" w:sz="0" w:space="0" w:color="auto"/>
                                            <w:bottom w:val="none" w:sz="0" w:space="0" w:color="auto"/>
                                            <w:right w:val="none" w:sz="0" w:space="0" w:color="auto"/>
                                          </w:divBdr>
                                          <w:divsChild>
                                            <w:div w:id="923607712">
                                              <w:marLeft w:val="0"/>
                                              <w:marRight w:val="0"/>
                                              <w:marTop w:val="0"/>
                                              <w:marBottom w:val="0"/>
                                              <w:divBdr>
                                                <w:top w:val="none" w:sz="0" w:space="0" w:color="auto"/>
                                                <w:left w:val="none" w:sz="0" w:space="0" w:color="auto"/>
                                                <w:bottom w:val="none" w:sz="0" w:space="0" w:color="auto"/>
                                                <w:right w:val="none" w:sz="0" w:space="0" w:color="auto"/>
                                              </w:divBdr>
                                              <w:divsChild>
                                                <w:div w:id="1757898204">
                                                  <w:marLeft w:val="0"/>
                                                  <w:marRight w:val="0"/>
                                                  <w:marTop w:val="0"/>
                                                  <w:marBottom w:val="0"/>
                                                  <w:divBdr>
                                                    <w:top w:val="none" w:sz="0" w:space="0" w:color="auto"/>
                                                    <w:left w:val="none" w:sz="0" w:space="0" w:color="auto"/>
                                                    <w:bottom w:val="none" w:sz="0" w:space="0" w:color="auto"/>
                                                    <w:right w:val="none" w:sz="0" w:space="0" w:color="auto"/>
                                                  </w:divBdr>
                                                </w:div>
                                                <w:div w:id="1317299502">
                                                  <w:marLeft w:val="0"/>
                                                  <w:marRight w:val="0"/>
                                                  <w:marTop w:val="0"/>
                                                  <w:marBottom w:val="0"/>
                                                  <w:divBdr>
                                                    <w:top w:val="none" w:sz="0" w:space="0" w:color="auto"/>
                                                    <w:left w:val="none" w:sz="0" w:space="0" w:color="auto"/>
                                                    <w:bottom w:val="none" w:sz="0" w:space="0" w:color="auto"/>
                                                    <w:right w:val="none" w:sz="0" w:space="0" w:color="auto"/>
                                                  </w:divBdr>
                                                </w:div>
                                              </w:divsChild>
                                            </w:div>
                                            <w:div w:id="1527864882">
                                              <w:marLeft w:val="0"/>
                                              <w:marRight w:val="0"/>
                                              <w:marTop w:val="0"/>
                                              <w:marBottom w:val="0"/>
                                              <w:divBdr>
                                                <w:top w:val="none" w:sz="0" w:space="0" w:color="auto"/>
                                                <w:left w:val="none" w:sz="0" w:space="0" w:color="auto"/>
                                                <w:bottom w:val="none" w:sz="0" w:space="0" w:color="auto"/>
                                                <w:right w:val="none" w:sz="0" w:space="0" w:color="auto"/>
                                              </w:divBdr>
                                              <w:divsChild>
                                                <w:div w:id="1422488423">
                                                  <w:marLeft w:val="0"/>
                                                  <w:marRight w:val="0"/>
                                                  <w:marTop w:val="0"/>
                                                  <w:marBottom w:val="0"/>
                                                  <w:divBdr>
                                                    <w:top w:val="none" w:sz="0" w:space="0" w:color="auto"/>
                                                    <w:left w:val="none" w:sz="0" w:space="0" w:color="auto"/>
                                                    <w:bottom w:val="none" w:sz="0" w:space="0" w:color="auto"/>
                                                    <w:right w:val="none" w:sz="0" w:space="0" w:color="auto"/>
                                                  </w:divBdr>
                                                  <w:divsChild>
                                                    <w:div w:id="1445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80179">
                                  <w:marLeft w:val="0"/>
                                  <w:marRight w:val="60"/>
                                  <w:marTop w:val="0"/>
                                  <w:marBottom w:val="0"/>
                                  <w:divBdr>
                                    <w:top w:val="none" w:sz="0" w:space="0" w:color="auto"/>
                                    <w:left w:val="none" w:sz="0" w:space="0" w:color="auto"/>
                                    <w:bottom w:val="none" w:sz="0" w:space="0" w:color="auto"/>
                                    <w:right w:val="none" w:sz="0" w:space="0" w:color="auto"/>
                                  </w:divBdr>
                                  <w:divsChild>
                                    <w:div w:id="2120221642">
                                      <w:marLeft w:val="0"/>
                                      <w:marRight w:val="0"/>
                                      <w:marTop w:val="0"/>
                                      <w:marBottom w:val="0"/>
                                      <w:divBdr>
                                        <w:top w:val="none" w:sz="0" w:space="0" w:color="auto"/>
                                        <w:left w:val="none" w:sz="0" w:space="0" w:color="auto"/>
                                        <w:bottom w:val="none" w:sz="0" w:space="0" w:color="auto"/>
                                        <w:right w:val="none" w:sz="0" w:space="0" w:color="auto"/>
                                      </w:divBdr>
                                    </w:div>
                                  </w:divsChild>
                                </w:div>
                                <w:div w:id="70123894">
                                  <w:marLeft w:val="0"/>
                                  <w:marRight w:val="60"/>
                                  <w:marTop w:val="0"/>
                                  <w:marBottom w:val="0"/>
                                  <w:divBdr>
                                    <w:top w:val="none" w:sz="0" w:space="0" w:color="auto"/>
                                    <w:left w:val="none" w:sz="0" w:space="0" w:color="auto"/>
                                    <w:bottom w:val="none" w:sz="0" w:space="0" w:color="auto"/>
                                    <w:right w:val="none" w:sz="0" w:space="0" w:color="auto"/>
                                  </w:divBdr>
                                  <w:divsChild>
                                    <w:div w:id="4489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5716">
                              <w:marLeft w:val="0"/>
                              <w:marRight w:val="0"/>
                              <w:marTop w:val="0"/>
                              <w:marBottom w:val="0"/>
                              <w:divBdr>
                                <w:top w:val="none" w:sz="0" w:space="0" w:color="auto"/>
                                <w:left w:val="none" w:sz="0" w:space="0" w:color="auto"/>
                                <w:bottom w:val="none" w:sz="0" w:space="0" w:color="auto"/>
                                <w:right w:val="none" w:sz="0" w:space="0" w:color="auto"/>
                              </w:divBdr>
                              <w:divsChild>
                                <w:div w:id="690492513">
                                  <w:marLeft w:val="0"/>
                                  <w:marRight w:val="0"/>
                                  <w:marTop w:val="0"/>
                                  <w:marBottom w:val="0"/>
                                  <w:divBdr>
                                    <w:top w:val="none" w:sz="0" w:space="0" w:color="auto"/>
                                    <w:left w:val="none" w:sz="0" w:space="0" w:color="auto"/>
                                    <w:bottom w:val="none" w:sz="0" w:space="0" w:color="auto"/>
                                    <w:right w:val="none" w:sz="0" w:space="0" w:color="auto"/>
                                  </w:divBdr>
                                </w:div>
                                <w:div w:id="1438334015">
                                  <w:marLeft w:val="0"/>
                                  <w:marRight w:val="0"/>
                                  <w:marTop w:val="0"/>
                                  <w:marBottom w:val="0"/>
                                  <w:divBdr>
                                    <w:top w:val="none" w:sz="0" w:space="0" w:color="auto"/>
                                    <w:left w:val="none" w:sz="0" w:space="0" w:color="auto"/>
                                    <w:bottom w:val="none" w:sz="0" w:space="0" w:color="auto"/>
                                    <w:right w:val="none" w:sz="0" w:space="0" w:color="auto"/>
                                  </w:divBdr>
                                </w:div>
                                <w:div w:id="1744831179">
                                  <w:marLeft w:val="0"/>
                                  <w:marRight w:val="0"/>
                                  <w:marTop w:val="0"/>
                                  <w:marBottom w:val="0"/>
                                  <w:divBdr>
                                    <w:top w:val="none" w:sz="0" w:space="0" w:color="auto"/>
                                    <w:left w:val="none" w:sz="0" w:space="0" w:color="auto"/>
                                    <w:bottom w:val="none" w:sz="0" w:space="0" w:color="auto"/>
                                    <w:right w:val="none" w:sz="0" w:space="0" w:color="auto"/>
                                  </w:divBdr>
                                  <w:divsChild>
                                    <w:div w:id="1089234880">
                                      <w:marLeft w:val="0"/>
                                      <w:marRight w:val="0"/>
                                      <w:marTop w:val="0"/>
                                      <w:marBottom w:val="0"/>
                                      <w:divBdr>
                                        <w:top w:val="none" w:sz="0" w:space="0" w:color="auto"/>
                                        <w:left w:val="none" w:sz="0" w:space="0" w:color="auto"/>
                                        <w:bottom w:val="none" w:sz="0" w:space="0" w:color="auto"/>
                                        <w:right w:val="none" w:sz="0" w:space="0" w:color="auto"/>
                                      </w:divBdr>
                                      <w:divsChild>
                                        <w:div w:id="444615927">
                                          <w:marLeft w:val="0"/>
                                          <w:marRight w:val="0"/>
                                          <w:marTop w:val="0"/>
                                          <w:marBottom w:val="495"/>
                                          <w:divBdr>
                                            <w:top w:val="none" w:sz="0" w:space="0" w:color="auto"/>
                                            <w:left w:val="none" w:sz="0" w:space="0" w:color="auto"/>
                                            <w:bottom w:val="none" w:sz="0" w:space="0" w:color="auto"/>
                                            <w:right w:val="none" w:sz="0" w:space="0" w:color="auto"/>
                                          </w:divBdr>
                                          <w:divsChild>
                                            <w:div w:id="1761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3464528">
      <w:bodyDiv w:val="1"/>
      <w:marLeft w:val="0"/>
      <w:marRight w:val="0"/>
      <w:marTop w:val="0"/>
      <w:marBottom w:val="0"/>
      <w:divBdr>
        <w:top w:val="none" w:sz="0" w:space="0" w:color="auto"/>
        <w:left w:val="none" w:sz="0" w:space="0" w:color="auto"/>
        <w:bottom w:val="none" w:sz="0" w:space="0" w:color="auto"/>
        <w:right w:val="none" w:sz="0" w:space="0" w:color="auto"/>
      </w:divBdr>
      <w:divsChild>
        <w:div w:id="157692602">
          <w:marLeft w:val="0"/>
          <w:marRight w:val="0"/>
          <w:marTop w:val="0"/>
          <w:marBottom w:val="0"/>
          <w:divBdr>
            <w:top w:val="none" w:sz="0" w:space="0" w:color="auto"/>
            <w:left w:val="none" w:sz="0" w:space="0" w:color="auto"/>
            <w:bottom w:val="none" w:sz="0" w:space="0" w:color="auto"/>
            <w:right w:val="none" w:sz="0" w:space="0" w:color="auto"/>
          </w:divBdr>
          <w:divsChild>
            <w:div w:id="685641976">
              <w:marLeft w:val="0"/>
              <w:marRight w:val="0"/>
              <w:marTop w:val="0"/>
              <w:marBottom w:val="0"/>
              <w:divBdr>
                <w:top w:val="none" w:sz="0" w:space="0" w:color="auto"/>
                <w:left w:val="none" w:sz="0" w:space="0" w:color="auto"/>
                <w:bottom w:val="none" w:sz="0" w:space="0" w:color="auto"/>
                <w:right w:val="none" w:sz="0" w:space="0" w:color="auto"/>
              </w:divBdr>
              <w:divsChild>
                <w:div w:id="1371951981">
                  <w:marLeft w:val="0"/>
                  <w:marRight w:val="0"/>
                  <w:marTop w:val="0"/>
                  <w:marBottom w:val="0"/>
                  <w:divBdr>
                    <w:top w:val="none" w:sz="0" w:space="0" w:color="auto"/>
                    <w:left w:val="none" w:sz="0" w:space="0" w:color="auto"/>
                    <w:bottom w:val="none" w:sz="0" w:space="0" w:color="auto"/>
                    <w:right w:val="none" w:sz="0" w:space="0" w:color="auto"/>
                  </w:divBdr>
                  <w:divsChild>
                    <w:div w:id="76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4461">
      <w:bodyDiv w:val="1"/>
      <w:marLeft w:val="0"/>
      <w:marRight w:val="0"/>
      <w:marTop w:val="0"/>
      <w:marBottom w:val="0"/>
      <w:divBdr>
        <w:top w:val="none" w:sz="0" w:space="0" w:color="auto"/>
        <w:left w:val="none" w:sz="0" w:space="0" w:color="auto"/>
        <w:bottom w:val="none" w:sz="0" w:space="0" w:color="auto"/>
        <w:right w:val="none" w:sz="0" w:space="0" w:color="auto"/>
      </w:divBdr>
    </w:div>
    <w:div w:id="777874559">
      <w:bodyDiv w:val="1"/>
      <w:marLeft w:val="0"/>
      <w:marRight w:val="0"/>
      <w:marTop w:val="0"/>
      <w:marBottom w:val="0"/>
      <w:divBdr>
        <w:top w:val="none" w:sz="0" w:space="0" w:color="auto"/>
        <w:left w:val="none" w:sz="0" w:space="0" w:color="auto"/>
        <w:bottom w:val="none" w:sz="0" w:space="0" w:color="auto"/>
        <w:right w:val="none" w:sz="0" w:space="0" w:color="auto"/>
      </w:divBdr>
      <w:divsChild>
        <w:div w:id="1370255846">
          <w:marLeft w:val="0"/>
          <w:marRight w:val="0"/>
          <w:marTop w:val="0"/>
          <w:marBottom w:val="0"/>
          <w:divBdr>
            <w:top w:val="none" w:sz="0" w:space="0" w:color="auto"/>
            <w:left w:val="none" w:sz="0" w:space="0" w:color="auto"/>
            <w:bottom w:val="none" w:sz="0" w:space="0" w:color="auto"/>
            <w:right w:val="none" w:sz="0" w:space="0" w:color="auto"/>
          </w:divBdr>
          <w:divsChild>
            <w:div w:id="203102602">
              <w:marLeft w:val="0"/>
              <w:marRight w:val="0"/>
              <w:marTop w:val="0"/>
              <w:marBottom w:val="0"/>
              <w:divBdr>
                <w:top w:val="none" w:sz="0" w:space="0" w:color="auto"/>
                <w:left w:val="none" w:sz="0" w:space="0" w:color="auto"/>
                <w:bottom w:val="none" w:sz="0" w:space="0" w:color="auto"/>
                <w:right w:val="none" w:sz="0" w:space="0" w:color="auto"/>
              </w:divBdr>
              <w:divsChild>
                <w:div w:id="899948263">
                  <w:marLeft w:val="0"/>
                  <w:marRight w:val="0"/>
                  <w:marTop w:val="0"/>
                  <w:marBottom w:val="0"/>
                  <w:divBdr>
                    <w:top w:val="none" w:sz="0" w:space="0" w:color="auto"/>
                    <w:left w:val="none" w:sz="0" w:space="0" w:color="auto"/>
                    <w:bottom w:val="none" w:sz="0" w:space="0" w:color="auto"/>
                    <w:right w:val="none" w:sz="0" w:space="0" w:color="auto"/>
                  </w:divBdr>
                  <w:divsChild>
                    <w:div w:id="12404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84555">
      <w:bodyDiv w:val="1"/>
      <w:marLeft w:val="0"/>
      <w:marRight w:val="0"/>
      <w:marTop w:val="0"/>
      <w:marBottom w:val="0"/>
      <w:divBdr>
        <w:top w:val="none" w:sz="0" w:space="0" w:color="auto"/>
        <w:left w:val="none" w:sz="0" w:space="0" w:color="auto"/>
        <w:bottom w:val="none" w:sz="0" w:space="0" w:color="auto"/>
        <w:right w:val="none" w:sz="0" w:space="0" w:color="auto"/>
      </w:divBdr>
      <w:divsChild>
        <w:div w:id="1230455037">
          <w:marLeft w:val="0"/>
          <w:marRight w:val="0"/>
          <w:marTop w:val="0"/>
          <w:marBottom w:val="0"/>
          <w:divBdr>
            <w:top w:val="none" w:sz="0" w:space="0" w:color="auto"/>
            <w:left w:val="none" w:sz="0" w:space="0" w:color="auto"/>
            <w:bottom w:val="none" w:sz="0" w:space="0" w:color="auto"/>
            <w:right w:val="none" w:sz="0" w:space="0" w:color="auto"/>
          </w:divBdr>
          <w:divsChild>
            <w:div w:id="1963611724">
              <w:marLeft w:val="0"/>
              <w:marRight w:val="0"/>
              <w:marTop w:val="0"/>
              <w:marBottom w:val="0"/>
              <w:divBdr>
                <w:top w:val="none" w:sz="0" w:space="0" w:color="auto"/>
                <w:left w:val="none" w:sz="0" w:space="0" w:color="auto"/>
                <w:bottom w:val="none" w:sz="0" w:space="0" w:color="auto"/>
                <w:right w:val="none" w:sz="0" w:space="0" w:color="auto"/>
              </w:divBdr>
              <w:divsChild>
                <w:div w:id="2001887565">
                  <w:marLeft w:val="0"/>
                  <w:marRight w:val="0"/>
                  <w:marTop w:val="0"/>
                  <w:marBottom w:val="0"/>
                  <w:divBdr>
                    <w:top w:val="none" w:sz="0" w:space="0" w:color="auto"/>
                    <w:left w:val="none" w:sz="0" w:space="0" w:color="auto"/>
                    <w:bottom w:val="none" w:sz="0" w:space="0" w:color="auto"/>
                    <w:right w:val="none" w:sz="0" w:space="0" w:color="auto"/>
                  </w:divBdr>
                  <w:divsChild>
                    <w:div w:id="1358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9070">
      <w:bodyDiv w:val="1"/>
      <w:marLeft w:val="0"/>
      <w:marRight w:val="0"/>
      <w:marTop w:val="0"/>
      <w:marBottom w:val="0"/>
      <w:divBdr>
        <w:top w:val="none" w:sz="0" w:space="0" w:color="auto"/>
        <w:left w:val="none" w:sz="0" w:space="0" w:color="auto"/>
        <w:bottom w:val="none" w:sz="0" w:space="0" w:color="auto"/>
        <w:right w:val="none" w:sz="0" w:space="0" w:color="auto"/>
      </w:divBdr>
    </w:div>
    <w:div w:id="1410881718">
      <w:bodyDiv w:val="1"/>
      <w:marLeft w:val="0"/>
      <w:marRight w:val="0"/>
      <w:marTop w:val="0"/>
      <w:marBottom w:val="0"/>
      <w:divBdr>
        <w:top w:val="none" w:sz="0" w:space="0" w:color="auto"/>
        <w:left w:val="none" w:sz="0" w:space="0" w:color="auto"/>
        <w:bottom w:val="none" w:sz="0" w:space="0" w:color="auto"/>
        <w:right w:val="none" w:sz="0" w:space="0" w:color="auto"/>
      </w:divBdr>
      <w:divsChild>
        <w:div w:id="1039553000">
          <w:marLeft w:val="0"/>
          <w:marRight w:val="0"/>
          <w:marTop w:val="0"/>
          <w:marBottom w:val="0"/>
          <w:divBdr>
            <w:top w:val="none" w:sz="0" w:space="0" w:color="auto"/>
            <w:left w:val="none" w:sz="0" w:space="0" w:color="auto"/>
            <w:bottom w:val="none" w:sz="0" w:space="0" w:color="auto"/>
            <w:right w:val="none" w:sz="0" w:space="0" w:color="auto"/>
          </w:divBdr>
          <w:divsChild>
            <w:div w:id="1711998988">
              <w:marLeft w:val="0"/>
              <w:marRight w:val="0"/>
              <w:marTop w:val="0"/>
              <w:marBottom w:val="0"/>
              <w:divBdr>
                <w:top w:val="none" w:sz="0" w:space="0" w:color="auto"/>
                <w:left w:val="none" w:sz="0" w:space="0" w:color="auto"/>
                <w:bottom w:val="none" w:sz="0" w:space="0" w:color="auto"/>
                <w:right w:val="none" w:sz="0" w:space="0" w:color="auto"/>
              </w:divBdr>
              <w:divsChild>
                <w:div w:id="1559823032">
                  <w:marLeft w:val="0"/>
                  <w:marRight w:val="0"/>
                  <w:marTop w:val="0"/>
                  <w:marBottom w:val="0"/>
                  <w:divBdr>
                    <w:top w:val="none" w:sz="0" w:space="0" w:color="auto"/>
                    <w:left w:val="none" w:sz="0" w:space="0" w:color="auto"/>
                    <w:bottom w:val="none" w:sz="0" w:space="0" w:color="auto"/>
                    <w:right w:val="none" w:sz="0" w:space="0" w:color="auto"/>
                  </w:divBdr>
                  <w:divsChild>
                    <w:div w:id="1647738254">
                      <w:marLeft w:val="-150"/>
                      <w:marRight w:val="-150"/>
                      <w:marTop w:val="0"/>
                      <w:marBottom w:val="0"/>
                      <w:divBdr>
                        <w:top w:val="none" w:sz="0" w:space="0" w:color="auto"/>
                        <w:left w:val="none" w:sz="0" w:space="0" w:color="auto"/>
                        <w:bottom w:val="none" w:sz="0" w:space="0" w:color="auto"/>
                        <w:right w:val="none" w:sz="0" w:space="0" w:color="auto"/>
                      </w:divBdr>
                      <w:divsChild>
                        <w:div w:id="1694839183">
                          <w:marLeft w:val="0"/>
                          <w:marRight w:val="0"/>
                          <w:marTop w:val="0"/>
                          <w:marBottom w:val="0"/>
                          <w:divBdr>
                            <w:top w:val="none" w:sz="0" w:space="0" w:color="auto"/>
                            <w:left w:val="none" w:sz="0" w:space="0" w:color="auto"/>
                            <w:bottom w:val="none" w:sz="0" w:space="0" w:color="auto"/>
                            <w:right w:val="none" w:sz="0" w:space="0" w:color="auto"/>
                          </w:divBdr>
                          <w:divsChild>
                            <w:div w:id="1767965152">
                              <w:marLeft w:val="0"/>
                              <w:marRight w:val="0"/>
                              <w:marTop w:val="0"/>
                              <w:marBottom w:val="0"/>
                              <w:divBdr>
                                <w:top w:val="none" w:sz="0" w:space="0" w:color="auto"/>
                                <w:left w:val="none" w:sz="0" w:space="0" w:color="auto"/>
                                <w:bottom w:val="none" w:sz="0" w:space="0" w:color="auto"/>
                                <w:right w:val="none" w:sz="0" w:space="0" w:color="auto"/>
                              </w:divBdr>
                              <w:divsChild>
                                <w:div w:id="329218439">
                                  <w:marLeft w:val="0"/>
                                  <w:marRight w:val="0"/>
                                  <w:marTop w:val="300"/>
                                  <w:marBottom w:val="0"/>
                                  <w:divBdr>
                                    <w:top w:val="single" w:sz="6" w:space="8" w:color="CAD7DC"/>
                                    <w:left w:val="single" w:sz="6" w:space="23" w:color="CAD7DC"/>
                                    <w:bottom w:val="single" w:sz="6" w:space="8" w:color="CAD7DC"/>
                                    <w:right w:val="single" w:sz="6" w:space="8" w:color="CAD7DC"/>
                                  </w:divBdr>
                                </w:div>
                              </w:divsChild>
                            </w:div>
                          </w:divsChild>
                        </w:div>
                      </w:divsChild>
                    </w:div>
                  </w:divsChild>
                </w:div>
              </w:divsChild>
            </w:div>
          </w:divsChild>
        </w:div>
      </w:divsChild>
    </w:div>
    <w:div w:id="1905485822">
      <w:bodyDiv w:val="1"/>
      <w:marLeft w:val="0"/>
      <w:marRight w:val="0"/>
      <w:marTop w:val="0"/>
      <w:marBottom w:val="0"/>
      <w:divBdr>
        <w:top w:val="none" w:sz="0" w:space="0" w:color="auto"/>
        <w:left w:val="none" w:sz="0" w:space="0" w:color="auto"/>
        <w:bottom w:val="none" w:sz="0" w:space="0" w:color="auto"/>
        <w:right w:val="none" w:sz="0" w:space="0" w:color="auto"/>
      </w:divBdr>
      <w:divsChild>
        <w:div w:id="844051793">
          <w:marLeft w:val="0"/>
          <w:marRight w:val="0"/>
          <w:marTop w:val="0"/>
          <w:marBottom w:val="0"/>
          <w:divBdr>
            <w:top w:val="none" w:sz="0" w:space="0" w:color="auto"/>
            <w:left w:val="none" w:sz="0" w:space="0" w:color="auto"/>
            <w:bottom w:val="none" w:sz="0" w:space="0" w:color="auto"/>
            <w:right w:val="none" w:sz="0" w:space="0" w:color="auto"/>
          </w:divBdr>
          <w:divsChild>
            <w:div w:id="735129101">
              <w:marLeft w:val="0"/>
              <w:marRight w:val="0"/>
              <w:marTop w:val="0"/>
              <w:marBottom w:val="0"/>
              <w:divBdr>
                <w:top w:val="none" w:sz="0" w:space="0" w:color="auto"/>
                <w:left w:val="none" w:sz="0" w:space="0" w:color="auto"/>
                <w:bottom w:val="none" w:sz="0" w:space="0" w:color="auto"/>
                <w:right w:val="none" w:sz="0" w:space="0" w:color="auto"/>
              </w:divBdr>
              <w:divsChild>
                <w:div w:id="351152152">
                  <w:marLeft w:val="0"/>
                  <w:marRight w:val="0"/>
                  <w:marTop w:val="0"/>
                  <w:marBottom w:val="0"/>
                  <w:divBdr>
                    <w:top w:val="none" w:sz="0" w:space="0" w:color="auto"/>
                    <w:left w:val="none" w:sz="0" w:space="0" w:color="auto"/>
                    <w:bottom w:val="none" w:sz="0" w:space="0" w:color="auto"/>
                    <w:right w:val="none" w:sz="0" w:space="0" w:color="auto"/>
                  </w:divBdr>
                  <w:divsChild>
                    <w:div w:id="694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9193">
      <w:bodyDiv w:val="1"/>
      <w:marLeft w:val="0"/>
      <w:marRight w:val="0"/>
      <w:marTop w:val="0"/>
      <w:marBottom w:val="0"/>
      <w:divBdr>
        <w:top w:val="none" w:sz="0" w:space="0" w:color="auto"/>
        <w:left w:val="none" w:sz="0" w:space="0" w:color="auto"/>
        <w:bottom w:val="none" w:sz="0" w:space="0" w:color="auto"/>
        <w:right w:val="none" w:sz="0" w:space="0" w:color="auto"/>
      </w:divBdr>
    </w:div>
    <w:div w:id="1999504138">
      <w:bodyDiv w:val="1"/>
      <w:marLeft w:val="0"/>
      <w:marRight w:val="0"/>
      <w:marTop w:val="0"/>
      <w:marBottom w:val="0"/>
      <w:divBdr>
        <w:top w:val="none" w:sz="0" w:space="0" w:color="auto"/>
        <w:left w:val="none" w:sz="0" w:space="0" w:color="auto"/>
        <w:bottom w:val="none" w:sz="0" w:space="0" w:color="auto"/>
        <w:right w:val="none" w:sz="0" w:space="0" w:color="auto"/>
      </w:divBdr>
    </w:div>
    <w:div w:id="2016377492">
      <w:bodyDiv w:val="1"/>
      <w:marLeft w:val="0"/>
      <w:marRight w:val="0"/>
      <w:marTop w:val="0"/>
      <w:marBottom w:val="0"/>
      <w:divBdr>
        <w:top w:val="none" w:sz="0" w:space="0" w:color="auto"/>
        <w:left w:val="none" w:sz="0" w:space="0" w:color="auto"/>
        <w:bottom w:val="none" w:sz="0" w:space="0" w:color="auto"/>
        <w:right w:val="none" w:sz="0" w:space="0" w:color="auto"/>
      </w:divBdr>
    </w:div>
    <w:div w:id="2127889237">
      <w:bodyDiv w:val="1"/>
      <w:marLeft w:val="0"/>
      <w:marRight w:val="0"/>
      <w:marTop w:val="0"/>
      <w:marBottom w:val="0"/>
      <w:divBdr>
        <w:top w:val="none" w:sz="0" w:space="0" w:color="auto"/>
        <w:left w:val="none" w:sz="0" w:space="0" w:color="auto"/>
        <w:bottom w:val="none" w:sz="0" w:space="0" w:color="auto"/>
        <w:right w:val="none" w:sz="0" w:space="0" w:color="auto"/>
      </w:divBdr>
      <w:divsChild>
        <w:div w:id="1789738408">
          <w:marLeft w:val="0"/>
          <w:marRight w:val="0"/>
          <w:marTop w:val="0"/>
          <w:marBottom w:val="0"/>
          <w:divBdr>
            <w:top w:val="none" w:sz="0" w:space="0" w:color="auto"/>
            <w:left w:val="none" w:sz="0" w:space="0" w:color="auto"/>
            <w:bottom w:val="none" w:sz="0" w:space="0" w:color="auto"/>
            <w:right w:val="none" w:sz="0" w:space="0" w:color="auto"/>
          </w:divBdr>
          <w:divsChild>
            <w:div w:id="495653065">
              <w:marLeft w:val="0"/>
              <w:marRight w:val="0"/>
              <w:marTop w:val="0"/>
              <w:marBottom w:val="0"/>
              <w:divBdr>
                <w:top w:val="none" w:sz="0" w:space="0" w:color="auto"/>
                <w:left w:val="none" w:sz="0" w:space="0" w:color="auto"/>
                <w:bottom w:val="none" w:sz="0" w:space="0" w:color="auto"/>
                <w:right w:val="none" w:sz="0" w:space="0" w:color="auto"/>
              </w:divBdr>
              <w:divsChild>
                <w:div w:id="72821263">
                  <w:marLeft w:val="0"/>
                  <w:marRight w:val="0"/>
                  <w:marTop w:val="0"/>
                  <w:marBottom w:val="0"/>
                  <w:divBdr>
                    <w:top w:val="none" w:sz="0" w:space="0" w:color="auto"/>
                    <w:left w:val="none" w:sz="0" w:space="0" w:color="auto"/>
                    <w:bottom w:val="none" w:sz="0" w:space="0" w:color="auto"/>
                    <w:right w:val="none" w:sz="0" w:space="0" w:color="auto"/>
                  </w:divBdr>
                  <w:divsChild>
                    <w:div w:id="16289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7_doložka-zlučiteľnosti"/>
    <f:field ref="objsubject" par="" edit="true" text=""/>
    <f:field ref="objcreatedby" par="" text="Mikloš, Miloš, JUDr."/>
    <f:field ref="objcreatedat" par="" text="12.6.2020 14:55:10"/>
    <f:field ref="objchangedby" par="" text="Administrator, System"/>
    <f:field ref="objmodifiedat" par="" text="12.6.2020 14:55:1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BCDC68-F07D-4BF5-BBF4-195EB71C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1633</Words>
  <Characters>9311</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DOLOŽKA ZLUČITEĽNOSTI</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subject/>
  <dc:creator>Zamecnikova Petra</dc:creator>
  <cp:keywords/>
  <cp:lastModifiedBy>Jablonkova Zdenka</cp:lastModifiedBy>
  <cp:revision>4</cp:revision>
  <cp:lastPrinted>2018-05-23T07:21:00Z</cp:lastPrinted>
  <dcterms:created xsi:type="dcterms:W3CDTF">2020-07-31T11:53:00Z</dcterms:created>
  <dcterms:modified xsi:type="dcterms:W3CDTF">2020-08-07T07:11:00Z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Daň z pridanej hodnoty</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Miloš Mikloš</vt:lpwstr>
  </property>
  <property fmtid="{D5CDD505-2E9C-101B-9397-08002B2CF9AE}" pid="12" name="FSC#SKEDITIONSLOVLEX@103.510:zodppredkladatel">
    <vt:lpwstr>Ing. Eduard Heger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222/2004 Z. z. o dani z pridanej hodnoty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Transpozícia právnych predpisov Európskej únie_x000d_
</vt:lpwstr>
  </property>
  <property fmtid="{D5CDD505-2E9C-101B-9397-08002B2CF9AE}" pid="23" name="FSC#SKEDITIONSLOVLEX@103.510:plnynazovpredpis">
    <vt:lpwstr> Zákon, ktorým sa mení a dopĺňa zákon č. 222/2004 Z. z. o dani z pridanej hodnoty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MF/009257/2020-731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LP/2020/201</vt:lpwstr>
  </property>
  <property fmtid="{D5CDD505-2E9C-101B-9397-08002B2CF9AE}" pid="37" name="FSC#SKEDITIONSLOVLEX@103.510:typsprievdok">
    <vt:lpwstr>Doložka zlučiteľnosti</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financií</vt:lpwstr>
  </property>
  <property fmtid="{D5CDD505-2E9C-101B-9397-08002B2CF9AE}" pid="142" name="FSC#SKEDITIONSLOVLEX@103.510:funkciaZodpPredAkuzativ">
    <vt:lpwstr>ministra financií Slovenskej republiky</vt:lpwstr>
  </property>
  <property fmtid="{D5CDD505-2E9C-101B-9397-08002B2CF9AE}" pid="143" name="FSC#SKEDITIONSLOVLEX@103.510:funkciaZodpPredDativ">
    <vt:lpwstr>ministrovi financií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Eduard Heger_x000d_
minister financií</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12. 6. 2020</vt:lpwstr>
  </property>
  <property fmtid="{D5CDD505-2E9C-101B-9397-08002B2CF9AE}" pid="151" name="FSC#COOSYSTEM@1.1:Container">
    <vt:lpwstr>COO.2145.1000.3.3895963</vt:lpwstr>
  </property>
  <property fmtid="{D5CDD505-2E9C-101B-9397-08002B2CF9AE}" pid="152" name="FSC#FSCFOLIO@1.1001:docpropproject">
    <vt:lpwstr/>
  </property>
</Properties>
</file>