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29" w:rsidRPr="0067300D" w:rsidRDefault="00734F29" w:rsidP="00734F29">
      <w:pPr>
        <w:jc w:val="center"/>
        <w:rPr>
          <w:b/>
          <w:bCs/>
          <w:sz w:val="24"/>
          <w:szCs w:val="24"/>
        </w:rPr>
      </w:pPr>
      <w:r w:rsidRPr="0067300D">
        <w:rPr>
          <w:b/>
          <w:bCs/>
          <w:sz w:val="24"/>
          <w:szCs w:val="24"/>
        </w:rPr>
        <w:t>Analýza vplyvov na rozpočet verejnej správy,</w:t>
      </w:r>
    </w:p>
    <w:p w:rsidR="00734F29" w:rsidRDefault="00734F29" w:rsidP="00B96EF0">
      <w:pPr>
        <w:jc w:val="center"/>
        <w:rPr>
          <w:b/>
          <w:bCs/>
          <w:sz w:val="24"/>
          <w:szCs w:val="24"/>
        </w:rPr>
      </w:pPr>
      <w:r w:rsidRPr="0067300D">
        <w:rPr>
          <w:b/>
          <w:bCs/>
          <w:sz w:val="24"/>
          <w:szCs w:val="24"/>
        </w:rPr>
        <w:t>na zamestnanosť vo verejnej správe a financovanie návrhu</w:t>
      </w:r>
    </w:p>
    <w:p w:rsidR="00B96EF0" w:rsidRPr="00B96EF0" w:rsidRDefault="00B96EF0" w:rsidP="00B96EF0">
      <w:pPr>
        <w:jc w:val="center"/>
        <w:rPr>
          <w:b/>
          <w:bCs/>
          <w:sz w:val="24"/>
          <w:szCs w:val="24"/>
        </w:rPr>
      </w:pPr>
    </w:p>
    <w:p w:rsidR="00734F29" w:rsidRPr="0067300D" w:rsidRDefault="00734F29" w:rsidP="00734F29">
      <w:pPr>
        <w:rPr>
          <w:b/>
          <w:bCs/>
          <w:sz w:val="24"/>
          <w:szCs w:val="24"/>
        </w:rPr>
      </w:pPr>
      <w:r w:rsidRPr="0067300D">
        <w:rPr>
          <w:b/>
          <w:bCs/>
          <w:sz w:val="24"/>
          <w:szCs w:val="24"/>
        </w:rPr>
        <w:t>2.1</w:t>
      </w:r>
      <w:r w:rsidR="00FF1992">
        <w:rPr>
          <w:b/>
          <w:bCs/>
          <w:sz w:val="24"/>
          <w:szCs w:val="24"/>
        </w:rPr>
        <w:t>.</w:t>
      </w:r>
      <w:r w:rsidRPr="0067300D">
        <w:rPr>
          <w:b/>
          <w:bCs/>
          <w:sz w:val="24"/>
          <w:szCs w:val="24"/>
        </w:rPr>
        <w:t xml:space="preserve"> Zhrnutie vplyvov na rozpočet verejnej správy v návrhu</w:t>
      </w:r>
    </w:p>
    <w:p w:rsidR="00734F29" w:rsidRPr="0067300D" w:rsidRDefault="00734F29" w:rsidP="00734F29">
      <w:pPr>
        <w:tabs>
          <w:tab w:val="right" w:pos="9072"/>
        </w:tabs>
        <w:rPr>
          <w:sz w:val="24"/>
          <w:szCs w:val="24"/>
        </w:rPr>
      </w:pPr>
      <w:r w:rsidRPr="0067300D">
        <w:rPr>
          <w:sz w:val="24"/>
          <w:szCs w:val="24"/>
        </w:rPr>
        <w:tab/>
        <w:t xml:space="preserve">Tabuľka č. 1 </w:t>
      </w:r>
    </w:p>
    <w:tbl>
      <w:tblPr>
        <w:tblW w:w="97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276"/>
        <w:gridCol w:w="1417"/>
        <w:gridCol w:w="1418"/>
        <w:gridCol w:w="1416"/>
      </w:tblGrid>
      <w:tr w:rsidR="00734F29" w:rsidRPr="0067300D" w:rsidTr="00B96EF0">
        <w:trPr>
          <w:cantSplit/>
          <w:trHeight w:val="194"/>
          <w:jc w:val="right"/>
        </w:trPr>
        <w:tc>
          <w:tcPr>
            <w:tcW w:w="4248" w:type="dxa"/>
            <w:vMerge w:val="restart"/>
            <w:shd w:val="clear" w:color="auto" w:fill="BFBFBF" w:themeFill="background1" w:themeFillShade="BF"/>
            <w:vAlign w:val="center"/>
          </w:tcPr>
          <w:p w:rsidR="00734F29" w:rsidRPr="0067300D" w:rsidRDefault="00734F29" w:rsidP="003511C2">
            <w:pPr>
              <w:jc w:val="center"/>
              <w:rPr>
                <w:b/>
                <w:bCs/>
                <w:sz w:val="24"/>
                <w:szCs w:val="24"/>
              </w:rPr>
            </w:pPr>
            <w:bookmarkStart w:id="0" w:name="OLE_LINK1"/>
            <w:r w:rsidRPr="0067300D">
              <w:rPr>
                <w:b/>
                <w:bCs/>
                <w:sz w:val="24"/>
                <w:szCs w:val="24"/>
              </w:rPr>
              <w:t>Vplyvy na rozpočet verejnej správy</w:t>
            </w:r>
          </w:p>
        </w:tc>
        <w:tc>
          <w:tcPr>
            <w:tcW w:w="5527" w:type="dxa"/>
            <w:gridSpan w:val="4"/>
            <w:shd w:val="clear" w:color="auto" w:fill="BFBFBF" w:themeFill="background1" w:themeFillShade="BF"/>
            <w:vAlign w:val="center"/>
          </w:tcPr>
          <w:p w:rsidR="00734F29" w:rsidRPr="0067300D" w:rsidRDefault="00734F29" w:rsidP="003511C2">
            <w:pPr>
              <w:jc w:val="center"/>
              <w:rPr>
                <w:b/>
                <w:bCs/>
                <w:sz w:val="24"/>
                <w:szCs w:val="24"/>
              </w:rPr>
            </w:pPr>
            <w:r w:rsidRPr="0067300D">
              <w:rPr>
                <w:b/>
                <w:bCs/>
                <w:sz w:val="24"/>
                <w:szCs w:val="24"/>
              </w:rPr>
              <w:t>Vplyv na rozpočet verejnej správy (v eurách)</w:t>
            </w:r>
          </w:p>
        </w:tc>
      </w:tr>
      <w:tr w:rsidR="00734F29" w:rsidRPr="0067300D" w:rsidTr="00B96EF0">
        <w:trPr>
          <w:cantSplit/>
          <w:trHeight w:val="70"/>
          <w:jc w:val="right"/>
        </w:trPr>
        <w:tc>
          <w:tcPr>
            <w:tcW w:w="4248" w:type="dxa"/>
            <w:vMerge/>
            <w:shd w:val="clear" w:color="auto" w:fill="BFBFBF" w:themeFill="background1" w:themeFillShade="BF"/>
            <w:vAlign w:val="center"/>
          </w:tcPr>
          <w:p w:rsidR="00734F29" w:rsidRPr="0067300D" w:rsidRDefault="00734F29" w:rsidP="003511C2">
            <w:pPr>
              <w:jc w:val="center"/>
              <w:rPr>
                <w:b/>
                <w:bCs/>
                <w:sz w:val="24"/>
                <w:szCs w:val="24"/>
              </w:rPr>
            </w:pPr>
          </w:p>
        </w:tc>
        <w:tc>
          <w:tcPr>
            <w:tcW w:w="1276" w:type="dxa"/>
            <w:shd w:val="clear" w:color="auto" w:fill="BFBFBF" w:themeFill="background1" w:themeFillShade="BF"/>
            <w:vAlign w:val="center"/>
          </w:tcPr>
          <w:p w:rsidR="00734F29" w:rsidRPr="0067300D" w:rsidRDefault="006338E7" w:rsidP="003511C2">
            <w:pPr>
              <w:jc w:val="center"/>
              <w:rPr>
                <w:b/>
                <w:bCs/>
                <w:sz w:val="24"/>
                <w:szCs w:val="24"/>
              </w:rPr>
            </w:pPr>
            <w:r>
              <w:rPr>
                <w:b/>
                <w:bCs/>
                <w:sz w:val="24"/>
                <w:szCs w:val="24"/>
              </w:rPr>
              <w:t>2020</w:t>
            </w:r>
          </w:p>
        </w:tc>
        <w:tc>
          <w:tcPr>
            <w:tcW w:w="1417" w:type="dxa"/>
            <w:shd w:val="clear" w:color="auto" w:fill="BFBFBF" w:themeFill="background1" w:themeFillShade="BF"/>
            <w:vAlign w:val="center"/>
          </w:tcPr>
          <w:p w:rsidR="00734F29" w:rsidRPr="0067300D" w:rsidRDefault="006338E7" w:rsidP="003511C2">
            <w:pPr>
              <w:jc w:val="center"/>
              <w:rPr>
                <w:b/>
                <w:bCs/>
                <w:sz w:val="24"/>
                <w:szCs w:val="24"/>
              </w:rPr>
            </w:pPr>
            <w:r>
              <w:rPr>
                <w:b/>
                <w:bCs/>
                <w:sz w:val="24"/>
                <w:szCs w:val="24"/>
              </w:rPr>
              <w:t>2021</w:t>
            </w:r>
          </w:p>
        </w:tc>
        <w:tc>
          <w:tcPr>
            <w:tcW w:w="1418" w:type="dxa"/>
            <w:shd w:val="clear" w:color="auto" w:fill="BFBFBF" w:themeFill="background1" w:themeFillShade="BF"/>
            <w:vAlign w:val="center"/>
          </w:tcPr>
          <w:p w:rsidR="00734F29" w:rsidRPr="0067300D" w:rsidRDefault="006338E7" w:rsidP="003511C2">
            <w:pPr>
              <w:jc w:val="center"/>
              <w:rPr>
                <w:b/>
                <w:bCs/>
                <w:sz w:val="24"/>
                <w:szCs w:val="24"/>
              </w:rPr>
            </w:pPr>
            <w:r>
              <w:rPr>
                <w:b/>
                <w:bCs/>
                <w:sz w:val="24"/>
                <w:szCs w:val="24"/>
              </w:rPr>
              <w:t>2022</w:t>
            </w:r>
          </w:p>
        </w:tc>
        <w:tc>
          <w:tcPr>
            <w:tcW w:w="1416" w:type="dxa"/>
            <w:shd w:val="clear" w:color="auto" w:fill="BFBFBF" w:themeFill="background1" w:themeFillShade="BF"/>
            <w:vAlign w:val="center"/>
          </w:tcPr>
          <w:p w:rsidR="00734F29" w:rsidRPr="0067300D" w:rsidRDefault="006338E7" w:rsidP="003511C2">
            <w:pPr>
              <w:jc w:val="center"/>
              <w:rPr>
                <w:b/>
                <w:bCs/>
                <w:sz w:val="24"/>
                <w:szCs w:val="24"/>
              </w:rPr>
            </w:pPr>
            <w:r>
              <w:rPr>
                <w:b/>
                <w:bCs/>
                <w:sz w:val="24"/>
                <w:szCs w:val="24"/>
              </w:rPr>
              <w:t>2023</w:t>
            </w:r>
          </w:p>
        </w:tc>
      </w:tr>
      <w:tr w:rsidR="00734F29" w:rsidRPr="0067300D" w:rsidTr="00B96EF0">
        <w:trPr>
          <w:trHeight w:val="70"/>
          <w:jc w:val="right"/>
        </w:trPr>
        <w:tc>
          <w:tcPr>
            <w:tcW w:w="4248" w:type="dxa"/>
            <w:shd w:val="clear" w:color="auto" w:fill="C0C0C0"/>
            <w:noWrap/>
            <w:vAlign w:val="center"/>
          </w:tcPr>
          <w:p w:rsidR="00734F29" w:rsidRPr="0067300D" w:rsidRDefault="00734F29" w:rsidP="003511C2">
            <w:pPr>
              <w:rPr>
                <w:sz w:val="24"/>
                <w:szCs w:val="24"/>
              </w:rPr>
            </w:pPr>
            <w:r w:rsidRPr="0067300D">
              <w:rPr>
                <w:b/>
                <w:bCs/>
                <w:sz w:val="24"/>
                <w:szCs w:val="24"/>
              </w:rPr>
              <w:t>Príjmy verejnej správy celkom</w:t>
            </w:r>
          </w:p>
        </w:tc>
        <w:tc>
          <w:tcPr>
            <w:tcW w:w="1276" w:type="dxa"/>
            <w:shd w:val="clear" w:color="auto" w:fill="C0C0C0"/>
            <w:vAlign w:val="center"/>
          </w:tcPr>
          <w:p w:rsidR="00734F29" w:rsidRPr="0067300D" w:rsidRDefault="00734F29" w:rsidP="003511C2">
            <w:pPr>
              <w:jc w:val="right"/>
              <w:rPr>
                <w:b/>
                <w:bCs/>
                <w:sz w:val="24"/>
                <w:szCs w:val="24"/>
              </w:rPr>
            </w:pPr>
          </w:p>
        </w:tc>
        <w:tc>
          <w:tcPr>
            <w:tcW w:w="1417" w:type="dxa"/>
            <w:shd w:val="clear" w:color="auto" w:fill="C0C0C0"/>
            <w:vAlign w:val="center"/>
          </w:tcPr>
          <w:p w:rsidR="00734F29" w:rsidRPr="0067300D" w:rsidRDefault="004C6AEC" w:rsidP="00912381">
            <w:pPr>
              <w:jc w:val="right"/>
              <w:rPr>
                <w:b/>
                <w:bCs/>
                <w:color w:val="000000" w:themeColor="text1"/>
                <w:sz w:val="24"/>
                <w:szCs w:val="24"/>
              </w:rPr>
            </w:pPr>
            <w:r>
              <w:rPr>
                <w:b/>
                <w:bCs/>
                <w:color w:val="000000" w:themeColor="text1"/>
                <w:sz w:val="24"/>
                <w:szCs w:val="24"/>
              </w:rPr>
              <w:t>-</w:t>
            </w:r>
            <w:r w:rsidR="00912381">
              <w:rPr>
                <w:b/>
                <w:bCs/>
                <w:color w:val="000000" w:themeColor="text1"/>
                <w:sz w:val="24"/>
                <w:szCs w:val="24"/>
              </w:rPr>
              <w:t>30</w:t>
            </w:r>
            <w:r w:rsidR="00D075A6">
              <w:rPr>
                <w:b/>
                <w:bCs/>
                <w:color w:val="000000" w:themeColor="text1"/>
                <w:sz w:val="24"/>
                <w:szCs w:val="24"/>
              </w:rPr>
              <w:t> 000 000</w:t>
            </w:r>
          </w:p>
        </w:tc>
        <w:tc>
          <w:tcPr>
            <w:tcW w:w="1418" w:type="dxa"/>
            <w:shd w:val="clear" w:color="auto" w:fill="C0C0C0"/>
            <w:vAlign w:val="center"/>
          </w:tcPr>
          <w:p w:rsidR="00734F29" w:rsidRPr="0067300D" w:rsidRDefault="004C6AEC" w:rsidP="003511C2">
            <w:pPr>
              <w:jc w:val="right"/>
              <w:rPr>
                <w:b/>
                <w:bCs/>
                <w:color w:val="000000" w:themeColor="text1"/>
                <w:sz w:val="24"/>
                <w:szCs w:val="24"/>
              </w:rPr>
            </w:pPr>
            <w:r>
              <w:rPr>
                <w:b/>
                <w:bCs/>
                <w:color w:val="000000" w:themeColor="text1"/>
                <w:sz w:val="24"/>
                <w:szCs w:val="24"/>
              </w:rPr>
              <w:t>-18</w:t>
            </w:r>
            <w:r w:rsidR="00D075A6">
              <w:rPr>
                <w:b/>
                <w:bCs/>
                <w:color w:val="000000" w:themeColor="text1"/>
                <w:sz w:val="24"/>
                <w:szCs w:val="24"/>
              </w:rPr>
              <w:t> 000 000</w:t>
            </w:r>
          </w:p>
        </w:tc>
        <w:tc>
          <w:tcPr>
            <w:tcW w:w="1416" w:type="dxa"/>
            <w:shd w:val="clear" w:color="auto" w:fill="C0C0C0"/>
            <w:vAlign w:val="center"/>
          </w:tcPr>
          <w:p w:rsidR="00734F29" w:rsidRPr="0067300D" w:rsidRDefault="00B96EF0" w:rsidP="003511C2">
            <w:pPr>
              <w:jc w:val="right"/>
              <w:rPr>
                <w:b/>
                <w:bCs/>
                <w:color w:val="000000" w:themeColor="text1"/>
                <w:sz w:val="24"/>
                <w:szCs w:val="24"/>
              </w:rPr>
            </w:pPr>
            <w:r>
              <w:rPr>
                <w:b/>
                <w:bCs/>
                <w:color w:val="000000" w:themeColor="text1"/>
                <w:sz w:val="24"/>
                <w:szCs w:val="24"/>
              </w:rPr>
              <w:t>-16</w:t>
            </w:r>
            <w:r w:rsidR="00D075A6">
              <w:rPr>
                <w:b/>
                <w:bCs/>
                <w:color w:val="000000" w:themeColor="text1"/>
                <w:sz w:val="24"/>
                <w:szCs w:val="24"/>
              </w:rPr>
              <w:t> 000 000</w:t>
            </w:r>
          </w:p>
        </w:tc>
      </w:tr>
      <w:tr w:rsidR="00734F29" w:rsidRPr="0067300D" w:rsidTr="00B96EF0">
        <w:trPr>
          <w:trHeight w:val="132"/>
          <w:jc w:val="right"/>
        </w:trPr>
        <w:tc>
          <w:tcPr>
            <w:tcW w:w="4248" w:type="dxa"/>
            <w:noWrap/>
            <w:vAlign w:val="center"/>
          </w:tcPr>
          <w:p w:rsidR="00734F29" w:rsidRPr="0067300D" w:rsidRDefault="00734F29" w:rsidP="003511C2">
            <w:pPr>
              <w:rPr>
                <w:sz w:val="24"/>
                <w:szCs w:val="24"/>
              </w:rPr>
            </w:pPr>
            <w:r w:rsidRPr="0067300D">
              <w:rPr>
                <w:sz w:val="24"/>
                <w:szCs w:val="24"/>
              </w:rPr>
              <w:t>v tom: za každý subjekt verejnej správy zvlášť</w:t>
            </w:r>
          </w:p>
        </w:tc>
        <w:tc>
          <w:tcPr>
            <w:tcW w:w="1276" w:type="dxa"/>
            <w:noWrap/>
            <w:vAlign w:val="center"/>
          </w:tcPr>
          <w:p w:rsidR="00734F29" w:rsidRPr="0067300D" w:rsidRDefault="00734F29" w:rsidP="003511C2">
            <w:pPr>
              <w:jc w:val="right"/>
              <w:rPr>
                <w:sz w:val="24"/>
                <w:szCs w:val="24"/>
              </w:rPr>
            </w:pPr>
            <w:r w:rsidRPr="0067300D">
              <w:rPr>
                <w:sz w:val="24"/>
                <w:szCs w:val="24"/>
              </w:rPr>
              <w:t>0</w:t>
            </w:r>
          </w:p>
        </w:tc>
        <w:tc>
          <w:tcPr>
            <w:tcW w:w="1417" w:type="dxa"/>
            <w:noWrap/>
            <w:vAlign w:val="center"/>
          </w:tcPr>
          <w:p w:rsidR="00734F29" w:rsidRPr="0067300D" w:rsidRDefault="00734F29" w:rsidP="003511C2">
            <w:pPr>
              <w:jc w:val="right"/>
              <w:rPr>
                <w:sz w:val="24"/>
                <w:szCs w:val="24"/>
              </w:rPr>
            </w:pPr>
            <w:r w:rsidRPr="0067300D">
              <w:rPr>
                <w:sz w:val="24"/>
                <w:szCs w:val="24"/>
              </w:rPr>
              <w:t>0</w:t>
            </w:r>
          </w:p>
        </w:tc>
        <w:tc>
          <w:tcPr>
            <w:tcW w:w="1418" w:type="dxa"/>
            <w:noWrap/>
            <w:vAlign w:val="center"/>
          </w:tcPr>
          <w:p w:rsidR="00734F29" w:rsidRPr="0067300D" w:rsidRDefault="00734F29" w:rsidP="003511C2">
            <w:pPr>
              <w:jc w:val="right"/>
              <w:rPr>
                <w:sz w:val="24"/>
                <w:szCs w:val="24"/>
              </w:rPr>
            </w:pPr>
            <w:r w:rsidRPr="0067300D">
              <w:rPr>
                <w:sz w:val="24"/>
                <w:szCs w:val="24"/>
              </w:rPr>
              <w:t>0</w:t>
            </w:r>
          </w:p>
        </w:tc>
        <w:tc>
          <w:tcPr>
            <w:tcW w:w="1416" w:type="dxa"/>
            <w:noWrap/>
            <w:vAlign w:val="center"/>
          </w:tcPr>
          <w:p w:rsidR="00734F29" w:rsidRPr="0067300D" w:rsidRDefault="00734F29" w:rsidP="003511C2">
            <w:pPr>
              <w:jc w:val="right"/>
              <w:rPr>
                <w:sz w:val="24"/>
                <w:szCs w:val="24"/>
              </w:rPr>
            </w:pPr>
            <w:r w:rsidRPr="0067300D">
              <w:rPr>
                <w:sz w:val="24"/>
                <w:szCs w:val="24"/>
              </w:rPr>
              <w:t>0</w:t>
            </w:r>
          </w:p>
        </w:tc>
      </w:tr>
      <w:tr w:rsidR="00734F29" w:rsidRPr="0067300D" w:rsidTr="00B96EF0">
        <w:trPr>
          <w:trHeight w:val="70"/>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xml:space="preserve">z toho:  </w:t>
            </w:r>
          </w:p>
        </w:tc>
        <w:tc>
          <w:tcPr>
            <w:tcW w:w="1276" w:type="dxa"/>
            <w:noWrap/>
            <w:vAlign w:val="center"/>
          </w:tcPr>
          <w:p w:rsidR="00734F29" w:rsidRPr="0067300D" w:rsidRDefault="00734F29" w:rsidP="003511C2">
            <w:pPr>
              <w:jc w:val="right"/>
              <w:rPr>
                <w:b/>
                <w:bCs/>
                <w:iCs/>
                <w:sz w:val="24"/>
                <w:szCs w:val="24"/>
              </w:rPr>
            </w:pPr>
          </w:p>
        </w:tc>
        <w:tc>
          <w:tcPr>
            <w:tcW w:w="1417" w:type="dxa"/>
            <w:noWrap/>
            <w:vAlign w:val="center"/>
          </w:tcPr>
          <w:p w:rsidR="00734F29" w:rsidRPr="0067300D" w:rsidRDefault="00734F29" w:rsidP="003511C2">
            <w:pPr>
              <w:jc w:val="right"/>
              <w:rPr>
                <w:b/>
                <w:bCs/>
                <w:iCs/>
                <w:sz w:val="24"/>
                <w:szCs w:val="24"/>
              </w:rPr>
            </w:pPr>
          </w:p>
        </w:tc>
        <w:tc>
          <w:tcPr>
            <w:tcW w:w="1418" w:type="dxa"/>
            <w:noWrap/>
            <w:vAlign w:val="center"/>
          </w:tcPr>
          <w:p w:rsidR="00734F29" w:rsidRPr="0067300D" w:rsidRDefault="00734F29" w:rsidP="003511C2">
            <w:pPr>
              <w:jc w:val="right"/>
              <w:rPr>
                <w:b/>
                <w:bCs/>
                <w:iCs/>
                <w:sz w:val="24"/>
                <w:szCs w:val="24"/>
              </w:rPr>
            </w:pPr>
          </w:p>
        </w:tc>
        <w:tc>
          <w:tcPr>
            <w:tcW w:w="1416" w:type="dxa"/>
            <w:noWrap/>
            <w:vAlign w:val="center"/>
          </w:tcPr>
          <w:p w:rsidR="00734F29" w:rsidRPr="0067300D" w:rsidRDefault="00734F29" w:rsidP="003511C2">
            <w:pPr>
              <w:jc w:val="right"/>
              <w:rPr>
                <w:b/>
                <w:bCs/>
                <w:iCs/>
                <w:sz w:val="24"/>
                <w:szCs w:val="24"/>
              </w:rPr>
            </w:pPr>
          </w:p>
        </w:tc>
      </w:tr>
      <w:tr w:rsidR="00734F29" w:rsidRPr="0067300D" w:rsidTr="00B96EF0">
        <w:trPr>
          <w:trHeight w:val="125"/>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ŠR</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912381" w:rsidP="00912381">
            <w:pPr>
              <w:jc w:val="right"/>
              <w:rPr>
                <w:b/>
                <w:bCs/>
                <w:iCs/>
                <w:sz w:val="24"/>
                <w:szCs w:val="24"/>
              </w:rPr>
            </w:pPr>
            <w:r>
              <w:rPr>
                <w:b/>
                <w:bCs/>
                <w:color w:val="000000" w:themeColor="text1"/>
                <w:sz w:val="24"/>
                <w:szCs w:val="24"/>
              </w:rPr>
              <w:t>-30</w:t>
            </w:r>
            <w:r w:rsidR="00D075A6">
              <w:rPr>
                <w:b/>
                <w:bCs/>
                <w:color w:val="000000" w:themeColor="text1"/>
                <w:sz w:val="24"/>
                <w:szCs w:val="24"/>
              </w:rPr>
              <w:t> 000 000</w:t>
            </w:r>
          </w:p>
        </w:tc>
        <w:tc>
          <w:tcPr>
            <w:tcW w:w="1418" w:type="dxa"/>
            <w:noWrap/>
            <w:vAlign w:val="center"/>
          </w:tcPr>
          <w:p w:rsidR="00734F29" w:rsidRPr="0067300D" w:rsidRDefault="00B96EF0" w:rsidP="003511C2">
            <w:pPr>
              <w:jc w:val="right"/>
              <w:rPr>
                <w:b/>
                <w:bCs/>
                <w:iCs/>
                <w:sz w:val="24"/>
                <w:szCs w:val="24"/>
              </w:rPr>
            </w:pPr>
            <w:r>
              <w:rPr>
                <w:b/>
                <w:bCs/>
                <w:color w:val="000000" w:themeColor="text1"/>
                <w:sz w:val="24"/>
                <w:szCs w:val="24"/>
              </w:rPr>
              <w:t>-18</w:t>
            </w:r>
            <w:r w:rsidR="00D075A6">
              <w:rPr>
                <w:b/>
                <w:bCs/>
                <w:color w:val="000000" w:themeColor="text1"/>
                <w:sz w:val="24"/>
                <w:szCs w:val="24"/>
              </w:rPr>
              <w:t> 000 000</w:t>
            </w:r>
          </w:p>
        </w:tc>
        <w:tc>
          <w:tcPr>
            <w:tcW w:w="1416" w:type="dxa"/>
            <w:noWrap/>
            <w:vAlign w:val="center"/>
          </w:tcPr>
          <w:p w:rsidR="00734F29" w:rsidRPr="0067300D" w:rsidRDefault="00B96EF0" w:rsidP="003511C2">
            <w:pPr>
              <w:jc w:val="right"/>
              <w:rPr>
                <w:b/>
                <w:bCs/>
                <w:iCs/>
                <w:sz w:val="24"/>
                <w:szCs w:val="24"/>
              </w:rPr>
            </w:pPr>
            <w:r>
              <w:rPr>
                <w:b/>
                <w:bCs/>
                <w:color w:val="000000" w:themeColor="text1"/>
                <w:sz w:val="24"/>
                <w:szCs w:val="24"/>
              </w:rPr>
              <w:t>-16</w:t>
            </w:r>
            <w:r w:rsidR="00D075A6">
              <w:rPr>
                <w:b/>
                <w:bCs/>
                <w:color w:val="000000" w:themeColor="text1"/>
                <w:sz w:val="24"/>
                <w:szCs w:val="24"/>
              </w:rPr>
              <w:t> 000 000</w:t>
            </w:r>
          </w:p>
        </w:tc>
      </w:tr>
      <w:tr w:rsidR="00734F29" w:rsidRPr="0067300D" w:rsidTr="00B96EF0">
        <w:trPr>
          <w:trHeight w:val="125"/>
          <w:jc w:val="right"/>
        </w:trPr>
        <w:tc>
          <w:tcPr>
            <w:tcW w:w="4248" w:type="dxa"/>
            <w:noWrap/>
            <w:vAlign w:val="center"/>
          </w:tcPr>
          <w:p w:rsidR="00734F29" w:rsidRPr="0067300D" w:rsidRDefault="00734F29" w:rsidP="003511C2">
            <w:pPr>
              <w:ind w:left="259"/>
              <w:rPr>
                <w:b/>
                <w:bCs/>
                <w:i/>
                <w:iCs/>
                <w:sz w:val="24"/>
                <w:szCs w:val="24"/>
              </w:rPr>
            </w:pPr>
            <w:r w:rsidRPr="0067300D">
              <w:rPr>
                <w:bCs/>
                <w:i/>
                <w:iCs/>
                <w:sz w:val="24"/>
                <w:szCs w:val="24"/>
              </w:rPr>
              <w:t>Rozpočtové prostriedky</w:t>
            </w:r>
          </w:p>
        </w:tc>
        <w:tc>
          <w:tcPr>
            <w:tcW w:w="1276" w:type="dxa"/>
            <w:noWrap/>
            <w:vAlign w:val="center"/>
          </w:tcPr>
          <w:p w:rsidR="00734F29" w:rsidRPr="0067300D" w:rsidRDefault="00734F29" w:rsidP="003511C2">
            <w:pPr>
              <w:jc w:val="right"/>
              <w:rPr>
                <w:bCs/>
                <w:iCs/>
                <w:sz w:val="24"/>
                <w:szCs w:val="24"/>
              </w:rPr>
            </w:pPr>
            <w:r w:rsidRPr="0067300D">
              <w:rPr>
                <w:bCs/>
                <w:iCs/>
                <w:sz w:val="24"/>
                <w:szCs w:val="24"/>
              </w:rPr>
              <w:t>0</w:t>
            </w:r>
          </w:p>
        </w:tc>
        <w:tc>
          <w:tcPr>
            <w:tcW w:w="1417" w:type="dxa"/>
            <w:noWrap/>
            <w:vAlign w:val="center"/>
          </w:tcPr>
          <w:p w:rsidR="00734F29" w:rsidRPr="0067300D" w:rsidRDefault="00B96EF0" w:rsidP="00912381">
            <w:pPr>
              <w:jc w:val="right"/>
              <w:rPr>
                <w:bCs/>
                <w:iCs/>
                <w:sz w:val="24"/>
                <w:szCs w:val="24"/>
              </w:rPr>
            </w:pPr>
            <w:r w:rsidRPr="00B96EF0">
              <w:rPr>
                <w:bCs/>
                <w:iCs/>
                <w:sz w:val="24"/>
                <w:szCs w:val="24"/>
              </w:rPr>
              <w:t>-</w:t>
            </w:r>
            <w:r w:rsidR="00912381">
              <w:rPr>
                <w:bCs/>
                <w:iCs/>
                <w:sz w:val="24"/>
                <w:szCs w:val="24"/>
              </w:rPr>
              <w:t xml:space="preserve"> 30</w:t>
            </w:r>
            <w:r w:rsidRPr="00B96EF0">
              <w:rPr>
                <w:bCs/>
                <w:iCs/>
                <w:sz w:val="24"/>
                <w:szCs w:val="24"/>
              </w:rPr>
              <w:t xml:space="preserve"> 000 000</w:t>
            </w:r>
          </w:p>
        </w:tc>
        <w:tc>
          <w:tcPr>
            <w:tcW w:w="1418" w:type="dxa"/>
            <w:noWrap/>
            <w:vAlign w:val="center"/>
          </w:tcPr>
          <w:p w:rsidR="00734F29" w:rsidRPr="0067300D" w:rsidRDefault="00B96EF0" w:rsidP="003511C2">
            <w:pPr>
              <w:jc w:val="right"/>
              <w:rPr>
                <w:bCs/>
                <w:iCs/>
                <w:sz w:val="24"/>
                <w:szCs w:val="24"/>
              </w:rPr>
            </w:pPr>
            <w:r w:rsidRPr="00B96EF0">
              <w:rPr>
                <w:bCs/>
                <w:iCs/>
                <w:sz w:val="24"/>
                <w:szCs w:val="24"/>
              </w:rPr>
              <w:t>-18 000 000</w:t>
            </w:r>
          </w:p>
        </w:tc>
        <w:tc>
          <w:tcPr>
            <w:tcW w:w="1416" w:type="dxa"/>
            <w:noWrap/>
            <w:vAlign w:val="center"/>
          </w:tcPr>
          <w:p w:rsidR="00734F29" w:rsidRPr="0067300D" w:rsidRDefault="00B96EF0" w:rsidP="003511C2">
            <w:pPr>
              <w:jc w:val="right"/>
              <w:rPr>
                <w:bCs/>
                <w:iCs/>
                <w:sz w:val="24"/>
                <w:szCs w:val="24"/>
              </w:rPr>
            </w:pPr>
            <w:r w:rsidRPr="00B96EF0">
              <w:rPr>
                <w:bCs/>
                <w:iCs/>
                <w:sz w:val="24"/>
                <w:szCs w:val="24"/>
              </w:rPr>
              <w:t>-16 000 000</w:t>
            </w:r>
          </w:p>
        </w:tc>
      </w:tr>
      <w:tr w:rsidR="00734F29" w:rsidRPr="0067300D" w:rsidTr="00B96EF0">
        <w:trPr>
          <w:trHeight w:val="125"/>
          <w:jc w:val="right"/>
        </w:trPr>
        <w:tc>
          <w:tcPr>
            <w:tcW w:w="4248" w:type="dxa"/>
            <w:noWrap/>
            <w:vAlign w:val="center"/>
          </w:tcPr>
          <w:p w:rsidR="00734F29" w:rsidRPr="0067300D" w:rsidRDefault="00734F29" w:rsidP="003511C2">
            <w:pPr>
              <w:ind w:left="259"/>
              <w:rPr>
                <w:bCs/>
                <w:i/>
                <w:iCs/>
                <w:sz w:val="24"/>
                <w:szCs w:val="24"/>
              </w:rPr>
            </w:pPr>
            <w:r w:rsidRPr="0067300D">
              <w:rPr>
                <w:bCs/>
                <w:i/>
                <w:iCs/>
                <w:sz w:val="24"/>
                <w:szCs w:val="24"/>
              </w:rPr>
              <w:t>EÚ zdroje</w:t>
            </w:r>
          </w:p>
        </w:tc>
        <w:tc>
          <w:tcPr>
            <w:tcW w:w="1276" w:type="dxa"/>
            <w:noWrap/>
            <w:vAlign w:val="center"/>
          </w:tcPr>
          <w:p w:rsidR="00734F29" w:rsidRPr="0067300D" w:rsidRDefault="00734F29" w:rsidP="003511C2">
            <w:pPr>
              <w:jc w:val="right"/>
              <w:rPr>
                <w:sz w:val="24"/>
                <w:szCs w:val="24"/>
              </w:rPr>
            </w:pPr>
            <w:r w:rsidRPr="0067300D">
              <w:rPr>
                <w:sz w:val="24"/>
                <w:szCs w:val="24"/>
              </w:rPr>
              <w:t>0</w:t>
            </w:r>
          </w:p>
        </w:tc>
        <w:tc>
          <w:tcPr>
            <w:tcW w:w="1417" w:type="dxa"/>
            <w:noWrap/>
            <w:vAlign w:val="center"/>
          </w:tcPr>
          <w:p w:rsidR="00734F29" w:rsidRPr="0067300D" w:rsidRDefault="00734F29" w:rsidP="003511C2">
            <w:pPr>
              <w:jc w:val="right"/>
              <w:rPr>
                <w:sz w:val="24"/>
                <w:szCs w:val="24"/>
              </w:rPr>
            </w:pPr>
            <w:r w:rsidRPr="0067300D">
              <w:rPr>
                <w:sz w:val="24"/>
                <w:szCs w:val="24"/>
              </w:rPr>
              <w:t>0</w:t>
            </w:r>
          </w:p>
        </w:tc>
        <w:tc>
          <w:tcPr>
            <w:tcW w:w="1418" w:type="dxa"/>
            <w:noWrap/>
            <w:vAlign w:val="center"/>
          </w:tcPr>
          <w:p w:rsidR="00734F29" w:rsidRPr="0067300D" w:rsidRDefault="00734F29" w:rsidP="003511C2">
            <w:pPr>
              <w:jc w:val="right"/>
              <w:rPr>
                <w:sz w:val="24"/>
                <w:szCs w:val="24"/>
              </w:rPr>
            </w:pPr>
            <w:r w:rsidRPr="0067300D">
              <w:rPr>
                <w:sz w:val="24"/>
                <w:szCs w:val="24"/>
              </w:rPr>
              <w:t>0</w:t>
            </w:r>
          </w:p>
        </w:tc>
        <w:tc>
          <w:tcPr>
            <w:tcW w:w="1416" w:type="dxa"/>
            <w:noWrap/>
            <w:vAlign w:val="center"/>
          </w:tcPr>
          <w:p w:rsidR="00734F29" w:rsidRPr="0067300D" w:rsidRDefault="00734F29" w:rsidP="003511C2">
            <w:pPr>
              <w:jc w:val="right"/>
              <w:rPr>
                <w:sz w:val="24"/>
                <w:szCs w:val="24"/>
              </w:rPr>
            </w:pPr>
            <w:r w:rsidRPr="0067300D">
              <w:rPr>
                <w:sz w:val="24"/>
                <w:szCs w:val="24"/>
              </w:rPr>
              <w:t>0</w:t>
            </w:r>
          </w:p>
        </w:tc>
      </w:tr>
      <w:tr w:rsidR="00734F29" w:rsidRPr="0067300D" w:rsidTr="00B96EF0">
        <w:trPr>
          <w:trHeight w:val="125"/>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obce</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125"/>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vyššie územné celky</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125"/>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w:t>
            </w:r>
            <w:r w:rsidR="00B96EF0">
              <w:rPr>
                <w:b/>
                <w:bCs/>
                <w:i/>
                <w:iCs/>
                <w:sz w:val="24"/>
                <w:szCs w:val="24"/>
              </w:rPr>
              <w:t>lyv na ostatné subjekty ver.</w:t>
            </w:r>
            <w:r w:rsidRPr="0067300D">
              <w:rPr>
                <w:b/>
                <w:bCs/>
                <w:i/>
                <w:iCs/>
                <w:sz w:val="24"/>
                <w:szCs w:val="24"/>
              </w:rPr>
              <w:t xml:space="preserve"> správy</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125"/>
          <w:jc w:val="right"/>
        </w:trPr>
        <w:tc>
          <w:tcPr>
            <w:tcW w:w="4248" w:type="dxa"/>
            <w:shd w:val="clear" w:color="auto" w:fill="C0C0C0"/>
            <w:noWrap/>
            <w:vAlign w:val="center"/>
          </w:tcPr>
          <w:p w:rsidR="00734F29" w:rsidRPr="0067300D" w:rsidRDefault="00734F29" w:rsidP="003511C2">
            <w:pPr>
              <w:rPr>
                <w:b/>
                <w:bCs/>
                <w:sz w:val="24"/>
                <w:szCs w:val="24"/>
              </w:rPr>
            </w:pPr>
            <w:r w:rsidRPr="0067300D">
              <w:rPr>
                <w:b/>
                <w:bCs/>
                <w:sz w:val="24"/>
                <w:szCs w:val="24"/>
              </w:rPr>
              <w:t>Výdavky verejnej správy celkom</w:t>
            </w:r>
          </w:p>
        </w:tc>
        <w:tc>
          <w:tcPr>
            <w:tcW w:w="1276" w:type="dxa"/>
            <w:shd w:val="clear" w:color="auto" w:fill="C0C0C0"/>
            <w:noWrap/>
            <w:vAlign w:val="center"/>
          </w:tcPr>
          <w:p w:rsidR="00734F29" w:rsidRPr="002D770A" w:rsidRDefault="004C136F" w:rsidP="004C136F">
            <w:pPr>
              <w:pStyle w:val="Default"/>
              <w:jc w:val="right"/>
              <w:rPr>
                <w:rFonts w:ascii="Times New Roman" w:hAnsi="Times New Roman" w:cs="Times New Roman"/>
              </w:rPr>
            </w:pPr>
            <w:r>
              <w:rPr>
                <w:rFonts w:ascii="Times New Roman" w:hAnsi="Times New Roman" w:cs="Times New Roman"/>
                <w:b/>
                <w:bCs/>
              </w:rPr>
              <w:t>16</w:t>
            </w:r>
            <w:r w:rsidR="002D770A" w:rsidRPr="002D770A">
              <w:rPr>
                <w:rFonts w:ascii="Times New Roman" w:hAnsi="Times New Roman" w:cs="Times New Roman"/>
                <w:b/>
                <w:bCs/>
              </w:rPr>
              <w:t xml:space="preserve"> </w:t>
            </w:r>
            <w:r>
              <w:rPr>
                <w:rFonts w:ascii="Times New Roman" w:hAnsi="Times New Roman" w:cs="Times New Roman"/>
                <w:b/>
                <w:bCs/>
              </w:rPr>
              <w:t>191</w:t>
            </w:r>
            <w:r w:rsidR="002D770A" w:rsidRPr="002D770A">
              <w:rPr>
                <w:rFonts w:ascii="Times New Roman" w:hAnsi="Times New Roman" w:cs="Times New Roman"/>
                <w:b/>
                <w:bCs/>
              </w:rPr>
              <w:t xml:space="preserve"> </w:t>
            </w:r>
            <w:r>
              <w:rPr>
                <w:rFonts w:ascii="Times New Roman" w:hAnsi="Times New Roman" w:cs="Times New Roman"/>
                <w:b/>
                <w:bCs/>
              </w:rPr>
              <w:t>740</w:t>
            </w:r>
          </w:p>
        </w:tc>
        <w:tc>
          <w:tcPr>
            <w:tcW w:w="1417" w:type="dxa"/>
            <w:shd w:val="clear" w:color="auto" w:fill="C0C0C0"/>
            <w:noWrap/>
            <w:vAlign w:val="center"/>
          </w:tcPr>
          <w:p w:rsidR="00734F29" w:rsidRPr="00FB7959" w:rsidRDefault="00D7290C" w:rsidP="003511C2">
            <w:pPr>
              <w:jc w:val="right"/>
              <w:rPr>
                <w:b/>
                <w:bCs/>
                <w:sz w:val="24"/>
                <w:szCs w:val="24"/>
              </w:rPr>
            </w:pPr>
            <w:r w:rsidRPr="00FB7959">
              <w:rPr>
                <w:b/>
                <w:bCs/>
                <w:sz w:val="24"/>
                <w:szCs w:val="24"/>
              </w:rPr>
              <w:t>293 204</w:t>
            </w:r>
          </w:p>
        </w:tc>
        <w:tc>
          <w:tcPr>
            <w:tcW w:w="1418" w:type="dxa"/>
            <w:shd w:val="clear" w:color="auto" w:fill="C0C0C0"/>
            <w:noWrap/>
            <w:vAlign w:val="center"/>
          </w:tcPr>
          <w:p w:rsidR="00734F29" w:rsidRPr="00FB7959" w:rsidRDefault="00D7290C" w:rsidP="003511C2">
            <w:pPr>
              <w:jc w:val="right"/>
              <w:rPr>
                <w:b/>
                <w:bCs/>
                <w:sz w:val="24"/>
                <w:szCs w:val="24"/>
              </w:rPr>
            </w:pPr>
            <w:r w:rsidRPr="00FB7959">
              <w:rPr>
                <w:b/>
                <w:bCs/>
                <w:sz w:val="24"/>
                <w:szCs w:val="24"/>
              </w:rPr>
              <w:t>293 204</w:t>
            </w:r>
          </w:p>
        </w:tc>
        <w:tc>
          <w:tcPr>
            <w:tcW w:w="1416" w:type="dxa"/>
            <w:shd w:val="clear" w:color="auto" w:fill="C0C0C0"/>
            <w:noWrap/>
            <w:vAlign w:val="center"/>
          </w:tcPr>
          <w:p w:rsidR="00734F29" w:rsidRPr="00FB7959" w:rsidRDefault="00D7290C" w:rsidP="003511C2">
            <w:pPr>
              <w:jc w:val="right"/>
              <w:rPr>
                <w:b/>
                <w:bCs/>
                <w:sz w:val="24"/>
                <w:szCs w:val="24"/>
              </w:rPr>
            </w:pPr>
            <w:r w:rsidRPr="00FB7959">
              <w:rPr>
                <w:b/>
                <w:bCs/>
                <w:sz w:val="24"/>
                <w:szCs w:val="24"/>
              </w:rPr>
              <w:t>293 204</w:t>
            </w:r>
            <w:r w:rsidR="00734F29" w:rsidRPr="00FB7959">
              <w:rPr>
                <w:b/>
                <w:bCs/>
                <w:sz w:val="24"/>
                <w:szCs w:val="24"/>
              </w:rPr>
              <w:t xml:space="preserve">   </w:t>
            </w:r>
          </w:p>
        </w:tc>
      </w:tr>
      <w:tr w:rsidR="00734F29" w:rsidRPr="0067300D" w:rsidTr="00B96EF0">
        <w:trPr>
          <w:trHeight w:val="70"/>
          <w:jc w:val="right"/>
        </w:trPr>
        <w:tc>
          <w:tcPr>
            <w:tcW w:w="4248" w:type="dxa"/>
            <w:noWrap/>
            <w:vAlign w:val="center"/>
          </w:tcPr>
          <w:p w:rsidR="002D770A" w:rsidRPr="0067300D" w:rsidRDefault="00734F29" w:rsidP="003511C2">
            <w:pPr>
              <w:rPr>
                <w:sz w:val="24"/>
                <w:szCs w:val="24"/>
              </w:rPr>
            </w:pPr>
            <w:r w:rsidRPr="0067300D">
              <w:rPr>
                <w:sz w:val="24"/>
                <w:szCs w:val="24"/>
              </w:rPr>
              <w:t xml:space="preserve">v tom: </w:t>
            </w:r>
          </w:p>
          <w:p w:rsidR="00734F29" w:rsidRPr="002D770A" w:rsidRDefault="002D770A" w:rsidP="002D770A">
            <w:pPr>
              <w:pStyle w:val="Default"/>
              <w:rPr>
                <w:sz w:val="16"/>
                <w:szCs w:val="16"/>
              </w:rPr>
            </w:pPr>
            <w:r>
              <w:rPr>
                <w:i/>
                <w:iCs/>
                <w:sz w:val="16"/>
                <w:szCs w:val="16"/>
              </w:rPr>
              <w:t>kapitola MF SR/0EK 0D IT financované zo ŠR – MF SR (</w:t>
            </w:r>
            <w:proofErr w:type="spellStart"/>
            <w:r>
              <w:rPr>
                <w:i/>
                <w:iCs/>
                <w:sz w:val="16"/>
                <w:szCs w:val="16"/>
              </w:rPr>
              <w:t>org</w:t>
            </w:r>
            <w:proofErr w:type="spellEnd"/>
            <w:r>
              <w:rPr>
                <w:i/>
                <w:iCs/>
                <w:sz w:val="16"/>
                <w:szCs w:val="16"/>
              </w:rPr>
              <w:t xml:space="preserve">. MF SR – úrad) </w:t>
            </w:r>
          </w:p>
        </w:tc>
        <w:tc>
          <w:tcPr>
            <w:tcW w:w="1276" w:type="dxa"/>
            <w:noWrap/>
            <w:vAlign w:val="center"/>
          </w:tcPr>
          <w:p w:rsidR="00734F29" w:rsidRPr="002D770A" w:rsidRDefault="004C136F" w:rsidP="004C136F">
            <w:pPr>
              <w:pStyle w:val="Default"/>
              <w:jc w:val="right"/>
              <w:rPr>
                <w:rFonts w:ascii="Times New Roman" w:hAnsi="Times New Roman" w:cs="Times New Roman"/>
              </w:rPr>
            </w:pPr>
            <w:r>
              <w:rPr>
                <w:rFonts w:ascii="Times New Roman" w:hAnsi="Times New Roman" w:cs="Times New Roman"/>
              </w:rPr>
              <w:t>10</w:t>
            </w:r>
            <w:r w:rsidR="002D770A" w:rsidRPr="002D770A">
              <w:rPr>
                <w:rFonts w:ascii="Times New Roman" w:hAnsi="Times New Roman" w:cs="Times New Roman"/>
              </w:rPr>
              <w:t xml:space="preserve"> </w:t>
            </w:r>
            <w:r>
              <w:rPr>
                <w:rFonts w:ascii="Times New Roman" w:hAnsi="Times New Roman" w:cs="Times New Roman"/>
              </w:rPr>
              <w:t>876</w:t>
            </w:r>
            <w:r w:rsidR="002D770A" w:rsidRPr="002D770A">
              <w:rPr>
                <w:rFonts w:ascii="Times New Roman" w:hAnsi="Times New Roman" w:cs="Times New Roman"/>
              </w:rPr>
              <w:t xml:space="preserve"> </w:t>
            </w:r>
            <w:r>
              <w:rPr>
                <w:rFonts w:ascii="Times New Roman" w:hAnsi="Times New Roman" w:cs="Times New Roman"/>
              </w:rPr>
              <w:t>740</w:t>
            </w:r>
            <w:r w:rsidR="002D770A" w:rsidRPr="002D770A">
              <w:rPr>
                <w:rFonts w:ascii="Times New Roman" w:hAnsi="Times New Roman" w:cs="Times New Roman"/>
              </w:rPr>
              <w:t xml:space="preserve"> </w:t>
            </w:r>
          </w:p>
        </w:tc>
        <w:tc>
          <w:tcPr>
            <w:tcW w:w="1417" w:type="dxa"/>
            <w:noWrap/>
            <w:vAlign w:val="center"/>
          </w:tcPr>
          <w:p w:rsidR="00734F29" w:rsidRPr="00FB7959" w:rsidRDefault="00D7290C" w:rsidP="003511C2">
            <w:pPr>
              <w:jc w:val="right"/>
              <w:rPr>
                <w:sz w:val="24"/>
                <w:szCs w:val="24"/>
              </w:rPr>
            </w:pPr>
            <w:r w:rsidRPr="00FB7959">
              <w:rPr>
                <w:sz w:val="24"/>
                <w:szCs w:val="24"/>
              </w:rPr>
              <w:t>0</w:t>
            </w:r>
          </w:p>
        </w:tc>
        <w:tc>
          <w:tcPr>
            <w:tcW w:w="1418" w:type="dxa"/>
            <w:noWrap/>
            <w:vAlign w:val="center"/>
          </w:tcPr>
          <w:p w:rsidR="00734F29" w:rsidRPr="00FB7959" w:rsidRDefault="00D7290C" w:rsidP="003511C2">
            <w:pPr>
              <w:jc w:val="right"/>
              <w:rPr>
                <w:sz w:val="24"/>
                <w:szCs w:val="24"/>
              </w:rPr>
            </w:pPr>
            <w:r w:rsidRPr="00FB7959">
              <w:rPr>
                <w:sz w:val="24"/>
                <w:szCs w:val="24"/>
              </w:rPr>
              <w:t>0</w:t>
            </w:r>
          </w:p>
        </w:tc>
        <w:tc>
          <w:tcPr>
            <w:tcW w:w="1416" w:type="dxa"/>
            <w:noWrap/>
            <w:vAlign w:val="center"/>
          </w:tcPr>
          <w:p w:rsidR="00734F29" w:rsidRPr="00FB7959" w:rsidRDefault="00D7290C" w:rsidP="003511C2">
            <w:pPr>
              <w:jc w:val="right"/>
              <w:rPr>
                <w:sz w:val="24"/>
                <w:szCs w:val="24"/>
              </w:rPr>
            </w:pPr>
            <w:r w:rsidRPr="00FB7959">
              <w:rPr>
                <w:sz w:val="24"/>
                <w:szCs w:val="24"/>
              </w:rPr>
              <w:t>0</w:t>
            </w:r>
          </w:p>
        </w:tc>
      </w:tr>
      <w:tr w:rsidR="00D7290C" w:rsidRPr="0067300D" w:rsidTr="00B96EF0">
        <w:trPr>
          <w:trHeight w:val="70"/>
          <w:jc w:val="right"/>
        </w:trPr>
        <w:tc>
          <w:tcPr>
            <w:tcW w:w="4248" w:type="dxa"/>
            <w:noWrap/>
            <w:vAlign w:val="center"/>
          </w:tcPr>
          <w:p w:rsidR="00D7290C" w:rsidRPr="002D770A" w:rsidRDefault="00D7290C" w:rsidP="00D7290C">
            <w:pPr>
              <w:pStyle w:val="Default"/>
              <w:rPr>
                <w:sz w:val="16"/>
                <w:szCs w:val="16"/>
              </w:rPr>
            </w:pPr>
            <w:r>
              <w:rPr>
                <w:i/>
                <w:iCs/>
                <w:sz w:val="16"/>
                <w:szCs w:val="16"/>
              </w:rPr>
              <w:t>kapitola MF SR/0EK 0D IT financované zo ŠR – MF SR (</w:t>
            </w:r>
            <w:proofErr w:type="spellStart"/>
            <w:r>
              <w:rPr>
                <w:i/>
                <w:iCs/>
                <w:sz w:val="16"/>
                <w:szCs w:val="16"/>
              </w:rPr>
              <w:t>org</w:t>
            </w:r>
            <w:proofErr w:type="spellEnd"/>
            <w:r>
              <w:rPr>
                <w:i/>
                <w:iCs/>
                <w:sz w:val="16"/>
                <w:szCs w:val="16"/>
              </w:rPr>
              <w:t xml:space="preserve">. FR SR) </w:t>
            </w:r>
          </w:p>
        </w:tc>
        <w:tc>
          <w:tcPr>
            <w:tcW w:w="1276" w:type="dxa"/>
            <w:noWrap/>
          </w:tcPr>
          <w:p w:rsidR="00D7290C" w:rsidRPr="003137BA" w:rsidRDefault="00D7290C" w:rsidP="00D7290C">
            <w:pPr>
              <w:pStyle w:val="Default"/>
              <w:jc w:val="right"/>
              <w:rPr>
                <w:rFonts w:ascii="Times New Roman" w:hAnsi="Times New Roman" w:cs="Times New Roman"/>
              </w:rPr>
            </w:pPr>
            <w:r>
              <w:rPr>
                <w:rFonts w:ascii="Times New Roman" w:hAnsi="Times New Roman" w:cs="Times New Roman"/>
              </w:rPr>
              <w:t>5</w:t>
            </w:r>
            <w:r w:rsidRPr="002D770A">
              <w:rPr>
                <w:rFonts w:ascii="Times New Roman" w:hAnsi="Times New Roman" w:cs="Times New Roman"/>
              </w:rPr>
              <w:t xml:space="preserve"> </w:t>
            </w:r>
            <w:r>
              <w:rPr>
                <w:rFonts w:ascii="Times New Roman" w:hAnsi="Times New Roman" w:cs="Times New Roman"/>
              </w:rPr>
              <w:t>315</w:t>
            </w:r>
            <w:r w:rsidRPr="002D770A">
              <w:rPr>
                <w:rFonts w:ascii="Times New Roman" w:hAnsi="Times New Roman" w:cs="Times New Roman"/>
              </w:rPr>
              <w:t xml:space="preserve"> 000 </w:t>
            </w:r>
          </w:p>
        </w:tc>
        <w:tc>
          <w:tcPr>
            <w:tcW w:w="1417" w:type="dxa"/>
            <w:noWrap/>
            <w:vAlign w:val="center"/>
          </w:tcPr>
          <w:p w:rsidR="00D7290C" w:rsidRPr="00FB7959" w:rsidRDefault="00D7290C" w:rsidP="00D7290C">
            <w:pPr>
              <w:jc w:val="right"/>
              <w:rPr>
                <w:sz w:val="24"/>
                <w:szCs w:val="24"/>
              </w:rPr>
            </w:pPr>
            <w:r w:rsidRPr="00FB7959">
              <w:rPr>
                <w:sz w:val="24"/>
                <w:szCs w:val="24"/>
              </w:rPr>
              <w:t>293 204</w:t>
            </w:r>
          </w:p>
        </w:tc>
        <w:tc>
          <w:tcPr>
            <w:tcW w:w="1418" w:type="dxa"/>
            <w:noWrap/>
            <w:vAlign w:val="center"/>
          </w:tcPr>
          <w:p w:rsidR="00D7290C" w:rsidRPr="00FB7959" w:rsidRDefault="00D7290C" w:rsidP="00D7290C">
            <w:pPr>
              <w:jc w:val="right"/>
              <w:rPr>
                <w:sz w:val="24"/>
                <w:szCs w:val="24"/>
              </w:rPr>
            </w:pPr>
            <w:r w:rsidRPr="00FB7959">
              <w:rPr>
                <w:sz w:val="24"/>
                <w:szCs w:val="24"/>
              </w:rPr>
              <w:t>293 204</w:t>
            </w:r>
          </w:p>
        </w:tc>
        <w:tc>
          <w:tcPr>
            <w:tcW w:w="1416" w:type="dxa"/>
            <w:noWrap/>
            <w:vAlign w:val="center"/>
          </w:tcPr>
          <w:p w:rsidR="00D7290C" w:rsidRPr="00FB7959" w:rsidRDefault="00D7290C" w:rsidP="00D7290C">
            <w:pPr>
              <w:jc w:val="right"/>
              <w:rPr>
                <w:sz w:val="24"/>
                <w:szCs w:val="24"/>
              </w:rPr>
            </w:pPr>
            <w:r w:rsidRPr="00FB7959">
              <w:rPr>
                <w:sz w:val="24"/>
                <w:szCs w:val="24"/>
              </w:rPr>
              <w:t>293 204</w:t>
            </w:r>
          </w:p>
        </w:tc>
      </w:tr>
      <w:tr w:rsidR="00734F29" w:rsidRPr="0067300D" w:rsidTr="00B96EF0">
        <w:trPr>
          <w:trHeight w:val="70"/>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xml:space="preserve">z toho: </w:t>
            </w:r>
          </w:p>
        </w:tc>
        <w:tc>
          <w:tcPr>
            <w:tcW w:w="1276" w:type="dxa"/>
            <w:noWrap/>
          </w:tcPr>
          <w:p w:rsidR="00734F29" w:rsidRPr="002D770A" w:rsidRDefault="00734F29" w:rsidP="003511C2">
            <w:pPr>
              <w:jc w:val="right"/>
              <w:rPr>
                <w:sz w:val="24"/>
                <w:szCs w:val="24"/>
              </w:rPr>
            </w:pPr>
          </w:p>
        </w:tc>
        <w:tc>
          <w:tcPr>
            <w:tcW w:w="1417" w:type="dxa"/>
            <w:noWrap/>
            <w:vAlign w:val="center"/>
          </w:tcPr>
          <w:p w:rsidR="00734F29" w:rsidRPr="00FB7959" w:rsidRDefault="00734F29" w:rsidP="003511C2">
            <w:pPr>
              <w:jc w:val="right"/>
              <w:rPr>
                <w:b/>
                <w:bCs/>
                <w:iCs/>
                <w:sz w:val="24"/>
                <w:szCs w:val="24"/>
              </w:rPr>
            </w:pPr>
          </w:p>
        </w:tc>
        <w:tc>
          <w:tcPr>
            <w:tcW w:w="1418" w:type="dxa"/>
            <w:noWrap/>
            <w:vAlign w:val="center"/>
          </w:tcPr>
          <w:p w:rsidR="00734F29" w:rsidRPr="00FB7959" w:rsidRDefault="00734F29" w:rsidP="003511C2">
            <w:pPr>
              <w:jc w:val="right"/>
              <w:rPr>
                <w:b/>
                <w:bCs/>
                <w:iCs/>
                <w:sz w:val="24"/>
                <w:szCs w:val="24"/>
              </w:rPr>
            </w:pPr>
          </w:p>
        </w:tc>
        <w:tc>
          <w:tcPr>
            <w:tcW w:w="1416" w:type="dxa"/>
            <w:noWrap/>
            <w:vAlign w:val="center"/>
          </w:tcPr>
          <w:p w:rsidR="00734F29" w:rsidRPr="00FB7959" w:rsidRDefault="00734F29" w:rsidP="003511C2">
            <w:pPr>
              <w:jc w:val="right"/>
              <w:rPr>
                <w:b/>
                <w:bCs/>
                <w:iCs/>
                <w:sz w:val="24"/>
                <w:szCs w:val="24"/>
              </w:rPr>
            </w:pPr>
          </w:p>
        </w:tc>
      </w:tr>
      <w:tr w:rsidR="00734F29" w:rsidRPr="0067300D" w:rsidTr="00B96EF0">
        <w:trPr>
          <w:trHeight w:val="70"/>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ŠR</w:t>
            </w:r>
          </w:p>
        </w:tc>
        <w:tc>
          <w:tcPr>
            <w:tcW w:w="1276" w:type="dxa"/>
            <w:noWrap/>
          </w:tcPr>
          <w:p w:rsidR="00734F29" w:rsidRPr="002D770A" w:rsidRDefault="002D770A" w:rsidP="004C136F">
            <w:pPr>
              <w:jc w:val="right"/>
              <w:rPr>
                <w:sz w:val="24"/>
                <w:szCs w:val="24"/>
              </w:rPr>
            </w:pPr>
            <w:r w:rsidRPr="002D770A">
              <w:rPr>
                <w:b/>
                <w:bCs/>
                <w:sz w:val="24"/>
                <w:szCs w:val="24"/>
              </w:rPr>
              <w:t>1</w:t>
            </w:r>
            <w:r w:rsidR="004C136F">
              <w:rPr>
                <w:b/>
                <w:bCs/>
                <w:sz w:val="24"/>
                <w:szCs w:val="24"/>
              </w:rPr>
              <w:t>6</w:t>
            </w:r>
            <w:r w:rsidRPr="002D770A">
              <w:rPr>
                <w:b/>
                <w:bCs/>
                <w:sz w:val="24"/>
                <w:szCs w:val="24"/>
              </w:rPr>
              <w:t xml:space="preserve"> </w:t>
            </w:r>
            <w:r w:rsidR="004C136F">
              <w:rPr>
                <w:b/>
                <w:bCs/>
                <w:sz w:val="24"/>
                <w:szCs w:val="24"/>
              </w:rPr>
              <w:t>191</w:t>
            </w:r>
            <w:r w:rsidRPr="002D770A">
              <w:rPr>
                <w:b/>
                <w:bCs/>
                <w:sz w:val="24"/>
                <w:szCs w:val="24"/>
              </w:rPr>
              <w:t xml:space="preserve"> </w:t>
            </w:r>
            <w:r w:rsidR="004C136F">
              <w:rPr>
                <w:b/>
                <w:bCs/>
                <w:sz w:val="24"/>
                <w:szCs w:val="24"/>
              </w:rPr>
              <w:t>740</w:t>
            </w:r>
          </w:p>
        </w:tc>
        <w:tc>
          <w:tcPr>
            <w:tcW w:w="1417" w:type="dxa"/>
            <w:noWrap/>
            <w:vAlign w:val="center"/>
          </w:tcPr>
          <w:p w:rsidR="00734F29" w:rsidRPr="00FB7959" w:rsidRDefault="00D7290C" w:rsidP="003511C2">
            <w:pPr>
              <w:jc w:val="right"/>
              <w:rPr>
                <w:b/>
                <w:bCs/>
                <w:iCs/>
                <w:sz w:val="24"/>
                <w:szCs w:val="24"/>
              </w:rPr>
            </w:pPr>
            <w:r w:rsidRPr="00FB7959">
              <w:rPr>
                <w:b/>
                <w:bCs/>
                <w:iCs/>
                <w:sz w:val="24"/>
                <w:szCs w:val="24"/>
              </w:rPr>
              <w:t>293 204</w:t>
            </w:r>
          </w:p>
        </w:tc>
        <w:tc>
          <w:tcPr>
            <w:tcW w:w="1418" w:type="dxa"/>
            <w:noWrap/>
            <w:vAlign w:val="center"/>
          </w:tcPr>
          <w:p w:rsidR="00734F29" w:rsidRPr="00FB7959" w:rsidRDefault="00D7290C" w:rsidP="003511C2">
            <w:pPr>
              <w:jc w:val="right"/>
              <w:rPr>
                <w:b/>
                <w:bCs/>
                <w:iCs/>
                <w:sz w:val="24"/>
                <w:szCs w:val="24"/>
              </w:rPr>
            </w:pPr>
            <w:r w:rsidRPr="00FB7959">
              <w:rPr>
                <w:b/>
                <w:bCs/>
                <w:iCs/>
                <w:sz w:val="24"/>
                <w:szCs w:val="24"/>
              </w:rPr>
              <w:t>293 204</w:t>
            </w:r>
          </w:p>
        </w:tc>
        <w:tc>
          <w:tcPr>
            <w:tcW w:w="1416" w:type="dxa"/>
            <w:noWrap/>
            <w:vAlign w:val="center"/>
          </w:tcPr>
          <w:p w:rsidR="00734F29" w:rsidRPr="00FB7959" w:rsidRDefault="00D7290C" w:rsidP="003511C2">
            <w:pPr>
              <w:jc w:val="right"/>
              <w:rPr>
                <w:b/>
                <w:bCs/>
                <w:iCs/>
                <w:sz w:val="24"/>
                <w:szCs w:val="24"/>
              </w:rPr>
            </w:pPr>
            <w:r w:rsidRPr="00FB7959">
              <w:rPr>
                <w:b/>
                <w:bCs/>
                <w:iCs/>
                <w:sz w:val="24"/>
                <w:szCs w:val="24"/>
              </w:rPr>
              <w:t>293 204</w:t>
            </w:r>
          </w:p>
        </w:tc>
      </w:tr>
      <w:tr w:rsidR="00734F29" w:rsidRPr="0067300D" w:rsidTr="00B96EF0">
        <w:trPr>
          <w:trHeight w:val="70"/>
          <w:jc w:val="right"/>
        </w:trPr>
        <w:tc>
          <w:tcPr>
            <w:tcW w:w="4248" w:type="dxa"/>
            <w:noWrap/>
            <w:vAlign w:val="center"/>
          </w:tcPr>
          <w:p w:rsidR="00734F29" w:rsidRPr="0067300D" w:rsidRDefault="00734F29" w:rsidP="003511C2">
            <w:pPr>
              <w:ind w:left="259"/>
              <w:rPr>
                <w:b/>
                <w:bCs/>
                <w:i/>
                <w:iCs/>
                <w:sz w:val="24"/>
                <w:szCs w:val="24"/>
              </w:rPr>
            </w:pPr>
            <w:r w:rsidRPr="0067300D">
              <w:rPr>
                <w:bCs/>
                <w:i/>
                <w:iCs/>
                <w:sz w:val="24"/>
                <w:szCs w:val="24"/>
              </w:rPr>
              <w:t>Rozpočtové prostriedky</w:t>
            </w:r>
          </w:p>
        </w:tc>
        <w:tc>
          <w:tcPr>
            <w:tcW w:w="1276" w:type="dxa"/>
            <w:noWrap/>
          </w:tcPr>
          <w:p w:rsidR="00734F29" w:rsidRPr="002D770A" w:rsidRDefault="004C136F" w:rsidP="004C136F">
            <w:pPr>
              <w:jc w:val="right"/>
              <w:rPr>
                <w:sz w:val="24"/>
                <w:szCs w:val="24"/>
              </w:rPr>
            </w:pPr>
            <w:r>
              <w:rPr>
                <w:bCs/>
                <w:sz w:val="24"/>
                <w:szCs w:val="24"/>
              </w:rPr>
              <w:t>16</w:t>
            </w:r>
            <w:r w:rsidR="002D770A" w:rsidRPr="002D770A">
              <w:rPr>
                <w:bCs/>
                <w:sz w:val="24"/>
                <w:szCs w:val="24"/>
              </w:rPr>
              <w:t xml:space="preserve"> </w:t>
            </w:r>
            <w:r>
              <w:rPr>
                <w:bCs/>
                <w:sz w:val="24"/>
                <w:szCs w:val="24"/>
              </w:rPr>
              <w:t>191</w:t>
            </w:r>
            <w:r w:rsidR="002D770A" w:rsidRPr="002D770A">
              <w:rPr>
                <w:bCs/>
                <w:sz w:val="24"/>
                <w:szCs w:val="24"/>
              </w:rPr>
              <w:t xml:space="preserve"> </w:t>
            </w:r>
            <w:r>
              <w:rPr>
                <w:bCs/>
                <w:sz w:val="24"/>
                <w:szCs w:val="24"/>
              </w:rPr>
              <w:t>740</w:t>
            </w:r>
          </w:p>
        </w:tc>
        <w:tc>
          <w:tcPr>
            <w:tcW w:w="1417" w:type="dxa"/>
            <w:noWrap/>
            <w:vAlign w:val="center"/>
          </w:tcPr>
          <w:p w:rsidR="00734F29" w:rsidRPr="00FB7959" w:rsidRDefault="00D7290C" w:rsidP="003511C2">
            <w:pPr>
              <w:jc w:val="right"/>
              <w:rPr>
                <w:bCs/>
                <w:iCs/>
                <w:sz w:val="24"/>
                <w:szCs w:val="24"/>
              </w:rPr>
            </w:pPr>
            <w:r w:rsidRPr="00FB7959">
              <w:rPr>
                <w:bCs/>
                <w:iCs/>
                <w:sz w:val="24"/>
                <w:szCs w:val="24"/>
              </w:rPr>
              <w:t>293 204</w:t>
            </w:r>
          </w:p>
        </w:tc>
        <w:tc>
          <w:tcPr>
            <w:tcW w:w="1418" w:type="dxa"/>
            <w:noWrap/>
            <w:vAlign w:val="center"/>
          </w:tcPr>
          <w:p w:rsidR="00734F29" w:rsidRPr="00FB7959" w:rsidRDefault="00D7290C" w:rsidP="003511C2">
            <w:pPr>
              <w:jc w:val="right"/>
              <w:rPr>
                <w:bCs/>
                <w:iCs/>
                <w:sz w:val="24"/>
                <w:szCs w:val="24"/>
              </w:rPr>
            </w:pPr>
            <w:r w:rsidRPr="00FB7959">
              <w:rPr>
                <w:bCs/>
                <w:iCs/>
                <w:sz w:val="24"/>
                <w:szCs w:val="24"/>
              </w:rPr>
              <w:t>293 204</w:t>
            </w:r>
          </w:p>
        </w:tc>
        <w:tc>
          <w:tcPr>
            <w:tcW w:w="1416" w:type="dxa"/>
            <w:noWrap/>
            <w:vAlign w:val="center"/>
          </w:tcPr>
          <w:p w:rsidR="00734F29" w:rsidRPr="00FB7959" w:rsidRDefault="00D7290C" w:rsidP="003511C2">
            <w:pPr>
              <w:jc w:val="right"/>
              <w:rPr>
                <w:bCs/>
                <w:iCs/>
                <w:sz w:val="24"/>
                <w:szCs w:val="24"/>
              </w:rPr>
            </w:pPr>
            <w:r w:rsidRPr="00FB7959">
              <w:rPr>
                <w:bCs/>
                <w:iCs/>
                <w:sz w:val="24"/>
                <w:szCs w:val="24"/>
              </w:rPr>
              <w:t>293 204</w:t>
            </w:r>
          </w:p>
        </w:tc>
      </w:tr>
      <w:tr w:rsidR="00734F29" w:rsidRPr="0067300D" w:rsidTr="00B96EF0">
        <w:trPr>
          <w:trHeight w:val="70"/>
          <w:jc w:val="right"/>
        </w:trPr>
        <w:tc>
          <w:tcPr>
            <w:tcW w:w="4248" w:type="dxa"/>
            <w:noWrap/>
            <w:vAlign w:val="center"/>
          </w:tcPr>
          <w:p w:rsidR="00734F29" w:rsidRPr="0067300D" w:rsidRDefault="00734F29" w:rsidP="003511C2">
            <w:pPr>
              <w:rPr>
                <w:bCs/>
                <w:i/>
                <w:iCs/>
                <w:sz w:val="24"/>
                <w:szCs w:val="24"/>
              </w:rPr>
            </w:pPr>
            <w:r w:rsidRPr="0067300D">
              <w:rPr>
                <w:bCs/>
                <w:i/>
                <w:iCs/>
                <w:sz w:val="24"/>
                <w:szCs w:val="24"/>
              </w:rPr>
              <w:t xml:space="preserve">    EÚ zdroje</w:t>
            </w:r>
          </w:p>
        </w:tc>
        <w:tc>
          <w:tcPr>
            <w:tcW w:w="1276" w:type="dxa"/>
            <w:noWrap/>
            <w:vAlign w:val="center"/>
          </w:tcPr>
          <w:p w:rsidR="00734F29" w:rsidRPr="0067300D" w:rsidRDefault="00734F29" w:rsidP="003511C2">
            <w:pPr>
              <w:jc w:val="right"/>
              <w:rPr>
                <w:sz w:val="24"/>
                <w:szCs w:val="24"/>
              </w:rPr>
            </w:pPr>
            <w:r w:rsidRPr="0067300D">
              <w:rPr>
                <w:sz w:val="24"/>
                <w:szCs w:val="24"/>
              </w:rPr>
              <w:t>0</w:t>
            </w:r>
          </w:p>
        </w:tc>
        <w:tc>
          <w:tcPr>
            <w:tcW w:w="1417" w:type="dxa"/>
            <w:noWrap/>
            <w:vAlign w:val="center"/>
          </w:tcPr>
          <w:p w:rsidR="00734F29" w:rsidRPr="0067300D" w:rsidRDefault="00734F29" w:rsidP="003511C2">
            <w:pPr>
              <w:jc w:val="right"/>
              <w:rPr>
                <w:sz w:val="24"/>
                <w:szCs w:val="24"/>
              </w:rPr>
            </w:pPr>
            <w:r w:rsidRPr="0067300D">
              <w:rPr>
                <w:sz w:val="24"/>
                <w:szCs w:val="24"/>
              </w:rPr>
              <w:t>0</w:t>
            </w:r>
          </w:p>
        </w:tc>
        <w:tc>
          <w:tcPr>
            <w:tcW w:w="1418" w:type="dxa"/>
            <w:noWrap/>
            <w:vAlign w:val="center"/>
          </w:tcPr>
          <w:p w:rsidR="00734F29" w:rsidRPr="0067300D" w:rsidRDefault="00734F29" w:rsidP="003511C2">
            <w:pPr>
              <w:jc w:val="right"/>
              <w:rPr>
                <w:sz w:val="24"/>
                <w:szCs w:val="24"/>
              </w:rPr>
            </w:pPr>
            <w:r w:rsidRPr="0067300D">
              <w:rPr>
                <w:sz w:val="24"/>
                <w:szCs w:val="24"/>
              </w:rPr>
              <w:t>0</w:t>
            </w:r>
          </w:p>
        </w:tc>
        <w:tc>
          <w:tcPr>
            <w:tcW w:w="1416" w:type="dxa"/>
            <w:noWrap/>
            <w:vAlign w:val="center"/>
          </w:tcPr>
          <w:p w:rsidR="00734F29" w:rsidRPr="0067300D" w:rsidRDefault="00734F29" w:rsidP="003511C2">
            <w:pPr>
              <w:jc w:val="right"/>
              <w:rPr>
                <w:sz w:val="24"/>
                <w:szCs w:val="24"/>
              </w:rPr>
            </w:pPr>
            <w:r w:rsidRPr="0067300D">
              <w:rPr>
                <w:sz w:val="24"/>
                <w:szCs w:val="24"/>
              </w:rPr>
              <w:t>0</w:t>
            </w:r>
          </w:p>
        </w:tc>
      </w:tr>
      <w:tr w:rsidR="00734F29" w:rsidRPr="0067300D" w:rsidTr="00B96EF0">
        <w:trPr>
          <w:trHeight w:val="70"/>
          <w:jc w:val="right"/>
        </w:trPr>
        <w:tc>
          <w:tcPr>
            <w:tcW w:w="4248" w:type="dxa"/>
            <w:noWrap/>
            <w:vAlign w:val="center"/>
          </w:tcPr>
          <w:p w:rsidR="00734F29" w:rsidRPr="0067300D" w:rsidRDefault="00B96EF0" w:rsidP="003511C2">
            <w:pPr>
              <w:rPr>
                <w:bCs/>
                <w:i/>
                <w:iCs/>
                <w:sz w:val="24"/>
                <w:szCs w:val="24"/>
              </w:rPr>
            </w:pPr>
            <w:r w:rsidRPr="0067300D">
              <w:rPr>
                <w:bCs/>
                <w:i/>
                <w:iCs/>
                <w:sz w:val="24"/>
                <w:szCs w:val="24"/>
              </w:rPr>
              <w:t>S</w:t>
            </w:r>
            <w:r w:rsidR="00734F29" w:rsidRPr="0067300D">
              <w:rPr>
                <w:bCs/>
                <w:i/>
                <w:iCs/>
                <w:sz w:val="24"/>
                <w:szCs w:val="24"/>
              </w:rPr>
              <w:t>polufinancovanie</w:t>
            </w:r>
          </w:p>
        </w:tc>
        <w:tc>
          <w:tcPr>
            <w:tcW w:w="1276" w:type="dxa"/>
            <w:noWrap/>
            <w:vAlign w:val="center"/>
          </w:tcPr>
          <w:p w:rsidR="00734F29" w:rsidRPr="0067300D" w:rsidRDefault="00734F29" w:rsidP="003511C2">
            <w:pPr>
              <w:jc w:val="right"/>
              <w:rPr>
                <w:sz w:val="24"/>
                <w:szCs w:val="24"/>
              </w:rPr>
            </w:pPr>
            <w:r w:rsidRPr="0067300D">
              <w:rPr>
                <w:sz w:val="24"/>
                <w:szCs w:val="24"/>
              </w:rPr>
              <w:t>0</w:t>
            </w:r>
          </w:p>
        </w:tc>
        <w:tc>
          <w:tcPr>
            <w:tcW w:w="1417" w:type="dxa"/>
            <w:noWrap/>
            <w:vAlign w:val="center"/>
          </w:tcPr>
          <w:p w:rsidR="00734F29" w:rsidRPr="0067300D" w:rsidRDefault="00734F29" w:rsidP="003511C2">
            <w:pPr>
              <w:jc w:val="right"/>
              <w:rPr>
                <w:sz w:val="24"/>
                <w:szCs w:val="24"/>
              </w:rPr>
            </w:pPr>
            <w:r w:rsidRPr="0067300D">
              <w:rPr>
                <w:sz w:val="24"/>
                <w:szCs w:val="24"/>
              </w:rPr>
              <w:t>0</w:t>
            </w:r>
          </w:p>
        </w:tc>
        <w:tc>
          <w:tcPr>
            <w:tcW w:w="1418" w:type="dxa"/>
            <w:noWrap/>
            <w:vAlign w:val="center"/>
          </w:tcPr>
          <w:p w:rsidR="00734F29" w:rsidRPr="0067300D" w:rsidRDefault="00734F29" w:rsidP="003511C2">
            <w:pPr>
              <w:jc w:val="right"/>
              <w:rPr>
                <w:sz w:val="24"/>
                <w:szCs w:val="24"/>
              </w:rPr>
            </w:pPr>
            <w:r w:rsidRPr="0067300D">
              <w:rPr>
                <w:sz w:val="24"/>
                <w:szCs w:val="24"/>
              </w:rPr>
              <w:t>0</w:t>
            </w:r>
          </w:p>
        </w:tc>
        <w:tc>
          <w:tcPr>
            <w:tcW w:w="1416" w:type="dxa"/>
            <w:noWrap/>
            <w:vAlign w:val="center"/>
          </w:tcPr>
          <w:p w:rsidR="00734F29" w:rsidRPr="0067300D" w:rsidRDefault="00734F29" w:rsidP="003511C2">
            <w:pPr>
              <w:jc w:val="right"/>
              <w:rPr>
                <w:sz w:val="24"/>
                <w:szCs w:val="24"/>
              </w:rPr>
            </w:pPr>
            <w:r w:rsidRPr="0067300D">
              <w:rPr>
                <w:sz w:val="24"/>
                <w:szCs w:val="24"/>
              </w:rPr>
              <w:t>0</w:t>
            </w:r>
          </w:p>
        </w:tc>
      </w:tr>
      <w:tr w:rsidR="00734F29" w:rsidRPr="0067300D" w:rsidTr="00B96EF0">
        <w:trPr>
          <w:trHeight w:val="125"/>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obce</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125"/>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vyššie územné celky</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70"/>
          <w:jc w:val="right"/>
        </w:trPr>
        <w:tc>
          <w:tcPr>
            <w:tcW w:w="4248" w:type="dxa"/>
            <w:noWrap/>
            <w:vAlign w:val="center"/>
          </w:tcPr>
          <w:p w:rsidR="00734F29" w:rsidRPr="0067300D" w:rsidRDefault="00734F29" w:rsidP="003511C2">
            <w:pPr>
              <w:rPr>
                <w:b/>
                <w:bCs/>
                <w:sz w:val="24"/>
                <w:szCs w:val="24"/>
              </w:rPr>
            </w:pPr>
            <w:r w:rsidRPr="0067300D">
              <w:rPr>
                <w:b/>
                <w:bCs/>
                <w:i/>
                <w:iCs/>
                <w:sz w:val="24"/>
                <w:szCs w:val="24"/>
              </w:rPr>
              <w:t>- vp</w:t>
            </w:r>
            <w:r w:rsidR="00B96EF0">
              <w:rPr>
                <w:b/>
                <w:bCs/>
                <w:i/>
                <w:iCs/>
                <w:sz w:val="24"/>
                <w:szCs w:val="24"/>
              </w:rPr>
              <w:t>lyv na ostatné subjekty ver.</w:t>
            </w:r>
            <w:r w:rsidRPr="0067300D">
              <w:rPr>
                <w:b/>
                <w:bCs/>
                <w:i/>
                <w:iCs/>
                <w:sz w:val="24"/>
                <w:szCs w:val="24"/>
              </w:rPr>
              <w:t xml:space="preserve"> správy</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70"/>
          <w:jc w:val="right"/>
        </w:trPr>
        <w:tc>
          <w:tcPr>
            <w:tcW w:w="4248" w:type="dxa"/>
            <w:shd w:val="clear" w:color="auto" w:fill="BFBFBF" w:themeFill="background1" w:themeFillShade="BF"/>
            <w:noWrap/>
            <w:vAlign w:val="center"/>
          </w:tcPr>
          <w:p w:rsidR="00734F29" w:rsidRPr="0067300D" w:rsidRDefault="00734F29" w:rsidP="003511C2">
            <w:pPr>
              <w:rPr>
                <w:b/>
                <w:bCs/>
                <w:sz w:val="24"/>
                <w:szCs w:val="24"/>
              </w:rPr>
            </w:pPr>
            <w:r w:rsidRPr="0067300D">
              <w:rPr>
                <w:b/>
                <w:bCs/>
                <w:sz w:val="24"/>
                <w:szCs w:val="24"/>
              </w:rPr>
              <w:t xml:space="preserve">Vplyv na počet zamestnancov </w:t>
            </w:r>
          </w:p>
        </w:tc>
        <w:tc>
          <w:tcPr>
            <w:tcW w:w="1276"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c>
          <w:tcPr>
            <w:tcW w:w="1417"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c>
          <w:tcPr>
            <w:tcW w:w="1418"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c>
          <w:tcPr>
            <w:tcW w:w="1416" w:type="dxa"/>
            <w:shd w:val="clear" w:color="auto" w:fill="BFBFBF" w:themeFill="background1" w:themeFillShade="BF"/>
            <w:noWrap/>
            <w:vAlign w:val="center"/>
          </w:tcPr>
          <w:p w:rsidR="00734F29" w:rsidRPr="0067300D" w:rsidRDefault="00734F29" w:rsidP="003511C2">
            <w:pPr>
              <w:jc w:val="right"/>
              <w:rPr>
                <w:b/>
                <w:bCs/>
                <w:sz w:val="24"/>
                <w:szCs w:val="24"/>
              </w:rPr>
            </w:pPr>
            <w:r w:rsidRPr="0067300D">
              <w:rPr>
                <w:b/>
                <w:bCs/>
                <w:sz w:val="24"/>
                <w:szCs w:val="24"/>
              </w:rPr>
              <w:t>0</w:t>
            </w:r>
          </w:p>
        </w:tc>
      </w:tr>
      <w:tr w:rsidR="00734F29" w:rsidRPr="0067300D" w:rsidTr="00B96EF0">
        <w:trPr>
          <w:trHeight w:val="70"/>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ŠR</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70"/>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obce</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70"/>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vyššie územné celky</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70"/>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xml:space="preserve">- vplyv </w:t>
            </w:r>
            <w:r w:rsidR="00B96EF0">
              <w:rPr>
                <w:b/>
                <w:bCs/>
                <w:i/>
                <w:iCs/>
                <w:sz w:val="24"/>
                <w:szCs w:val="24"/>
              </w:rPr>
              <w:t>na ostatné subjekty ver.</w:t>
            </w:r>
            <w:r w:rsidRPr="0067300D">
              <w:rPr>
                <w:b/>
                <w:bCs/>
                <w:i/>
                <w:iCs/>
                <w:sz w:val="24"/>
                <w:szCs w:val="24"/>
              </w:rPr>
              <w:t xml:space="preserve"> správy</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70"/>
          <w:jc w:val="right"/>
        </w:trPr>
        <w:tc>
          <w:tcPr>
            <w:tcW w:w="4248" w:type="dxa"/>
            <w:shd w:val="clear" w:color="auto" w:fill="BFBFBF" w:themeFill="background1" w:themeFillShade="BF"/>
            <w:noWrap/>
            <w:vAlign w:val="center"/>
          </w:tcPr>
          <w:p w:rsidR="00734F29" w:rsidRPr="0067300D" w:rsidRDefault="00734F29" w:rsidP="003511C2">
            <w:pPr>
              <w:rPr>
                <w:b/>
                <w:sz w:val="24"/>
                <w:szCs w:val="24"/>
              </w:rPr>
            </w:pPr>
            <w:r w:rsidRPr="0067300D">
              <w:rPr>
                <w:b/>
                <w:sz w:val="24"/>
                <w:szCs w:val="24"/>
              </w:rPr>
              <w:t>Vplyv na mzdové výdavky</w:t>
            </w:r>
          </w:p>
        </w:tc>
        <w:tc>
          <w:tcPr>
            <w:tcW w:w="1276" w:type="dxa"/>
            <w:shd w:val="clear" w:color="auto" w:fill="BFBFBF" w:themeFill="background1" w:themeFillShade="BF"/>
            <w:noWrap/>
            <w:vAlign w:val="center"/>
          </w:tcPr>
          <w:p w:rsidR="00734F29" w:rsidRPr="0067300D" w:rsidRDefault="00734F29" w:rsidP="003511C2">
            <w:pPr>
              <w:jc w:val="right"/>
              <w:rPr>
                <w:b/>
                <w:sz w:val="24"/>
                <w:szCs w:val="24"/>
              </w:rPr>
            </w:pPr>
            <w:r w:rsidRPr="0067300D">
              <w:rPr>
                <w:b/>
                <w:sz w:val="24"/>
                <w:szCs w:val="24"/>
              </w:rPr>
              <w:t>0</w:t>
            </w:r>
          </w:p>
        </w:tc>
        <w:tc>
          <w:tcPr>
            <w:tcW w:w="1417" w:type="dxa"/>
            <w:shd w:val="clear" w:color="auto" w:fill="BFBFBF" w:themeFill="background1" w:themeFillShade="BF"/>
            <w:noWrap/>
            <w:vAlign w:val="center"/>
          </w:tcPr>
          <w:p w:rsidR="00734F29" w:rsidRPr="0067300D" w:rsidRDefault="00734F29" w:rsidP="003511C2">
            <w:pPr>
              <w:jc w:val="right"/>
              <w:rPr>
                <w:b/>
                <w:sz w:val="24"/>
                <w:szCs w:val="24"/>
              </w:rPr>
            </w:pPr>
            <w:r w:rsidRPr="0067300D">
              <w:rPr>
                <w:b/>
                <w:sz w:val="24"/>
                <w:szCs w:val="24"/>
              </w:rPr>
              <w:t>0</w:t>
            </w:r>
          </w:p>
        </w:tc>
        <w:tc>
          <w:tcPr>
            <w:tcW w:w="1418" w:type="dxa"/>
            <w:shd w:val="clear" w:color="auto" w:fill="BFBFBF" w:themeFill="background1" w:themeFillShade="BF"/>
            <w:noWrap/>
            <w:vAlign w:val="center"/>
          </w:tcPr>
          <w:p w:rsidR="00734F29" w:rsidRPr="0067300D" w:rsidRDefault="00734F29" w:rsidP="003511C2">
            <w:pPr>
              <w:jc w:val="right"/>
              <w:rPr>
                <w:b/>
                <w:sz w:val="24"/>
                <w:szCs w:val="24"/>
              </w:rPr>
            </w:pPr>
            <w:r w:rsidRPr="0067300D">
              <w:rPr>
                <w:b/>
                <w:sz w:val="24"/>
                <w:szCs w:val="24"/>
              </w:rPr>
              <w:t>0</w:t>
            </w:r>
          </w:p>
        </w:tc>
        <w:tc>
          <w:tcPr>
            <w:tcW w:w="1416" w:type="dxa"/>
            <w:shd w:val="clear" w:color="auto" w:fill="BFBFBF" w:themeFill="background1" w:themeFillShade="BF"/>
            <w:noWrap/>
            <w:vAlign w:val="center"/>
          </w:tcPr>
          <w:p w:rsidR="00734F29" w:rsidRPr="0067300D" w:rsidRDefault="00734F29" w:rsidP="003511C2">
            <w:pPr>
              <w:jc w:val="right"/>
              <w:rPr>
                <w:b/>
                <w:sz w:val="24"/>
                <w:szCs w:val="24"/>
              </w:rPr>
            </w:pPr>
            <w:r w:rsidRPr="0067300D">
              <w:rPr>
                <w:b/>
                <w:sz w:val="24"/>
                <w:szCs w:val="24"/>
              </w:rPr>
              <w:t>0</w:t>
            </w:r>
          </w:p>
        </w:tc>
      </w:tr>
      <w:tr w:rsidR="00734F29" w:rsidRPr="0067300D" w:rsidTr="00B96EF0">
        <w:trPr>
          <w:trHeight w:val="70"/>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ŠR</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70"/>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obce</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70"/>
          <w:jc w:val="right"/>
        </w:trPr>
        <w:tc>
          <w:tcPr>
            <w:tcW w:w="4248" w:type="dxa"/>
            <w:noWrap/>
            <w:vAlign w:val="center"/>
          </w:tcPr>
          <w:p w:rsidR="00734F29" w:rsidRPr="0067300D" w:rsidRDefault="00734F29" w:rsidP="003511C2">
            <w:pPr>
              <w:rPr>
                <w:b/>
                <w:bCs/>
                <w:i/>
                <w:iCs/>
                <w:sz w:val="24"/>
                <w:szCs w:val="24"/>
              </w:rPr>
            </w:pPr>
            <w:r w:rsidRPr="0067300D">
              <w:rPr>
                <w:b/>
                <w:bCs/>
                <w:i/>
                <w:iCs/>
                <w:sz w:val="24"/>
                <w:szCs w:val="24"/>
              </w:rPr>
              <w:t>- vplyv na vyššie územné celky</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734F29" w:rsidRPr="0067300D" w:rsidTr="00B96EF0">
        <w:trPr>
          <w:trHeight w:val="70"/>
          <w:jc w:val="right"/>
        </w:trPr>
        <w:tc>
          <w:tcPr>
            <w:tcW w:w="4248" w:type="dxa"/>
            <w:noWrap/>
            <w:vAlign w:val="center"/>
          </w:tcPr>
          <w:p w:rsidR="00734F29" w:rsidRPr="0067300D" w:rsidRDefault="00734F29" w:rsidP="003511C2">
            <w:pPr>
              <w:rPr>
                <w:b/>
                <w:bCs/>
                <w:sz w:val="24"/>
                <w:szCs w:val="24"/>
              </w:rPr>
            </w:pPr>
            <w:r w:rsidRPr="0067300D">
              <w:rPr>
                <w:b/>
                <w:bCs/>
                <w:i/>
                <w:iCs/>
                <w:sz w:val="24"/>
                <w:szCs w:val="24"/>
              </w:rPr>
              <w:t>- vp</w:t>
            </w:r>
            <w:r w:rsidR="00B96EF0">
              <w:rPr>
                <w:b/>
                <w:bCs/>
                <w:i/>
                <w:iCs/>
                <w:sz w:val="24"/>
                <w:szCs w:val="24"/>
              </w:rPr>
              <w:t>lyv na ostatné subjekty ver.</w:t>
            </w:r>
            <w:r w:rsidRPr="0067300D">
              <w:rPr>
                <w:b/>
                <w:bCs/>
                <w:i/>
                <w:iCs/>
                <w:sz w:val="24"/>
                <w:szCs w:val="24"/>
              </w:rPr>
              <w:t xml:space="preserve"> správy</w:t>
            </w:r>
          </w:p>
        </w:tc>
        <w:tc>
          <w:tcPr>
            <w:tcW w:w="1276"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7"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8" w:type="dxa"/>
            <w:noWrap/>
            <w:vAlign w:val="center"/>
          </w:tcPr>
          <w:p w:rsidR="00734F29" w:rsidRPr="0067300D" w:rsidRDefault="00734F29" w:rsidP="003511C2">
            <w:pPr>
              <w:jc w:val="right"/>
              <w:rPr>
                <w:b/>
                <w:bCs/>
                <w:iCs/>
                <w:sz w:val="24"/>
                <w:szCs w:val="24"/>
              </w:rPr>
            </w:pPr>
            <w:r w:rsidRPr="0067300D">
              <w:rPr>
                <w:b/>
                <w:bCs/>
                <w:iCs/>
                <w:sz w:val="24"/>
                <w:szCs w:val="24"/>
              </w:rPr>
              <w:t>0</w:t>
            </w:r>
          </w:p>
        </w:tc>
        <w:tc>
          <w:tcPr>
            <w:tcW w:w="1416" w:type="dxa"/>
            <w:noWrap/>
            <w:vAlign w:val="center"/>
          </w:tcPr>
          <w:p w:rsidR="00734F29" w:rsidRPr="0067300D" w:rsidRDefault="00734F29" w:rsidP="003511C2">
            <w:pPr>
              <w:jc w:val="right"/>
              <w:rPr>
                <w:b/>
                <w:bCs/>
                <w:iCs/>
                <w:sz w:val="24"/>
                <w:szCs w:val="24"/>
              </w:rPr>
            </w:pPr>
            <w:r w:rsidRPr="0067300D">
              <w:rPr>
                <w:b/>
                <w:bCs/>
                <w:iCs/>
                <w:sz w:val="24"/>
                <w:szCs w:val="24"/>
              </w:rPr>
              <w:t>0</w:t>
            </w:r>
          </w:p>
        </w:tc>
      </w:tr>
      <w:tr w:rsidR="00FB7959" w:rsidRPr="0067300D" w:rsidTr="00B96EF0">
        <w:trPr>
          <w:trHeight w:val="70"/>
          <w:jc w:val="right"/>
        </w:trPr>
        <w:tc>
          <w:tcPr>
            <w:tcW w:w="4248" w:type="dxa"/>
            <w:shd w:val="clear" w:color="auto" w:fill="C0C0C0"/>
            <w:noWrap/>
            <w:vAlign w:val="center"/>
          </w:tcPr>
          <w:p w:rsidR="00FB7959" w:rsidRPr="0067300D" w:rsidRDefault="00FB7959" w:rsidP="00FB7959">
            <w:pPr>
              <w:rPr>
                <w:b/>
                <w:bCs/>
                <w:sz w:val="24"/>
                <w:szCs w:val="24"/>
              </w:rPr>
            </w:pPr>
            <w:r w:rsidRPr="0067300D">
              <w:rPr>
                <w:b/>
                <w:bCs/>
                <w:sz w:val="24"/>
                <w:szCs w:val="24"/>
              </w:rPr>
              <w:t>Financovanie zabezpečené v rozpočte</w:t>
            </w:r>
          </w:p>
        </w:tc>
        <w:tc>
          <w:tcPr>
            <w:tcW w:w="1276" w:type="dxa"/>
            <w:shd w:val="clear" w:color="auto" w:fill="C0C0C0"/>
            <w:noWrap/>
            <w:vAlign w:val="center"/>
          </w:tcPr>
          <w:p w:rsidR="00FB7959" w:rsidRPr="0067300D" w:rsidRDefault="00FB7959" w:rsidP="00FB7959">
            <w:pPr>
              <w:jc w:val="right"/>
              <w:rPr>
                <w:b/>
                <w:bCs/>
                <w:color w:val="000000" w:themeColor="text1"/>
                <w:sz w:val="24"/>
                <w:szCs w:val="24"/>
              </w:rPr>
            </w:pPr>
            <w:r w:rsidRPr="002D770A">
              <w:rPr>
                <w:b/>
                <w:bCs/>
                <w:sz w:val="24"/>
                <w:szCs w:val="24"/>
              </w:rPr>
              <w:t>1</w:t>
            </w:r>
            <w:r>
              <w:rPr>
                <w:b/>
                <w:bCs/>
                <w:sz w:val="24"/>
                <w:szCs w:val="24"/>
              </w:rPr>
              <w:t>6</w:t>
            </w:r>
            <w:r w:rsidRPr="002D770A">
              <w:rPr>
                <w:b/>
                <w:bCs/>
                <w:sz w:val="24"/>
                <w:szCs w:val="24"/>
              </w:rPr>
              <w:t xml:space="preserve"> </w:t>
            </w:r>
            <w:r>
              <w:rPr>
                <w:b/>
                <w:bCs/>
                <w:sz w:val="24"/>
                <w:szCs w:val="24"/>
              </w:rPr>
              <w:t>191</w:t>
            </w:r>
            <w:r w:rsidRPr="002D770A">
              <w:rPr>
                <w:b/>
                <w:bCs/>
                <w:sz w:val="24"/>
                <w:szCs w:val="24"/>
              </w:rPr>
              <w:t xml:space="preserve"> </w:t>
            </w:r>
            <w:r>
              <w:rPr>
                <w:b/>
                <w:bCs/>
                <w:sz w:val="24"/>
                <w:szCs w:val="24"/>
              </w:rPr>
              <w:t>740</w:t>
            </w:r>
          </w:p>
        </w:tc>
        <w:tc>
          <w:tcPr>
            <w:tcW w:w="1417" w:type="dxa"/>
            <w:shd w:val="clear" w:color="auto" w:fill="C0C0C0"/>
            <w:noWrap/>
            <w:vAlign w:val="center"/>
          </w:tcPr>
          <w:p w:rsidR="00FB7959" w:rsidRPr="00FB7959" w:rsidRDefault="00FB7959" w:rsidP="00FB7959">
            <w:pPr>
              <w:jc w:val="right"/>
              <w:rPr>
                <w:b/>
                <w:bCs/>
                <w:iCs/>
                <w:sz w:val="24"/>
                <w:szCs w:val="24"/>
              </w:rPr>
            </w:pPr>
            <w:r w:rsidRPr="00FB7959">
              <w:rPr>
                <w:b/>
                <w:bCs/>
                <w:iCs/>
                <w:sz w:val="24"/>
                <w:szCs w:val="24"/>
              </w:rPr>
              <w:t>293 204</w:t>
            </w:r>
          </w:p>
        </w:tc>
        <w:tc>
          <w:tcPr>
            <w:tcW w:w="1418" w:type="dxa"/>
            <w:shd w:val="clear" w:color="auto" w:fill="C0C0C0"/>
            <w:noWrap/>
            <w:vAlign w:val="center"/>
          </w:tcPr>
          <w:p w:rsidR="00FB7959" w:rsidRPr="00FB7959" w:rsidRDefault="00FB7959" w:rsidP="00FB7959">
            <w:pPr>
              <w:jc w:val="right"/>
              <w:rPr>
                <w:b/>
                <w:bCs/>
                <w:iCs/>
                <w:sz w:val="24"/>
                <w:szCs w:val="24"/>
              </w:rPr>
            </w:pPr>
            <w:r w:rsidRPr="00FB7959">
              <w:rPr>
                <w:b/>
                <w:bCs/>
                <w:iCs/>
                <w:sz w:val="24"/>
                <w:szCs w:val="24"/>
              </w:rPr>
              <w:t>293 204</w:t>
            </w:r>
          </w:p>
        </w:tc>
        <w:tc>
          <w:tcPr>
            <w:tcW w:w="1416" w:type="dxa"/>
            <w:shd w:val="clear" w:color="auto" w:fill="C0C0C0"/>
            <w:noWrap/>
            <w:vAlign w:val="center"/>
          </w:tcPr>
          <w:p w:rsidR="00FB7959" w:rsidRPr="00FB7959" w:rsidRDefault="00FB7959" w:rsidP="00FB7959">
            <w:pPr>
              <w:jc w:val="right"/>
              <w:rPr>
                <w:b/>
                <w:bCs/>
                <w:iCs/>
                <w:sz w:val="24"/>
                <w:szCs w:val="24"/>
              </w:rPr>
            </w:pPr>
            <w:r w:rsidRPr="00FB7959">
              <w:rPr>
                <w:b/>
                <w:bCs/>
                <w:iCs/>
                <w:sz w:val="24"/>
                <w:szCs w:val="24"/>
              </w:rPr>
              <w:t>293 204</w:t>
            </w:r>
          </w:p>
        </w:tc>
      </w:tr>
      <w:tr w:rsidR="00FB7959" w:rsidRPr="0067300D" w:rsidTr="00B96EF0">
        <w:trPr>
          <w:trHeight w:val="70"/>
          <w:jc w:val="right"/>
        </w:trPr>
        <w:tc>
          <w:tcPr>
            <w:tcW w:w="4248" w:type="dxa"/>
            <w:noWrap/>
            <w:vAlign w:val="center"/>
          </w:tcPr>
          <w:p w:rsidR="00FB7959" w:rsidRPr="0067300D" w:rsidRDefault="00FB7959" w:rsidP="00FB7959">
            <w:pPr>
              <w:rPr>
                <w:sz w:val="24"/>
                <w:szCs w:val="24"/>
              </w:rPr>
            </w:pPr>
            <w:r w:rsidRPr="0067300D">
              <w:rPr>
                <w:sz w:val="24"/>
                <w:szCs w:val="24"/>
              </w:rPr>
              <w:t xml:space="preserve">v tom: </w:t>
            </w:r>
          </w:p>
          <w:p w:rsidR="00FB7959" w:rsidRPr="002D770A" w:rsidRDefault="00FB7959" w:rsidP="00FB7959">
            <w:pPr>
              <w:pStyle w:val="Default"/>
              <w:rPr>
                <w:sz w:val="16"/>
                <w:szCs w:val="16"/>
              </w:rPr>
            </w:pPr>
            <w:r>
              <w:rPr>
                <w:i/>
                <w:iCs/>
                <w:sz w:val="16"/>
                <w:szCs w:val="16"/>
              </w:rPr>
              <w:t>kapitola MF SR/0EK 0D IT financované zo ŠR – MF SR (</w:t>
            </w:r>
            <w:proofErr w:type="spellStart"/>
            <w:r>
              <w:rPr>
                <w:i/>
                <w:iCs/>
                <w:sz w:val="16"/>
                <w:szCs w:val="16"/>
              </w:rPr>
              <w:t>org</w:t>
            </w:r>
            <w:proofErr w:type="spellEnd"/>
            <w:r>
              <w:rPr>
                <w:i/>
                <w:iCs/>
                <w:sz w:val="16"/>
                <w:szCs w:val="16"/>
              </w:rPr>
              <w:t xml:space="preserve">. MF SR – úrad) </w:t>
            </w:r>
          </w:p>
        </w:tc>
        <w:tc>
          <w:tcPr>
            <w:tcW w:w="1276" w:type="dxa"/>
            <w:noWrap/>
            <w:vAlign w:val="center"/>
          </w:tcPr>
          <w:p w:rsidR="00FB7959" w:rsidRPr="00FB7959" w:rsidRDefault="00FB7959" w:rsidP="00FB7959">
            <w:pPr>
              <w:jc w:val="right"/>
              <w:rPr>
                <w:sz w:val="24"/>
                <w:szCs w:val="24"/>
              </w:rPr>
            </w:pPr>
            <w:r w:rsidRPr="00FB7959">
              <w:rPr>
                <w:sz w:val="24"/>
                <w:szCs w:val="24"/>
              </w:rPr>
              <w:t>10 876 740</w:t>
            </w:r>
          </w:p>
        </w:tc>
        <w:tc>
          <w:tcPr>
            <w:tcW w:w="1417" w:type="dxa"/>
            <w:noWrap/>
            <w:vAlign w:val="center"/>
          </w:tcPr>
          <w:p w:rsidR="00FB7959" w:rsidRPr="00FB7959" w:rsidRDefault="00FB7959" w:rsidP="00FB7959">
            <w:pPr>
              <w:jc w:val="right"/>
              <w:rPr>
                <w:bCs/>
                <w:iCs/>
                <w:sz w:val="24"/>
                <w:szCs w:val="24"/>
              </w:rPr>
            </w:pPr>
            <w:r>
              <w:rPr>
                <w:bCs/>
                <w:iCs/>
                <w:sz w:val="24"/>
                <w:szCs w:val="24"/>
              </w:rPr>
              <w:t>0</w:t>
            </w:r>
          </w:p>
        </w:tc>
        <w:tc>
          <w:tcPr>
            <w:tcW w:w="1418" w:type="dxa"/>
            <w:noWrap/>
            <w:vAlign w:val="center"/>
          </w:tcPr>
          <w:p w:rsidR="00FB7959" w:rsidRPr="00FB7959" w:rsidRDefault="00FB7959" w:rsidP="00FB7959">
            <w:pPr>
              <w:jc w:val="right"/>
              <w:rPr>
                <w:bCs/>
                <w:iCs/>
                <w:sz w:val="24"/>
                <w:szCs w:val="24"/>
              </w:rPr>
            </w:pPr>
            <w:r>
              <w:rPr>
                <w:bCs/>
                <w:iCs/>
                <w:sz w:val="24"/>
                <w:szCs w:val="24"/>
              </w:rPr>
              <w:t>0</w:t>
            </w:r>
          </w:p>
        </w:tc>
        <w:tc>
          <w:tcPr>
            <w:tcW w:w="1416" w:type="dxa"/>
            <w:noWrap/>
            <w:vAlign w:val="center"/>
          </w:tcPr>
          <w:p w:rsidR="00FB7959" w:rsidRPr="00FB7959" w:rsidRDefault="00FB7959" w:rsidP="00FB7959">
            <w:pPr>
              <w:jc w:val="right"/>
              <w:rPr>
                <w:bCs/>
                <w:iCs/>
                <w:sz w:val="24"/>
                <w:szCs w:val="24"/>
              </w:rPr>
            </w:pPr>
            <w:r>
              <w:rPr>
                <w:bCs/>
                <w:iCs/>
                <w:sz w:val="24"/>
                <w:szCs w:val="24"/>
              </w:rPr>
              <w:t>0</w:t>
            </w:r>
          </w:p>
        </w:tc>
      </w:tr>
      <w:tr w:rsidR="00FB7959" w:rsidRPr="0067300D" w:rsidTr="00B96EF0">
        <w:trPr>
          <w:trHeight w:val="70"/>
          <w:jc w:val="right"/>
        </w:trPr>
        <w:tc>
          <w:tcPr>
            <w:tcW w:w="4248" w:type="dxa"/>
            <w:noWrap/>
            <w:vAlign w:val="center"/>
          </w:tcPr>
          <w:p w:rsidR="00FB7959" w:rsidRPr="002D770A" w:rsidRDefault="00FB7959" w:rsidP="00FB7959">
            <w:pPr>
              <w:pStyle w:val="Default"/>
              <w:rPr>
                <w:sz w:val="16"/>
                <w:szCs w:val="16"/>
              </w:rPr>
            </w:pPr>
            <w:r>
              <w:rPr>
                <w:i/>
                <w:iCs/>
                <w:sz w:val="16"/>
                <w:szCs w:val="16"/>
              </w:rPr>
              <w:t>kapitola MF SR/0EK 0D IT financované zo ŠR – MF SR (</w:t>
            </w:r>
            <w:proofErr w:type="spellStart"/>
            <w:r>
              <w:rPr>
                <w:i/>
                <w:iCs/>
                <w:sz w:val="16"/>
                <w:szCs w:val="16"/>
              </w:rPr>
              <w:t>org</w:t>
            </w:r>
            <w:proofErr w:type="spellEnd"/>
            <w:r>
              <w:rPr>
                <w:i/>
                <w:iCs/>
                <w:sz w:val="16"/>
                <w:szCs w:val="16"/>
              </w:rPr>
              <w:t xml:space="preserve">. FR SR) </w:t>
            </w:r>
          </w:p>
        </w:tc>
        <w:tc>
          <w:tcPr>
            <w:tcW w:w="1276" w:type="dxa"/>
            <w:noWrap/>
          </w:tcPr>
          <w:p w:rsidR="00FB7959" w:rsidRPr="00FB7959" w:rsidRDefault="00FB7959" w:rsidP="00FB7959">
            <w:pPr>
              <w:jc w:val="right"/>
              <w:rPr>
                <w:sz w:val="24"/>
                <w:szCs w:val="24"/>
              </w:rPr>
            </w:pPr>
            <w:r w:rsidRPr="00FB7959">
              <w:rPr>
                <w:sz w:val="24"/>
                <w:szCs w:val="24"/>
              </w:rPr>
              <w:t>5 315 000</w:t>
            </w:r>
          </w:p>
        </w:tc>
        <w:tc>
          <w:tcPr>
            <w:tcW w:w="1417" w:type="dxa"/>
            <w:noWrap/>
            <w:vAlign w:val="center"/>
          </w:tcPr>
          <w:p w:rsidR="00FB7959" w:rsidRPr="00FB7959" w:rsidRDefault="00FB7959" w:rsidP="00FB7959">
            <w:pPr>
              <w:jc w:val="right"/>
              <w:rPr>
                <w:bCs/>
                <w:iCs/>
                <w:sz w:val="24"/>
                <w:szCs w:val="24"/>
              </w:rPr>
            </w:pPr>
            <w:r w:rsidRPr="00FB7959">
              <w:rPr>
                <w:bCs/>
                <w:iCs/>
                <w:sz w:val="24"/>
                <w:szCs w:val="24"/>
              </w:rPr>
              <w:t>293 204</w:t>
            </w:r>
          </w:p>
        </w:tc>
        <w:tc>
          <w:tcPr>
            <w:tcW w:w="1418" w:type="dxa"/>
            <w:noWrap/>
            <w:vAlign w:val="center"/>
          </w:tcPr>
          <w:p w:rsidR="00FB7959" w:rsidRPr="00FB7959" w:rsidRDefault="00FB7959" w:rsidP="00FB7959">
            <w:pPr>
              <w:jc w:val="right"/>
              <w:rPr>
                <w:bCs/>
                <w:iCs/>
                <w:sz w:val="24"/>
                <w:szCs w:val="24"/>
              </w:rPr>
            </w:pPr>
            <w:r w:rsidRPr="00FB7959">
              <w:rPr>
                <w:bCs/>
                <w:iCs/>
                <w:sz w:val="24"/>
                <w:szCs w:val="24"/>
              </w:rPr>
              <w:t>293 204</w:t>
            </w:r>
          </w:p>
        </w:tc>
        <w:tc>
          <w:tcPr>
            <w:tcW w:w="1416" w:type="dxa"/>
            <w:noWrap/>
            <w:vAlign w:val="center"/>
          </w:tcPr>
          <w:p w:rsidR="00FB7959" w:rsidRPr="00FB7959" w:rsidRDefault="00FB7959" w:rsidP="00FB7959">
            <w:pPr>
              <w:jc w:val="right"/>
              <w:rPr>
                <w:bCs/>
                <w:iCs/>
                <w:sz w:val="24"/>
                <w:szCs w:val="24"/>
              </w:rPr>
            </w:pPr>
            <w:r w:rsidRPr="00FB7959">
              <w:rPr>
                <w:bCs/>
                <w:iCs/>
                <w:sz w:val="24"/>
                <w:szCs w:val="24"/>
              </w:rPr>
              <w:t>293 204</w:t>
            </w:r>
          </w:p>
        </w:tc>
      </w:tr>
      <w:tr w:rsidR="00FB7959" w:rsidRPr="0067300D" w:rsidTr="00B96EF0">
        <w:trPr>
          <w:trHeight w:val="70"/>
          <w:jc w:val="right"/>
        </w:trPr>
        <w:tc>
          <w:tcPr>
            <w:tcW w:w="4248" w:type="dxa"/>
            <w:shd w:val="clear" w:color="auto" w:fill="BFBFBF" w:themeFill="background1" w:themeFillShade="BF"/>
            <w:noWrap/>
            <w:vAlign w:val="center"/>
          </w:tcPr>
          <w:p w:rsidR="00FB7959" w:rsidRPr="0067300D" w:rsidRDefault="00FB7959" w:rsidP="00FB7959">
            <w:pPr>
              <w:rPr>
                <w:b/>
                <w:sz w:val="24"/>
                <w:szCs w:val="24"/>
              </w:rPr>
            </w:pPr>
            <w:r w:rsidRPr="0067300D">
              <w:rPr>
                <w:b/>
                <w:sz w:val="24"/>
                <w:szCs w:val="24"/>
              </w:rPr>
              <w:t>Iné ako rozpočtové zdroje</w:t>
            </w:r>
          </w:p>
        </w:tc>
        <w:tc>
          <w:tcPr>
            <w:tcW w:w="1276" w:type="dxa"/>
            <w:shd w:val="clear" w:color="auto" w:fill="BFBFBF" w:themeFill="background1" w:themeFillShade="BF"/>
            <w:noWrap/>
            <w:vAlign w:val="center"/>
          </w:tcPr>
          <w:p w:rsidR="00FB7959" w:rsidRPr="00FB7959" w:rsidRDefault="00FB7959" w:rsidP="00FB7959">
            <w:pPr>
              <w:jc w:val="right"/>
              <w:rPr>
                <w:b/>
                <w:bCs/>
                <w:sz w:val="24"/>
                <w:szCs w:val="24"/>
              </w:rPr>
            </w:pPr>
            <w:r w:rsidRPr="00FB7959">
              <w:rPr>
                <w:b/>
                <w:bCs/>
                <w:sz w:val="24"/>
                <w:szCs w:val="24"/>
              </w:rPr>
              <w:t>0</w:t>
            </w:r>
          </w:p>
        </w:tc>
        <w:tc>
          <w:tcPr>
            <w:tcW w:w="1417" w:type="dxa"/>
            <w:shd w:val="clear" w:color="auto" w:fill="BFBFBF" w:themeFill="background1" w:themeFillShade="BF"/>
            <w:noWrap/>
            <w:vAlign w:val="center"/>
          </w:tcPr>
          <w:p w:rsidR="00FB7959" w:rsidRPr="00FB7959" w:rsidRDefault="00FB7959" w:rsidP="00FB7959">
            <w:pPr>
              <w:jc w:val="right"/>
              <w:rPr>
                <w:b/>
                <w:bCs/>
                <w:sz w:val="24"/>
                <w:szCs w:val="24"/>
              </w:rPr>
            </w:pPr>
            <w:r w:rsidRPr="00FB7959">
              <w:rPr>
                <w:b/>
                <w:bCs/>
                <w:sz w:val="24"/>
                <w:szCs w:val="24"/>
              </w:rPr>
              <w:t>0</w:t>
            </w:r>
          </w:p>
        </w:tc>
        <w:tc>
          <w:tcPr>
            <w:tcW w:w="1418" w:type="dxa"/>
            <w:shd w:val="clear" w:color="auto" w:fill="BFBFBF" w:themeFill="background1" w:themeFillShade="BF"/>
            <w:noWrap/>
            <w:vAlign w:val="center"/>
          </w:tcPr>
          <w:p w:rsidR="00FB7959" w:rsidRPr="00FB7959" w:rsidRDefault="00FB7959" w:rsidP="00FB7959">
            <w:pPr>
              <w:jc w:val="right"/>
              <w:rPr>
                <w:b/>
                <w:bCs/>
                <w:sz w:val="24"/>
                <w:szCs w:val="24"/>
              </w:rPr>
            </w:pPr>
            <w:r w:rsidRPr="00FB7959">
              <w:rPr>
                <w:b/>
                <w:bCs/>
                <w:sz w:val="24"/>
                <w:szCs w:val="24"/>
              </w:rPr>
              <w:t>0</w:t>
            </w:r>
          </w:p>
        </w:tc>
        <w:tc>
          <w:tcPr>
            <w:tcW w:w="1416" w:type="dxa"/>
            <w:shd w:val="clear" w:color="auto" w:fill="BFBFBF" w:themeFill="background1" w:themeFillShade="BF"/>
            <w:noWrap/>
            <w:vAlign w:val="center"/>
          </w:tcPr>
          <w:p w:rsidR="00FB7959" w:rsidRPr="00FB7959" w:rsidRDefault="00FB7959" w:rsidP="00FB7959">
            <w:pPr>
              <w:jc w:val="right"/>
              <w:rPr>
                <w:b/>
                <w:bCs/>
                <w:sz w:val="24"/>
                <w:szCs w:val="24"/>
              </w:rPr>
            </w:pPr>
            <w:r w:rsidRPr="00FB7959">
              <w:rPr>
                <w:b/>
                <w:bCs/>
                <w:sz w:val="24"/>
                <w:szCs w:val="24"/>
              </w:rPr>
              <w:t>0</w:t>
            </w:r>
          </w:p>
        </w:tc>
      </w:tr>
      <w:tr w:rsidR="00FB7959" w:rsidRPr="0067300D" w:rsidTr="00B96EF0">
        <w:trPr>
          <w:trHeight w:val="70"/>
          <w:jc w:val="right"/>
        </w:trPr>
        <w:tc>
          <w:tcPr>
            <w:tcW w:w="4248" w:type="dxa"/>
            <w:shd w:val="clear" w:color="auto" w:fill="A6A6A6" w:themeFill="background1" w:themeFillShade="A6"/>
            <w:noWrap/>
            <w:vAlign w:val="center"/>
          </w:tcPr>
          <w:p w:rsidR="00FB7959" w:rsidRPr="0067300D" w:rsidRDefault="00FB7959" w:rsidP="00FB7959">
            <w:pPr>
              <w:rPr>
                <w:b/>
                <w:bCs/>
                <w:sz w:val="24"/>
                <w:szCs w:val="24"/>
              </w:rPr>
            </w:pPr>
            <w:r w:rsidRPr="0067300D">
              <w:rPr>
                <w:b/>
                <w:bCs/>
                <w:sz w:val="24"/>
                <w:szCs w:val="24"/>
              </w:rPr>
              <w:t>Rozpočtovo nekrytý vplyv / úspora</w:t>
            </w:r>
          </w:p>
        </w:tc>
        <w:tc>
          <w:tcPr>
            <w:tcW w:w="1276" w:type="dxa"/>
            <w:shd w:val="clear" w:color="auto" w:fill="A6A6A6" w:themeFill="background1" w:themeFillShade="A6"/>
            <w:noWrap/>
            <w:vAlign w:val="center"/>
          </w:tcPr>
          <w:p w:rsidR="00FB7959" w:rsidRPr="00FB7959" w:rsidRDefault="00FB7959" w:rsidP="00FB7959">
            <w:pPr>
              <w:jc w:val="right"/>
              <w:rPr>
                <w:b/>
                <w:bCs/>
                <w:sz w:val="24"/>
                <w:szCs w:val="24"/>
              </w:rPr>
            </w:pPr>
            <w:r w:rsidRPr="00FB7959">
              <w:rPr>
                <w:b/>
                <w:bCs/>
                <w:sz w:val="24"/>
                <w:szCs w:val="24"/>
              </w:rPr>
              <w:t>0</w:t>
            </w:r>
          </w:p>
        </w:tc>
        <w:tc>
          <w:tcPr>
            <w:tcW w:w="1417" w:type="dxa"/>
            <w:shd w:val="clear" w:color="auto" w:fill="A6A6A6" w:themeFill="background1" w:themeFillShade="A6"/>
            <w:noWrap/>
            <w:vAlign w:val="center"/>
          </w:tcPr>
          <w:p w:rsidR="00FB7959" w:rsidRPr="00FB7959" w:rsidRDefault="00FB7959" w:rsidP="00FB7959">
            <w:pPr>
              <w:jc w:val="right"/>
              <w:rPr>
                <w:b/>
                <w:bCs/>
                <w:sz w:val="24"/>
                <w:szCs w:val="24"/>
              </w:rPr>
            </w:pPr>
            <w:r w:rsidRPr="00FB7959">
              <w:rPr>
                <w:b/>
                <w:bCs/>
                <w:sz w:val="24"/>
                <w:szCs w:val="24"/>
              </w:rPr>
              <w:t>0</w:t>
            </w:r>
          </w:p>
        </w:tc>
        <w:tc>
          <w:tcPr>
            <w:tcW w:w="1418" w:type="dxa"/>
            <w:shd w:val="clear" w:color="auto" w:fill="A6A6A6" w:themeFill="background1" w:themeFillShade="A6"/>
            <w:noWrap/>
            <w:vAlign w:val="center"/>
          </w:tcPr>
          <w:p w:rsidR="00FB7959" w:rsidRPr="00FB7959" w:rsidRDefault="00FB7959" w:rsidP="00FB7959">
            <w:pPr>
              <w:jc w:val="right"/>
              <w:rPr>
                <w:b/>
                <w:bCs/>
                <w:sz w:val="24"/>
                <w:szCs w:val="24"/>
              </w:rPr>
            </w:pPr>
            <w:r w:rsidRPr="00FB7959">
              <w:rPr>
                <w:b/>
                <w:bCs/>
                <w:sz w:val="24"/>
                <w:szCs w:val="24"/>
              </w:rPr>
              <w:t>0</w:t>
            </w:r>
          </w:p>
        </w:tc>
        <w:tc>
          <w:tcPr>
            <w:tcW w:w="1416" w:type="dxa"/>
            <w:shd w:val="clear" w:color="auto" w:fill="A6A6A6" w:themeFill="background1" w:themeFillShade="A6"/>
            <w:noWrap/>
            <w:vAlign w:val="center"/>
          </w:tcPr>
          <w:p w:rsidR="00FB7959" w:rsidRPr="00FB7959" w:rsidRDefault="00FB7959" w:rsidP="00FB7959">
            <w:pPr>
              <w:jc w:val="right"/>
              <w:rPr>
                <w:b/>
                <w:bCs/>
                <w:sz w:val="24"/>
                <w:szCs w:val="24"/>
              </w:rPr>
            </w:pPr>
            <w:r w:rsidRPr="00FB7959">
              <w:rPr>
                <w:b/>
                <w:bCs/>
                <w:sz w:val="24"/>
                <w:szCs w:val="24"/>
              </w:rPr>
              <w:t>0</w:t>
            </w:r>
          </w:p>
        </w:tc>
      </w:tr>
      <w:bookmarkEnd w:id="0"/>
    </w:tbl>
    <w:p w:rsidR="00734F29" w:rsidRPr="0067300D" w:rsidRDefault="00734F29" w:rsidP="00734F29">
      <w:pPr>
        <w:jc w:val="both"/>
        <w:rPr>
          <w:b/>
          <w:bCs/>
          <w:sz w:val="24"/>
          <w:szCs w:val="24"/>
        </w:rPr>
      </w:pPr>
    </w:p>
    <w:p w:rsidR="00734F29" w:rsidRPr="0067300D" w:rsidRDefault="00734F29" w:rsidP="00734F29">
      <w:pPr>
        <w:jc w:val="both"/>
        <w:rPr>
          <w:b/>
          <w:bCs/>
          <w:sz w:val="24"/>
          <w:szCs w:val="24"/>
        </w:rPr>
      </w:pPr>
    </w:p>
    <w:p w:rsidR="00734F29" w:rsidRDefault="00734F29" w:rsidP="00734F29">
      <w:pPr>
        <w:jc w:val="both"/>
        <w:rPr>
          <w:b/>
          <w:bCs/>
          <w:sz w:val="24"/>
          <w:szCs w:val="24"/>
        </w:rPr>
      </w:pPr>
    </w:p>
    <w:p w:rsidR="003137BA" w:rsidRPr="0067300D" w:rsidRDefault="003137BA" w:rsidP="00734F29">
      <w:pPr>
        <w:jc w:val="both"/>
        <w:rPr>
          <w:b/>
          <w:bCs/>
          <w:sz w:val="24"/>
          <w:szCs w:val="24"/>
        </w:rPr>
      </w:pPr>
    </w:p>
    <w:p w:rsidR="00734F29" w:rsidRPr="0067300D" w:rsidRDefault="00734F29" w:rsidP="00734F29">
      <w:pPr>
        <w:jc w:val="both"/>
        <w:rPr>
          <w:b/>
          <w:bCs/>
          <w:sz w:val="24"/>
          <w:szCs w:val="24"/>
        </w:rPr>
      </w:pPr>
      <w:r w:rsidRPr="0067300D">
        <w:rPr>
          <w:b/>
          <w:bCs/>
          <w:sz w:val="24"/>
          <w:szCs w:val="24"/>
        </w:rPr>
        <w:t>2.1.1. Financovanie návrhu - Návrh na riešenie úbytku príjmov alebo zvýšených výdavkov podľa § 33 ods. 1 zákona č. 523/2004 Z. z. o rozpočtových pravidlách verejnej správy:</w:t>
      </w:r>
    </w:p>
    <w:p w:rsidR="00734F29" w:rsidRPr="0067300D" w:rsidRDefault="00734F29" w:rsidP="00734F29">
      <w:pPr>
        <w:jc w:val="both"/>
        <w:rPr>
          <w:sz w:val="24"/>
          <w:szCs w:val="24"/>
        </w:rPr>
      </w:pPr>
    </w:p>
    <w:p w:rsidR="0016396C" w:rsidRPr="00DC3F8B" w:rsidRDefault="00FB7959" w:rsidP="00734F29">
      <w:pPr>
        <w:pBdr>
          <w:top w:val="single" w:sz="4" w:space="1" w:color="auto"/>
          <w:left w:val="single" w:sz="4" w:space="4" w:color="auto"/>
          <w:bottom w:val="single" w:sz="4" w:space="0" w:color="auto"/>
          <w:right w:val="single" w:sz="4" w:space="4" w:color="auto"/>
        </w:pBdr>
        <w:jc w:val="both"/>
        <w:rPr>
          <w:sz w:val="24"/>
          <w:szCs w:val="24"/>
        </w:rPr>
      </w:pPr>
      <w:r w:rsidRPr="00DC3F8B">
        <w:rPr>
          <w:sz w:val="24"/>
          <w:szCs w:val="24"/>
        </w:rPr>
        <w:t>Financovanie predmetných výdavkov bude zabezpečené v rámci limitov rozpočtu verejnej správy na príslušné rozpočtové roky.</w:t>
      </w:r>
    </w:p>
    <w:p w:rsidR="00FB7959" w:rsidRPr="00AF4916" w:rsidRDefault="00FB7959" w:rsidP="00734F29">
      <w:pPr>
        <w:pBdr>
          <w:top w:val="single" w:sz="4" w:space="1" w:color="auto"/>
          <w:left w:val="single" w:sz="4" w:space="4" w:color="auto"/>
          <w:bottom w:val="single" w:sz="4" w:space="0" w:color="auto"/>
          <w:right w:val="single" w:sz="4" w:space="4" w:color="auto"/>
        </w:pBdr>
        <w:jc w:val="both"/>
        <w:rPr>
          <w:bCs/>
          <w:color w:val="7030A0"/>
          <w:sz w:val="24"/>
          <w:szCs w:val="24"/>
        </w:rPr>
      </w:pPr>
    </w:p>
    <w:p w:rsidR="00734F29" w:rsidRPr="0067300D" w:rsidRDefault="00734F29" w:rsidP="00734F29">
      <w:pPr>
        <w:rPr>
          <w:b/>
          <w:bCs/>
          <w:sz w:val="24"/>
          <w:szCs w:val="24"/>
        </w:rPr>
      </w:pPr>
    </w:p>
    <w:p w:rsidR="00734F29" w:rsidRPr="0067300D" w:rsidRDefault="00734F29" w:rsidP="00734F29">
      <w:pPr>
        <w:rPr>
          <w:b/>
          <w:bCs/>
          <w:sz w:val="24"/>
          <w:szCs w:val="24"/>
        </w:rPr>
      </w:pPr>
      <w:r w:rsidRPr="0067300D">
        <w:rPr>
          <w:b/>
          <w:bCs/>
          <w:sz w:val="24"/>
          <w:szCs w:val="24"/>
        </w:rPr>
        <w:t>2.2. Popis a charakteristika návrhu</w:t>
      </w:r>
    </w:p>
    <w:p w:rsidR="00734F29" w:rsidRPr="0067300D" w:rsidRDefault="00734F29" w:rsidP="00734F29">
      <w:pPr>
        <w:rPr>
          <w:sz w:val="24"/>
          <w:szCs w:val="24"/>
        </w:rPr>
      </w:pPr>
    </w:p>
    <w:p w:rsidR="00734F29" w:rsidRPr="0067300D" w:rsidRDefault="00734F29" w:rsidP="00734F29">
      <w:pPr>
        <w:jc w:val="both"/>
        <w:rPr>
          <w:b/>
          <w:bCs/>
          <w:sz w:val="24"/>
          <w:szCs w:val="24"/>
        </w:rPr>
      </w:pPr>
      <w:r w:rsidRPr="0067300D">
        <w:rPr>
          <w:b/>
          <w:bCs/>
          <w:sz w:val="24"/>
          <w:szCs w:val="24"/>
        </w:rPr>
        <w:t>2.2.1. Popis návrhu:</w:t>
      </w:r>
    </w:p>
    <w:p w:rsidR="00734F29" w:rsidRPr="0067300D" w:rsidRDefault="00734F29" w:rsidP="00D8768C">
      <w:pPr>
        <w:jc w:val="both"/>
        <w:rPr>
          <w:rStyle w:val="Zstupntext"/>
          <w:color w:val="000000"/>
          <w:sz w:val="24"/>
          <w:szCs w:val="24"/>
        </w:rPr>
      </w:pPr>
      <w:r w:rsidRPr="0067300D">
        <w:rPr>
          <w:rStyle w:val="Zstupntext"/>
          <w:color w:val="000000"/>
          <w:sz w:val="24"/>
          <w:szCs w:val="24"/>
        </w:rPr>
        <w:t>Novela zákona o dani z pridanej hodnoty</w:t>
      </w:r>
      <w:r w:rsidRPr="0067300D">
        <w:rPr>
          <w:sz w:val="24"/>
          <w:szCs w:val="24"/>
        </w:rPr>
        <w:t xml:space="preserve"> preberá do zákona č. 222/2004 Z. z. o dani z pridanej hodnoty v znení neskorších predpisov smernice Rady Európskej únie</w:t>
      </w:r>
      <w:r w:rsidR="006338E7">
        <w:rPr>
          <w:sz w:val="24"/>
          <w:szCs w:val="24"/>
        </w:rPr>
        <w:t xml:space="preserve"> a reaguje na judikatúru Súdneho dvora EÚ týkajúcu sa opravy základu dane</w:t>
      </w:r>
      <w:r w:rsidRPr="0067300D">
        <w:rPr>
          <w:rStyle w:val="Zstupntext"/>
          <w:color w:val="000000"/>
          <w:sz w:val="24"/>
          <w:szCs w:val="24"/>
        </w:rPr>
        <w:t>.</w:t>
      </w:r>
    </w:p>
    <w:p w:rsidR="00734F29" w:rsidRPr="0067300D" w:rsidRDefault="00734F29" w:rsidP="00D8768C">
      <w:pPr>
        <w:jc w:val="both"/>
        <w:rPr>
          <w:rStyle w:val="Zstupntext"/>
          <w:color w:val="000000"/>
          <w:sz w:val="24"/>
          <w:szCs w:val="24"/>
        </w:rPr>
      </w:pPr>
      <w:r w:rsidRPr="0067300D">
        <w:rPr>
          <w:rStyle w:val="Zstupntext"/>
          <w:color w:val="000000"/>
          <w:sz w:val="24"/>
          <w:szCs w:val="24"/>
        </w:rPr>
        <w:t>Navrhované úpravy:</w:t>
      </w:r>
    </w:p>
    <w:p w:rsidR="00734F29" w:rsidRPr="00A07EDD" w:rsidRDefault="00EB3DF7" w:rsidP="00EB3DF7">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AF6CCB" w:rsidRPr="00A07EDD">
        <w:rPr>
          <w:rFonts w:ascii="Times New Roman" w:hAnsi="Times New Roman"/>
          <w:sz w:val="24"/>
          <w:szCs w:val="24"/>
        </w:rPr>
        <w:t xml:space="preserve">transpozícia článkov 2 a 3 smernice </w:t>
      </w:r>
      <w:r w:rsidR="00AF6CCB" w:rsidRPr="00A07EDD">
        <w:rPr>
          <w:rStyle w:val="Zstupntext"/>
          <w:color w:val="000000"/>
          <w:sz w:val="24"/>
          <w:szCs w:val="24"/>
        </w:rPr>
        <w:t>Rady (EÚ) 2017/2455 z 5. decembra 2017, ktorou sa mení smernica 2006/112/ES a smernica 2009/132/ES, pokiaľ ide o určité povinnosti týkajúce sa dane z pridanej hodnoty pri poskytovaní služieb a predaji tovaru na diaľku</w:t>
      </w:r>
      <w:r w:rsidR="00734F29" w:rsidRPr="00A07EDD">
        <w:rPr>
          <w:rFonts w:ascii="Times New Roman" w:hAnsi="Times New Roman"/>
          <w:sz w:val="24"/>
          <w:szCs w:val="24"/>
        </w:rPr>
        <w:t>,</w:t>
      </w:r>
    </w:p>
    <w:p w:rsidR="00734F29" w:rsidRPr="00A07EDD" w:rsidRDefault="00EB3DF7" w:rsidP="00EB3DF7">
      <w:pPr>
        <w:pStyle w:val="Odsekzoznamu"/>
        <w:spacing w:after="0" w:line="240" w:lineRule="auto"/>
        <w:ind w:left="0"/>
        <w:jc w:val="both"/>
        <w:rPr>
          <w:rFonts w:ascii="Times New Roman" w:hAnsi="Times New Roman"/>
          <w:sz w:val="24"/>
          <w:szCs w:val="24"/>
          <w:lang w:eastAsia="sk-SK"/>
        </w:rPr>
      </w:pPr>
      <w:r>
        <w:rPr>
          <w:rFonts w:ascii="Times New Roman" w:hAnsi="Times New Roman"/>
          <w:sz w:val="24"/>
          <w:szCs w:val="24"/>
          <w:lang w:eastAsia="sk-SK"/>
        </w:rPr>
        <w:t xml:space="preserve">- </w:t>
      </w:r>
      <w:r w:rsidR="00734F29" w:rsidRPr="00A07EDD">
        <w:rPr>
          <w:rFonts w:ascii="Times New Roman" w:hAnsi="Times New Roman"/>
          <w:sz w:val="24"/>
          <w:szCs w:val="24"/>
          <w:lang w:eastAsia="sk-SK"/>
        </w:rPr>
        <w:t xml:space="preserve">transpozícia </w:t>
      </w:r>
      <w:r w:rsidR="00A07EDD" w:rsidRPr="00A07EDD">
        <w:rPr>
          <w:rStyle w:val="Zstupntext"/>
          <w:color w:val="000000"/>
          <w:sz w:val="24"/>
          <w:szCs w:val="24"/>
        </w:rPr>
        <w:t>smernice Rady (EÚ) 2019/1995 z 21. novembra 2019, ktorou sa mení smernica 2006/112/ES, pokiaľ ide o ustanovenia týkajúce sa predaja tovaru na diaľku a určitých domácich dodaní tovaru</w:t>
      </w:r>
      <w:r w:rsidR="00734F29" w:rsidRPr="00A07EDD">
        <w:rPr>
          <w:rFonts w:ascii="Times New Roman" w:hAnsi="Times New Roman"/>
          <w:sz w:val="24"/>
          <w:szCs w:val="24"/>
        </w:rPr>
        <w:t>,</w:t>
      </w:r>
    </w:p>
    <w:p w:rsidR="00A07EDD" w:rsidRPr="005F3884" w:rsidRDefault="00EB3DF7" w:rsidP="00EB3DF7">
      <w:pPr>
        <w:pStyle w:val="Odsekzoznamu"/>
        <w:spacing w:after="0" w:line="240" w:lineRule="auto"/>
        <w:ind w:left="0"/>
        <w:jc w:val="both"/>
        <w:rPr>
          <w:rFonts w:ascii="Times New Roman" w:hAnsi="Times New Roman"/>
          <w:sz w:val="24"/>
          <w:szCs w:val="24"/>
          <w:lang w:eastAsia="sk-SK"/>
        </w:rPr>
      </w:pPr>
      <w:r>
        <w:rPr>
          <w:rFonts w:ascii="Times New Roman" w:hAnsi="Times New Roman"/>
          <w:sz w:val="24"/>
          <w:szCs w:val="24"/>
        </w:rPr>
        <w:t xml:space="preserve">- </w:t>
      </w:r>
      <w:r w:rsidR="00A07EDD" w:rsidRPr="00A07EDD">
        <w:rPr>
          <w:rFonts w:ascii="Times New Roman" w:hAnsi="Times New Roman"/>
          <w:sz w:val="24"/>
          <w:szCs w:val="24"/>
        </w:rPr>
        <w:t>transpozícia č</w:t>
      </w:r>
      <w:r w:rsidR="00A07EDD" w:rsidRPr="00A07EDD">
        <w:rPr>
          <w:rFonts w:ascii="Times New Roman" w:hAnsi="Times New Roman"/>
          <w:color w:val="000000"/>
          <w:sz w:val="24"/>
          <w:szCs w:val="24"/>
        </w:rPr>
        <w:t>lánku 90 smernice Rady 2006/112/ES o spoločnom systéme dane z pridanej hodnoty v platnom znení.</w:t>
      </w:r>
    </w:p>
    <w:p w:rsidR="005F3884" w:rsidRPr="00A07EDD" w:rsidRDefault="005F3884" w:rsidP="00D8768C">
      <w:pPr>
        <w:pStyle w:val="Odsekzoznamu"/>
        <w:spacing w:after="0" w:line="240" w:lineRule="auto"/>
        <w:ind w:left="0"/>
        <w:jc w:val="both"/>
        <w:rPr>
          <w:rFonts w:ascii="Times New Roman" w:hAnsi="Times New Roman"/>
          <w:sz w:val="24"/>
          <w:szCs w:val="24"/>
          <w:lang w:eastAsia="sk-SK"/>
        </w:rPr>
      </w:pPr>
    </w:p>
    <w:p w:rsidR="0059561B" w:rsidRDefault="00A07EDD" w:rsidP="00D8768C">
      <w:pPr>
        <w:jc w:val="both"/>
        <w:rPr>
          <w:sz w:val="24"/>
          <w:szCs w:val="24"/>
        </w:rPr>
      </w:pPr>
      <w:r w:rsidRPr="005F3884">
        <w:rPr>
          <w:sz w:val="24"/>
          <w:szCs w:val="24"/>
        </w:rPr>
        <w:t xml:space="preserve">Transpozíciou článkov 2 a 3 smernice </w:t>
      </w:r>
      <w:r w:rsidRPr="005F3884">
        <w:rPr>
          <w:rStyle w:val="Zstupntext"/>
          <w:color w:val="000000"/>
          <w:sz w:val="24"/>
          <w:szCs w:val="24"/>
        </w:rPr>
        <w:t>Rady (EÚ) 2017/2455 a smernice Rady (EÚ) 2019/1995</w:t>
      </w:r>
      <w:r w:rsidRPr="005F3884">
        <w:rPr>
          <w:sz w:val="24"/>
          <w:szCs w:val="24"/>
        </w:rPr>
        <w:t>, sa zavádzajú osobi</w:t>
      </w:r>
      <w:r w:rsidR="005F3884" w:rsidRPr="005F3884">
        <w:rPr>
          <w:sz w:val="24"/>
          <w:szCs w:val="24"/>
        </w:rPr>
        <w:t>tné úpravy pri dodaní služieb</w:t>
      </w:r>
      <w:r w:rsidRPr="005F3884">
        <w:rPr>
          <w:sz w:val="24"/>
          <w:szCs w:val="24"/>
        </w:rPr>
        <w:t>, predaji tovaru na diaľku a predaji tovaru prostredníctvom zdaniteľnej osoby, ktorá uľahčuje dodanie tovaru</w:t>
      </w:r>
      <w:r w:rsidR="005F3884" w:rsidRPr="005F3884">
        <w:rPr>
          <w:sz w:val="24"/>
          <w:szCs w:val="24"/>
        </w:rPr>
        <w:t xml:space="preserve">. </w:t>
      </w:r>
    </w:p>
    <w:p w:rsidR="00734F29" w:rsidRDefault="005F3884" w:rsidP="00D8768C">
      <w:pPr>
        <w:jc w:val="both"/>
        <w:rPr>
          <w:sz w:val="24"/>
          <w:szCs w:val="24"/>
        </w:rPr>
      </w:pPr>
      <w:r w:rsidRPr="005F3884">
        <w:rPr>
          <w:sz w:val="24"/>
          <w:szCs w:val="24"/>
        </w:rPr>
        <w:t xml:space="preserve">Predaj tovaru na diaľku dodávaného z jedného členského štátu do druhého, ako aj z tretích území alebo tretích krajín </w:t>
      </w:r>
      <w:r w:rsidR="0059561B">
        <w:rPr>
          <w:sz w:val="24"/>
          <w:szCs w:val="24"/>
        </w:rPr>
        <w:t>na územie Európskej únie</w:t>
      </w:r>
      <w:r w:rsidRPr="005F3884">
        <w:rPr>
          <w:sz w:val="24"/>
          <w:szCs w:val="24"/>
        </w:rPr>
        <w:t>, sa z výraznej časti uľahčuje prostredníctvom použitia elektronických rozhraní, ako sú trhoviská, platformy, portály a</w:t>
      </w:r>
      <w:r w:rsidR="00091DF6">
        <w:rPr>
          <w:sz w:val="24"/>
          <w:szCs w:val="24"/>
        </w:rPr>
        <w:t> iné elektronické prostriedky</w:t>
      </w:r>
      <w:r w:rsidRPr="005F3884">
        <w:rPr>
          <w:sz w:val="24"/>
          <w:szCs w:val="24"/>
        </w:rPr>
        <w:t>. Hoci členské štáty môžu stanoviť, že za platbu DPH je v takýchto prípadoch spoločne a nerozdielne zodpovedná iná osoba ako osoba povinná platiť DPH, ukázalo sa, že tento postup je na zabezpečenie účinného a efektívneho výberu DPH nedostatočný. Na dosiahnutie uvedeného cieľa a</w:t>
      </w:r>
      <w:r w:rsidR="00091DF6">
        <w:rPr>
          <w:sz w:val="24"/>
          <w:szCs w:val="24"/>
        </w:rPr>
        <w:t xml:space="preserve">ko aj kvôli </w:t>
      </w:r>
      <w:r w:rsidRPr="005F3884">
        <w:rPr>
          <w:sz w:val="24"/>
          <w:szCs w:val="24"/>
        </w:rPr>
        <w:t>zníž</w:t>
      </w:r>
      <w:r w:rsidR="00091DF6">
        <w:rPr>
          <w:sz w:val="24"/>
          <w:szCs w:val="24"/>
        </w:rPr>
        <w:t>eniu</w:t>
      </w:r>
      <w:r w:rsidRPr="005F3884">
        <w:rPr>
          <w:sz w:val="24"/>
          <w:szCs w:val="24"/>
        </w:rPr>
        <w:t xml:space="preserve"> administratívneho zaťaž</w:t>
      </w:r>
      <w:r w:rsidR="00091DF6">
        <w:rPr>
          <w:sz w:val="24"/>
          <w:szCs w:val="24"/>
        </w:rPr>
        <w:t>enia predajcov</w:t>
      </w:r>
      <w:r w:rsidRPr="005F3884">
        <w:rPr>
          <w:sz w:val="24"/>
          <w:szCs w:val="24"/>
        </w:rPr>
        <w:t xml:space="preserve"> a spotrebiteľ</w:t>
      </w:r>
      <w:r w:rsidR="00091DF6">
        <w:rPr>
          <w:sz w:val="24"/>
          <w:szCs w:val="24"/>
        </w:rPr>
        <w:t xml:space="preserve">ov je </w:t>
      </w:r>
      <w:r w:rsidRPr="005F3884">
        <w:rPr>
          <w:sz w:val="24"/>
          <w:szCs w:val="24"/>
        </w:rPr>
        <w:t>nevyhnutné zapojiť zdaniteľné osoby, ktoré uľahčujú predaj tovaru na diaľku prostredníctvom použitia takéhoto elektronického rozhrania, do výberu DPH z takéhoto predaja.</w:t>
      </w:r>
    </w:p>
    <w:p w:rsidR="0007657A" w:rsidRDefault="0007657A" w:rsidP="00D8768C">
      <w:pPr>
        <w:jc w:val="both"/>
        <w:rPr>
          <w:sz w:val="24"/>
          <w:szCs w:val="24"/>
        </w:rPr>
      </w:pPr>
      <w:r>
        <w:rPr>
          <w:sz w:val="24"/>
          <w:szCs w:val="24"/>
        </w:rPr>
        <w:t xml:space="preserve">Transpozícia </w:t>
      </w:r>
      <w:r w:rsidRPr="00A07EDD">
        <w:rPr>
          <w:sz w:val="24"/>
          <w:szCs w:val="24"/>
        </w:rPr>
        <w:t>č</w:t>
      </w:r>
      <w:r w:rsidRPr="00A07EDD">
        <w:rPr>
          <w:color w:val="000000"/>
          <w:sz w:val="24"/>
          <w:szCs w:val="24"/>
        </w:rPr>
        <w:t>lánku 90 smernice Rady 2006/112/ES</w:t>
      </w:r>
      <w:r>
        <w:rPr>
          <w:color w:val="000000"/>
          <w:sz w:val="24"/>
          <w:szCs w:val="24"/>
        </w:rPr>
        <w:t xml:space="preserve"> je reakcia na </w:t>
      </w:r>
      <w:r w:rsidRPr="00575052">
        <w:rPr>
          <w:sz w:val="24"/>
          <w:szCs w:val="24"/>
        </w:rPr>
        <w:t xml:space="preserve">výklad </w:t>
      </w:r>
      <w:r>
        <w:rPr>
          <w:sz w:val="24"/>
          <w:szCs w:val="24"/>
        </w:rPr>
        <w:t>tohto ustanovenia v judikatúre Súdneho</w:t>
      </w:r>
      <w:r w:rsidRPr="00575052">
        <w:rPr>
          <w:sz w:val="24"/>
          <w:szCs w:val="24"/>
        </w:rPr>
        <w:t xml:space="preserve"> dvor</w:t>
      </w:r>
      <w:r>
        <w:rPr>
          <w:sz w:val="24"/>
          <w:szCs w:val="24"/>
        </w:rPr>
        <w:t>a</w:t>
      </w:r>
      <w:r w:rsidRPr="00575052">
        <w:rPr>
          <w:sz w:val="24"/>
          <w:szCs w:val="24"/>
        </w:rPr>
        <w:t xml:space="preserve"> EÚ</w:t>
      </w:r>
      <w:r w:rsidR="0059561B">
        <w:rPr>
          <w:sz w:val="24"/>
          <w:szCs w:val="24"/>
        </w:rPr>
        <w:t>.</w:t>
      </w:r>
      <w:r>
        <w:rPr>
          <w:sz w:val="24"/>
          <w:szCs w:val="24"/>
        </w:rPr>
        <w:t>Z judikatúry vyplýva, že v súlade so zásadou neutrality DPH členské štáty</w:t>
      </w:r>
      <w:r w:rsidR="00980482">
        <w:rPr>
          <w:sz w:val="24"/>
          <w:szCs w:val="24"/>
        </w:rPr>
        <w:t xml:space="preserve"> </w:t>
      </w:r>
      <w:r>
        <w:rPr>
          <w:sz w:val="24"/>
          <w:szCs w:val="24"/>
        </w:rPr>
        <w:t>EÚ umožnia</w:t>
      </w:r>
      <w:r w:rsidRPr="00575052">
        <w:rPr>
          <w:sz w:val="24"/>
          <w:szCs w:val="24"/>
        </w:rPr>
        <w:t xml:space="preserve"> opravu základu dane z ne</w:t>
      </w:r>
      <w:r>
        <w:rPr>
          <w:sz w:val="24"/>
          <w:szCs w:val="24"/>
        </w:rPr>
        <w:t>zaplatenej pohľadávky, pri ktorej skutočnosť, že nebude</w:t>
      </w:r>
      <w:r w:rsidRPr="00575052">
        <w:rPr>
          <w:sz w:val="24"/>
          <w:szCs w:val="24"/>
        </w:rPr>
        <w:t xml:space="preserve"> zaplaten</w:t>
      </w:r>
      <w:r w:rsidR="0059561B">
        <w:rPr>
          <w:sz w:val="24"/>
          <w:szCs w:val="24"/>
        </w:rPr>
        <w:t>á,</w:t>
      </w:r>
      <w:r w:rsidRPr="00575052">
        <w:rPr>
          <w:sz w:val="24"/>
          <w:szCs w:val="24"/>
        </w:rPr>
        <w:t xml:space="preserve"> je </w:t>
      </w:r>
      <w:r>
        <w:rPr>
          <w:sz w:val="24"/>
          <w:szCs w:val="24"/>
        </w:rPr>
        <w:t>definitívnej povahy, resp.</w:t>
      </w:r>
      <w:r w:rsidRPr="00575052">
        <w:rPr>
          <w:sz w:val="24"/>
          <w:szCs w:val="24"/>
        </w:rPr>
        <w:t xml:space="preserve"> z okolností každého jednotlivého prípadu je možné s vysokou mierou pravdepodobnost</w:t>
      </w:r>
      <w:r>
        <w:rPr>
          <w:sz w:val="24"/>
          <w:szCs w:val="24"/>
        </w:rPr>
        <w:t>i predpokladať, že zaplatená nebude</w:t>
      </w:r>
      <w:r w:rsidRPr="00575052">
        <w:rPr>
          <w:sz w:val="24"/>
          <w:szCs w:val="24"/>
        </w:rPr>
        <w:t>.</w:t>
      </w:r>
    </w:p>
    <w:p w:rsidR="008739A6" w:rsidRPr="003137BA" w:rsidRDefault="00EE5576" w:rsidP="008739A6">
      <w:pPr>
        <w:jc w:val="both"/>
        <w:rPr>
          <w:sz w:val="24"/>
          <w:szCs w:val="24"/>
        </w:rPr>
      </w:pPr>
      <w:r w:rsidRPr="003137BA">
        <w:rPr>
          <w:sz w:val="24"/>
          <w:szCs w:val="24"/>
        </w:rPr>
        <w:t>Pokiaľ ide o nastavenie pravidiel vzhľadom na mieru pravdepodobnosti nezaplatenia pohľadávky platiteľa za dodanie tovaru alebo služby, je potrebné do úvahy zobrať viaceré súvisiace</w:t>
      </w:r>
      <w:r w:rsidR="00837D1A" w:rsidRPr="003137BA">
        <w:rPr>
          <w:sz w:val="24"/>
          <w:szCs w:val="24"/>
        </w:rPr>
        <w:t xml:space="preserve"> faktory</w:t>
      </w:r>
      <w:r w:rsidRPr="003137BA">
        <w:rPr>
          <w:sz w:val="24"/>
          <w:szCs w:val="24"/>
        </w:rPr>
        <w:t>, predovšetkým však  dopad na štátny rozpočet</w:t>
      </w:r>
      <w:r w:rsidR="008739A6" w:rsidRPr="003137BA">
        <w:rPr>
          <w:sz w:val="24"/>
          <w:szCs w:val="24"/>
        </w:rPr>
        <w:t>.</w:t>
      </w:r>
    </w:p>
    <w:p w:rsidR="008739A6" w:rsidRPr="003137BA" w:rsidRDefault="008739A6" w:rsidP="008739A6">
      <w:pPr>
        <w:jc w:val="both"/>
        <w:rPr>
          <w:sz w:val="24"/>
          <w:szCs w:val="24"/>
        </w:rPr>
      </w:pPr>
      <w:r w:rsidRPr="003137BA">
        <w:rPr>
          <w:sz w:val="24"/>
          <w:szCs w:val="24"/>
        </w:rPr>
        <w:t>Rozpočtové riziká sa týkajú predovšetkým skutočnosti, že  ak platiteľ, ktorého pohľadávka nebola zaplatená, pristúpi k oprave základu dane a dane, t. j. štát mu bude povinný vrátiť sumu predtým odvedenej dane, pričom na druhej strane buď bude právne nemožné získať túto sumu od dlžníka (prípady, kedy dlžník nie je platiteľom alebo si neuplatnil odpočítanie dane) alebo bude dochádzať k situáciám, že dlžník síce opraví odpočítanú daň, ale j</w:t>
      </w:r>
      <w:r w:rsidR="00F44E7C" w:rsidRPr="003137BA">
        <w:rPr>
          <w:sz w:val="24"/>
          <w:szCs w:val="24"/>
        </w:rPr>
        <w:t>u</w:t>
      </w:r>
      <w:r w:rsidRPr="003137BA">
        <w:rPr>
          <w:sz w:val="24"/>
          <w:szCs w:val="24"/>
        </w:rPr>
        <w:t xml:space="preserve"> nezaplatí, nakoľko bude platobne neschopný; k tomuto riziku prispievajú niektoré skutočnosti, ktoré sú vlastné </w:t>
      </w:r>
      <w:r w:rsidRPr="003137BA">
        <w:rPr>
          <w:sz w:val="24"/>
          <w:szCs w:val="24"/>
        </w:rPr>
        <w:lastRenderedPageBreak/>
        <w:t>danému prostrediu, predovšetkým však nízka, až zlá platobná disciplína, najmä v B2B  vzťahoch.</w:t>
      </w:r>
    </w:p>
    <w:p w:rsidR="008739A6" w:rsidRPr="003137BA" w:rsidRDefault="008739A6" w:rsidP="008739A6">
      <w:pPr>
        <w:jc w:val="both"/>
        <w:rPr>
          <w:sz w:val="24"/>
          <w:szCs w:val="24"/>
        </w:rPr>
      </w:pPr>
      <w:r w:rsidRPr="003137BA">
        <w:rPr>
          <w:sz w:val="24"/>
          <w:szCs w:val="24"/>
        </w:rPr>
        <w:t>Ďalšie významné riziko vplývajúce na rozpočtovú stránku predstavuje zneužívanie tohto mechanizmu platiteľmi napríklad na základe predchádzajúcej dohody, respektíve na základe fiktívnych obchodov.</w:t>
      </w:r>
    </w:p>
    <w:p w:rsidR="00EE5576" w:rsidRPr="003137BA" w:rsidRDefault="008739A6" w:rsidP="00D8768C">
      <w:pPr>
        <w:jc w:val="both"/>
        <w:rPr>
          <w:sz w:val="24"/>
          <w:szCs w:val="24"/>
        </w:rPr>
      </w:pPr>
      <w:r w:rsidRPr="003137BA">
        <w:rPr>
          <w:sz w:val="24"/>
          <w:szCs w:val="24"/>
        </w:rPr>
        <w:t xml:space="preserve">Vyššie uvedené riziká predstavovali determinanty </w:t>
      </w:r>
      <w:r w:rsidR="006C275B" w:rsidRPr="003137BA">
        <w:rPr>
          <w:sz w:val="24"/>
          <w:szCs w:val="24"/>
        </w:rPr>
        <w:t>pri nastavovaní</w:t>
      </w:r>
      <w:r w:rsidRPr="003137BA">
        <w:rPr>
          <w:sz w:val="24"/>
          <w:szCs w:val="24"/>
        </w:rPr>
        <w:t xml:space="preserve"> pravidiel inštitútu </w:t>
      </w:r>
      <w:r w:rsidR="006C275B" w:rsidRPr="003137BA">
        <w:rPr>
          <w:sz w:val="24"/>
          <w:szCs w:val="24"/>
        </w:rPr>
        <w:t xml:space="preserve">opravy základu dane z nezaplatenej pohľadávky. Navrhovaná právna úprava v najvyššej možnej miere </w:t>
      </w:r>
      <w:r w:rsidR="00F44E7C" w:rsidRPr="003137BA">
        <w:rPr>
          <w:sz w:val="24"/>
          <w:szCs w:val="24"/>
        </w:rPr>
        <w:t xml:space="preserve">aj vzhľadom na judikatúru Súdneho dvora EÚ </w:t>
      </w:r>
      <w:r w:rsidR="006C275B" w:rsidRPr="003137BA">
        <w:rPr>
          <w:sz w:val="24"/>
          <w:szCs w:val="24"/>
        </w:rPr>
        <w:t xml:space="preserve">reflektuje </w:t>
      </w:r>
      <w:r w:rsidR="00F44E7C" w:rsidRPr="003137BA">
        <w:rPr>
          <w:sz w:val="24"/>
          <w:szCs w:val="24"/>
        </w:rPr>
        <w:t xml:space="preserve">na riziká spojené s </w:t>
      </w:r>
      <w:r w:rsidR="006C275B" w:rsidRPr="003137BA">
        <w:rPr>
          <w:sz w:val="24"/>
          <w:szCs w:val="24"/>
        </w:rPr>
        <w:t>právo</w:t>
      </w:r>
      <w:r w:rsidR="00F44E7C" w:rsidRPr="003137BA">
        <w:rPr>
          <w:sz w:val="24"/>
          <w:szCs w:val="24"/>
        </w:rPr>
        <w:t>m</w:t>
      </w:r>
      <w:r w:rsidR="006C275B" w:rsidRPr="003137BA">
        <w:rPr>
          <w:sz w:val="24"/>
          <w:szCs w:val="24"/>
        </w:rPr>
        <w:t xml:space="preserve"> opraviť základ dane a</w:t>
      </w:r>
      <w:r w:rsidR="00F44E7C" w:rsidRPr="003137BA">
        <w:rPr>
          <w:sz w:val="24"/>
          <w:szCs w:val="24"/>
        </w:rPr>
        <w:t> </w:t>
      </w:r>
      <w:r w:rsidR="006C275B" w:rsidRPr="003137BA">
        <w:rPr>
          <w:sz w:val="24"/>
          <w:szCs w:val="24"/>
        </w:rPr>
        <w:t>daň</w:t>
      </w:r>
      <w:r w:rsidR="00F44E7C" w:rsidRPr="003137BA">
        <w:rPr>
          <w:sz w:val="24"/>
          <w:szCs w:val="24"/>
        </w:rPr>
        <w:t>.</w:t>
      </w:r>
    </w:p>
    <w:p w:rsidR="00091DF6" w:rsidRPr="005F3884" w:rsidRDefault="00091DF6" w:rsidP="0007657A">
      <w:pPr>
        <w:spacing w:line="276" w:lineRule="auto"/>
        <w:jc w:val="both"/>
        <w:rPr>
          <w:sz w:val="24"/>
          <w:szCs w:val="24"/>
        </w:rPr>
      </w:pPr>
    </w:p>
    <w:p w:rsidR="00734F29" w:rsidRPr="00A21C46" w:rsidRDefault="00734F29" w:rsidP="00734F29">
      <w:pPr>
        <w:rPr>
          <w:b/>
          <w:bCs/>
          <w:sz w:val="24"/>
          <w:szCs w:val="24"/>
        </w:rPr>
      </w:pPr>
      <w:r w:rsidRPr="00A21C46">
        <w:rPr>
          <w:b/>
          <w:bCs/>
          <w:sz w:val="24"/>
          <w:szCs w:val="24"/>
        </w:rPr>
        <w:t>2.2.2. Charakteristika návrhu:</w:t>
      </w:r>
    </w:p>
    <w:p w:rsidR="00734F29" w:rsidRPr="00A21C46" w:rsidRDefault="00734F29" w:rsidP="00734F29">
      <w:pPr>
        <w:rPr>
          <w:sz w:val="24"/>
          <w:szCs w:val="24"/>
        </w:rPr>
      </w:pPr>
    </w:p>
    <w:p w:rsidR="00734F29" w:rsidRPr="0059561B" w:rsidRDefault="00697A33" w:rsidP="00734F29">
      <w:pPr>
        <w:rPr>
          <w:color w:val="000000" w:themeColor="text1"/>
          <w:sz w:val="24"/>
          <w:szCs w:val="24"/>
        </w:rPr>
      </w:pPr>
      <w:r>
        <w:rPr>
          <w:color w:val="000000" w:themeColor="text1"/>
          <w:sz w:val="24"/>
          <w:szCs w:val="24"/>
        </w:rPr>
        <w:t xml:space="preserve">   </w:t>
      </w:r>
      <w:r w:rsidR="00734F29" w:rsidRPr="0059561B">
        <w:rPr>
          <w:color w:val="000000" w:themeColor="text1"/>
          <w:sz w:val="24"/>
          <w:szCs w:val="24"/>
        </w:rPr>
        <w:t>zmena sadzby</w:t>
      </w:r>
    </w:p>
    <w:p w:rsidR="00734F29" w:rsidRPr="00A21C46" w:rsidRDefault="00BC5BB1" w:rsidP="00734F29">
      <w:pPr>
        <w:rPr>
          <w:sz w:val="24"/>
          <w:szCs w:val="24"/>
        </w:rPr>
      </w:pPr>
      <w:r>
        <w:rPr>
          <w:sz w:val="24"/>
          <w:szCs w:val="24"/>
        </w:rPr>
        <w:t xml:space="preserve">x </w:t>
      </w:r>
      <w:r w:rsidR="00734F29" w:rsidRPr="00A21C46">
        <w:rPr>
          <w:sz w:val="24"/>
          <w:szCs w:val="24"/>
        </w:rPr>
        <w:t>zmena v nároku</w:t>
      </w:r>
    </w:p>
    <w:p w:rsidR="00734F29" w:rsidRPr="00A21C46" w:rsidRDefault="00734F29" w:rsidP="00734F29">
      <w:pPr>
        <w:rPr>
          <w:sz w:val="24"/>
          <w:szCs w:val="24"/>
        </w:rPr>
      </w:pPr>
      <w:r w:rsidRPr="00A21C46">
        <w:rPr>
          <w:sz w:val="24"/>
          <w:szCs w:val="24"/>
        </w:rPr>
        <w:t xml:space="preserve">  </w:t>
      </w:r>
      <w:r w:rsidR="00BC5BB1">
        <w:rPr>
          <w:sz w:val="24"/>
          <w:szCs w:val="24"/>
        </w:rPr>
        <w:t xml:space="preserve"> </w:t>
      </w:r>
      <w:r w:rsidRPr="00A21C46">
        <w:rPr>
          <w:sz w:val="24"/>
          <w:szCs w:val="24"/>
        </w:rPr>
        <w:t>nová služba alebo nariadenie (alebo ich zrušenie)</w:t>
      </w:r>
    </w:p>
    <w:p w:rsidR="00734F29" w:rsidRPr="00A21C46" w:rsidRDefault="00734F29" w:rsidP="00734F29">
      <w:pPr>
        <w:rPr>
          <w:sz w:val="24"/>
          <w:szCs w:val="24"/>
        </w:rPr>
      </w:pPr>
      <w:r w:rsidRPr="00A21C46">
        <w:rPr>
          <w:sz w:val="24"/>
          <w:szCs w:val="24"/>
        </w:rPr>
        <w:t xml:space="preserve"> </w:t>
      </w:r>
      <w:r w:rsidR="00BC5BB1">
        <w:rPr>
          <w:sz w:val="24"/>
          <w:szCs w:val="24"/>
        </w:rPr>
        <w:t xml:space="preserve"> </w:t>
      </w:r>
      <w:r w:rsidRPr="00A21C46">
        <w:rPr>
          <w:sz w:val="24"/>
          <w:szCs w:val="24"/>
        </w:rPr>
        <w:t xml:space="preserve"> kombinovaný návrh</w:t>
      </w:r>
    </w:p>
    <w:p w:rsidR="00734F29" w:rsidRPr="00A21C46" w:rsidRDefault="00734F29" w:rsidP="00734F29">
      <w:pPr>
        <w:rPr>
          <w:sz w:val="24"/>
          <w:szCs w:val="24"/>
        </w:rPr>
      </w:pPr>
      <w:r w:rsidRPr="00A21C46">
        <w:rPr>
          <w:sz w:val="24"/>
          <w:szCs w:val="24"/>
        </w:rPr>
        <w:t xml:space="preserve">  </w:t>
      </w:r>
      <w:r w:rsidR="00BC5BB1">
        <w:rPr>
          <w:sz w:val="24"/>
          <w:szCs w:val="24"/>
        </w:rPr>
        <w:t xml:space="preserve"> </w:t>
      </w:r>
      <w:r w:rsidRPr="00A21C46">
        <w:rPr>
          <w:sz w:val="24"/>
          <w:szCs w:val="24"/>
        </w:rPr>
        <w:t xml:space="preserve">iné </w:t>
      </w:r>
    </w:p>
    <w:p w:rsidR="00734F29" w:rsidRPr="0067300D" w:rsidRDefault="00734F29" w:rsidP="00734F29">
      <w:pPr>
        <w:rPr>
          <w:sz w:val="24"/>
          <w:szCs w:val="24"/>
        </w:rPr>
      </w:pPr>
    </w:p>
    <w:p w:rsidR="00734F29" w:rsidRDefault="00734F29" w:rsidP="00734F29">
      <w:pPr>
        <w:rPr>
          <w:sz w:val="24"/>
          <w:szCs w:val="24"/>
        </w:rPr>
      </w:pPr>
      <w:r w:rsidRPr="0067300D">
        <w:rPr>
          <w:b/>
          <w:bCs/>
          <w:sz w:val="24"/>
          <w:szCs w:val="24"/>
        </w:rPr>
        <w:t>2.2.3. Predpoklady vývoja objemu aktivít:</w:t>
      </w:r>
    </w:p>
    <w:p w:rsidR="00734F29" w:rsidRDefault="00734F29" w:rsidP="00734F29">
      <w:pPr>
        <w:rPr>
          <w:sz w:val="24"/>
          <w:szCs w:val="24"/>
        </w:rPr>
      </w:pPr>
    </w:p>
    <w:p w:rsidR="00734F29" w:rsidRPr="0067300D" w:rsidRDefault="00734F29" w:rsidP="00734F29">
      <w:pPr>
        <w:jc w:val="both"/>
        <w:rPr>
          <w:sz w:val="24"/>
          <w:szCs w:val="24"/>
        </w:rPr>
      </w:pPr>
      <w:r w:rsidRPr="0067300D">
        <w:rPr>
          <w:sz w:val="24"/>
          <w:szCs w:val="24"/>
        </w:rPr>
        <w:t>Jasne popíšte, v prípade potreby použite nižšie uvedenú tabuľku. Uveďte aj odhady základov daní a/alebo poplatkov, ak sa ich táto zmena týka.</w:t>
      </w:r>
    </w:p>
    <w:p w:rsidR="00734F29" w:rsidRPr="0067300D" w:rsidRDefault="00734F29" w:rsidP="00734F29">
      <w:pPr>
        <w:jc w:val="right"/>
        <w:rPr>
          <w:sz w:val="24"/>
          <w:szCs w:val="24"/>
        </w:rPr>
      </w:pPr>
    </w:p>
    <w:p w:rsidR="00734F29" w:rsidRPr="0067300D" w:rsidRDefault="00734F29" w:rsidP="00734F29">
      <w:pPr>
        <w:jc w:val="right"/>
        <w:rPr>
          <w:sz w:val="24"/>
          <w:szCs w:val="24"/>
        </w:rPr>
      </w:pPr>
      <w:r w:rsidRPr="0067300D">
        <w:rPr>
          <w:sz w:val="24"/>
          <w:szCs w:val="24"/>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34F29" w:rsidRPr="0067300D" w:rsidTr="003511C2">
        <w:trPr>
          <w:cantSplit/>
          <w:trHeight w:val="70"/>
        </w:trPr>
        <w:tc>
          <w:tcPr>
            <w:tcW w:w="4530" w:type="dxa"/>
            <w:vMerge w:val="restart"/>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Objem aktivít</w:t>
            </w:r>
          </w:p>
        </w:tc>
        <w:tc>
          <w:tcPr>
            <w:tcW w:w="1134" w:type="dxa"/>
            <w:gridSpan w:val="4"/>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Odhadované objemy</w:t>
            </w:r>
          </w:p>
        </w:tc>
      </w:tr>
      <w:tr w:rsidR="00734F29" w:rsidRPr="0067300D" w:rsidTr="003511C2">
        <w:trPr>
          <w:cantSplit/>
          <w:trHeight w:val="70"/>
        </w:trPr>
        <w:tc>
          <w:tcPr>
            <w:tcW w:w="4530" w:type="dxa"/>
            <w:vMerge/>
            <w:shd w:val="clear" w:color="auto" w:fill="BFBFBF" w:themeFill="background1" w:themeFillShade="BF"/>
          </w:tcPr>
          <w:p w:rsidR="00734F29" w:rsidRPr="0067300D" w:rsidRDefault="00734F29" w:rsidP="003511C2">
            <w:pPr>
              <w:autoSpaceDE w:val="0"/>
              <w:autoSpaceDN w:val="0"/>
              <w:adjustRightInd w:val="0"/>
              <w:jc w:val="center"/>
              <w:rPr>
                <w:b/>
                <w:bCs/>
                <w:sz w:val="24"/>
                <w:szCs w:val="24"/>
              </w:rPr>
            </w:pPr>
          </w:p>
        </w:tc>
        <w:tc>
          <w:tcPr>
            <w:tcW w:w="1134" w:type="dxa"/>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r</w:t>
            </w:r>
          </w:p>
        </w:tc>
        <w:tc>
          <w:tcPr>
            <w:tcW w:w="1134" w:type="dxa"/>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r + 1</w:t>
            </w:r>
          </w:p>
        </w:tc>
        <w:tc>
          <w:tcPr>
            <w:tcW w:w="1134" w:type="dxa"/>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r + 2</w:t>
            </w:r>
          </w:p>
        </w:tc>
        <w:tc>
          <w:tcPr>
            <w:tcW w:w="1134" w:type="dxa"/>
            <w:shd w:val="clear" w:color="auto" w:fill="BFBFBF" w:themeFill="background1" w:themeFillShade="BF"/>
            <w:vAlign w:val="center"/>
          </w:tcPr>
          <w:p w:rsidR="00734F29" w:rsidRPr="0067300D" w:rsidRDefault="00734F29" w:rsidP="003511C2">
            <w:pPr>
              <w:autoSpaceDE w:val="0"/>
              <w:autoSpaceDN w:val="0"/>
              <w:adjustRightInd w:val="0"/>
              <w:jc w:val="center"/>
              <w:rPr>
                <w:b/>
                <w:bCs/>
                <w:sz w:val="24"/>
                <w:szCs w:val="24"/>
              </w:rPr>
            </w:pPr>
            <w:r w:rsidRPr="0067300D">
              <w:rPr>
                <w:b/>
                <w:bCs/>
                <w:sz w:val="24"/>
                <w:szCs w:val="24"/>
              </w:rPr>
              <w:t>r + 3</w:t>
            </w:r>
          </w:p>
        </w:tc>
      </w:tr>
      <w:tr w:rsidR="00734F29" w:rsidRPr="0067300D" w:rsidTr="003511C2">
        <w:trPr>
          <w:trHeight w:val="70"/>
        </w:trPr>
        <w:tc>
          <w:tcPr>
            <w:tcW w:w="4530" w:type="dxa"/>
          </w:tcPr>
          <w:p w:rsidR="00734F29" w:rsidRPr="0067300D" w:rsidRDefault="00734F29" w:rsidP="003511C2">
            <w:pPr>
              <w:autoSpaceDE w:val="0"/>
              <w:autoSpaceDN w:val="0"/>
              <w:adjustRightInd w:val="0"/>
              <w:rPr>
                <w:color w:val="000000"/>
                <w:sz w:val="24"/>
                <w:szCs w:val="24"/>
              </w:rPr>
            </w:pPr>
            <w:r w:rsidRPr="0067300D">
              <w:rPr>
                <w:color w:val="000000"/>
                <w:sz w:val="24"/>
                <w:szCs w:val="24"/>
              </w:rPr>
              <w:t>Indikátor ABC</w:t>
            </w: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r>
      <w:tr w:rsidR="00734F29" w:rsidRPr="0067300D" w:rsidTr="003511C2">
        <w:trPr>
          <w:trHeight w:val="70"/>
        </w:trPr>
        <w:tc>
          <w:tcPr>
            <w:tcW w:w="4530" w:type="dxa"/>
          </w:tcPr>
          <w:p w:rsidR="00734F29" w:rsidRPr="0067300D" w:rsidRDefault="00734F29" w:rsidP="003511C2">
            <w:pPr>
              <w:autoSpaceDE w:val="0"/>
              <w:autoSpaceDN w:val="0"/>
              <w:adjustRightInd w:val="0"/>
              <w:rPr>
                <w:color w:val="000000"/>
                <w:sz w:val="24"/>
                <w:szCs w:val="24"/>
              </w:rPr>
            </w:pPr>
            <w:r w:rsidRPr="0067300D">
              <w:rPr>
                <w:color w:val="000000"/>
                <w:sz w:val="24"/>
                <w:szCs w:val="24"/>
              </w:rPr>
              <w:t>Indikátor KLM</w:t>
            </w: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r>
      <w:tr w:rsidR="00734F29" w:rsidRPr="0067300D" w:rsidTr="003511C2">
        <w:trPr>
          <w:trHeight w:val="70"/>
        </w:trPr>
        <w:tc>
          <w:tcPr>
            <w:tcW w:w="4530" w:type="dxa"/>
          </w:tcPr>
          <w:p w:rsidR="00734F29" w:rsidRPr="0067300D" w:rsidRDefault="00734F29" w:rsidP="003511C2">
            <w:pPr>
              <w:autoSpaceDE w:val="0"/>
              <w:autoSpaceDN w:val="0"/>
              <w:adjustRightInd w:val="0"/>
              <w:rPr>
                <w:color w:val="000000"/>
                <w:sz w:val="24"/>
                <w:szCs w:val="24"/>
              </w:rPr>
            </w:pPr>
            <w:r w:rsidRPr="0067300D">
              <w:rPr>
                <w:color w:val="000000"/>
                <w:sz w:val="24"/>
                <w:szCs w:val="24"/>
              </w:rPr>
              <w:t>Indikátor XYZ</w:t>
            </w: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c>
          <w:tcPr>
            <w:tcW w:w="1134" w:type="dxa"/>
          </w:tcPr>
          <w:p w:rsidR="00734F29" w:rsidRPr="0067300D" w:rsidRDefault="00734F29" w:rsidP="003511C2">
            <w:pPr>
              <w:autoSpaceDE w:val="0"/>
              <w:autoSpaceDN w:val="0"/>
              <w:adjustRightInd w:val="0"/>
              <w:jc w:val="right"/>
              <w:rPr>
                <w:color w:val="000000"/>
                <w:sz w:val="24"/>
                <w:szCs w:val="24"/>
              </w:rPr>
            </w:pPr>
          </w:p>
        </w:tc>
      </w:tr>
    </w:tbl>
    <w:p w:rsidR="00734F29" w:rsidRPr="0067300D" w:rsidRDefault="00734F29" w:rsidP="00734F29">
      <w:pPr>
        <w:rPr>
          <w:b/>
          <w:bCs/>
          <w:sz w:val="24"/>
          <w:szCs w:val="24"/>
        </w:rPr>
      </w:pPr>
    </w:p>
    <w:p w:rsidR="00734F29" w:rsidRDefault="00734F29" w:rsidP="00734F29">
      <w:pPr>
        <w:rPr>
          <w:b/>
          <w:bCs/>
          <w:sz w:val="24"/>
          <w:szCs w:val="24"/>
        </w:rPr>
      </w:pPr>
      <w:r w:rsidRPr="0067300D">
        <w:rPr>
          <w:b/>
          <w:bCs/>
          <w:sz w:val="24"/>
          <w:szCs w:val="24"/>
        </w:rPr>
        <w:t>2.2.4. Výpočty vplyvov na verejné financie</w:t>
      </w:r>
    </w:p>
    <w:p w:rsidR="00734F29" w:rsidRDefault="00734F29" w:rsidP="00734F29">
      <w:pPr>
        <w:rPr>
          <w:b/>
          <w:bCs/>
          <w:sz w:val="24"/>
          <w:szCs w:val="24"/>
        </w:rPr>
      </w:pPr>
    </w:p>
    <w:p w:rsidR="00734F29" w:rsidRPr="0003131F" w:rsidRDefault="00734F29" w:rsidP="00734F29">
      <w:pPr>
        <w:jc w:val="both"/>
        <w:rPr>
          <w:b/>
          <w:bCs/>
          <w:sz w:val="24"/>
          <w:szCs w:val="24"/>
        </w:rPr>
      </w:pPr>
      <w:r w:rsidRPr="0067300D">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34F29" w:rsidRPr="0067300D" w:rsidRDefault="00734F29" w:rsidP="00734F29">
      <w:pPr>
        <w:ind w:firstLine="708"/>
        <w:jc w:val="both"/>
        <w:rPr>
          <w:sz w:val="24"/>
          <w:szCs w:val="24"/>
        </w:rPr>
      </w:pPr>
    </w:p>
    <w:p w:rsidR="00DA2036" w:rsidRDefault="006274A5" w:rsidP="00734F29">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Pr>
          <w:bCs/>
          <w:color w:val="000000" w:themeColor="text1"/>
          <w:sz w:val="24"/>
          <w:szCs w:val="24"/>
        </w:rPr>
        <w:t>Predpokladá</w:t>
      </w:r>
      <w:r w:rsidR="0059561B">
        <w:rPr>
          <w:bCs/>
          <w:color w:val="000000" w:themeColor="text1"/>
          <w:sz w:val="24"/>
          <w:szCs w:val="24"/>
        </w:rPr>
        <w:t xml:space="preserve"> sa</w:t>
      </w:r>
      <w:r>
        <w:rPr>
          <w:bCs/>
          <w:color w:val="000000" w:themeColor="text1"/>
          <w:sz w:val="24"/>
          <w:szCs w:val="24"/>
        </w:rPr>
        <w:t xml:space="preserve">, že </w:t>
      </w:r>
      <w:r w:rsidR="00DA2036" w:rsidRPr="005F3884">
        <w:rPr>
          <w:sz w:val="24"/>
          <w:szCs w:val="24"/>
        </w:rPr>
        <w:t>z</w:t>
      </w:r>
      <w:r>
        <w:rPr>
          <w:sz w:val="24"/>
          <w:szCs w:val="24"/>
        </w:rPr>
        <w:t>avedenie</w:t>
      </w:r>
      <w:r w:rsidR="00DA2036" w:rsidRPr="005F3884">
        <w:rPr>
          <w:sz w:val="24"/>
          <w:szCs w:val="24"/>
        </w:rPr>
        <w:t xml:space="preserve"> osobi</w:t>
      </w:r>
      <w:r>
        <w:rPr>
          <w:sz w:val="24"/>
          <w:szCs w:val="24"/>
        </w:rPr>
        <w:t>tných úprav</w:t>
      </w:r>
      <w:r w:rsidR="00DA2036" w:rsidRPr="005F3884">
        <w:rPr>
          <w:sz w:val="24"/>
          <w:szCs w:val="24"/>
        </w:rPr>
        <w:t xml:space="preserve"> pri dodaní služieb, predaji tovaru na diaľku a predaji tovaru prostredníctvom zdaniteľnej osoby, ktorá uľahčuje dodanie tovaru</w:t>
      </w:r>
      <w:r w:rsidR="0059561B">
        <w:rPr>
          <w:sz w:val="24"/>
          <w:szCs w:val="24"/>
        </w:rPr>
        <w:t>,</w:t>
      </w:r>
      <w:r>
        <w:rPr>
          <w:sz w:val="24"/>
          <w:szCs w:val="24"/>
        </w:rPr>
        <w:t xml:space="preserve"> bude ma</w:t>
      </w:r>
      <w:r w:rsidR="00865E7F">
        <w:rPr>
          <w:sz w:val="24"/>
          <w:szCs w:val="24"/>
        </w:rPr>
        <w:t>ť</w:t>
      </w:r>
      <w:r>
        <w:rPr>
          <w:sz w:val="24"/>
          <w:szCs w:val="24"/>
        </w:rPr>
        <w:t xml:space="preserve"> pozitívne aj negatívne dopady na verejné financie.</w:t>
      </w:r>
    </w:p>
    <w:p w:rsidR="00C56FF9" w:rsidRDefault="006274A5" w:rsidP="00734F29">
      <w:pPr>
        <w:pBdr>
          <w:top w:val="single" w:sz="4" w:space="1" w:color="auto"/>
          <w:left w:val="single" w:sz="4" w:space="4" w:color="auto"/>
          <w:bottom w:val="single" w:sz="4" w:space="0" w:color="auto"/>
          <w:right w:val="single" w:sz="4" w:space="4" w:color="auto"/>
        </w:pBdr>
        <w:jc w:val="both"/>
        <w:rPr>
          <w:bCs/>
          <w:sz w:val="24"/>
          <w:szCs w:val="24"/>
        </w:rPr>
      </w:pPr>
      <w:r w:rsidRPr="0011183A">
        <w:rPr>
          <w:bCs/>
          <w:sz w:val="24"/>
          <w:szCs w:val="24"/>
        </w:rPr>
        <w:t xml:space="preserve">Pozitívne dopady </w:t>
      </w:r>
      <w:r w:rsidR="00CF6FA2">
        <w:rPr>
          <w:bCs/>
          <w:sz w:val="24"/>
          <w:szCs w:val="24"/>
        </w:rPr>
        <w:t>sa predpokladajú</w:t>
      </w:r>
      <w:r w:rsidRPr="0011183A">
        <w:rPr>
          <w:bCs/>
          <w:sz w:val="24"/>
          <w:szCs w:val="24"/>
        </w:rPr>
        <w:t xml:space="preserve"> z dôvodu zrušenia oslobodenia od DPH zásiel</w:t>
      </w:r>
      <w:r w:rsidR="00CF6FA2">
        <w:rPr>
          <w:bCs/>
          <w:sz w:val="24"/>
          <w:szCs w:val="24"/>
        </w:rPr>
        <w:t>o</w:t>
      </w:r>
      <w:r w:rsidRPr="0011183A">
        <w:rPr>
          <w:bCs/>
          <w:sz w:val="24"/>
          <w:szCs w:val="24"/>
        </w:rPr>
        <w:t>k malej hodnoty do 22 eur dovážan</w:t>
      </w:r>
      <w:r w:rsidR="00CF6FA2">
        <w:rPr>
          <w:bCs/>
          <w:sz w:val="24"/>
          <w:szCs w:val="24"/>
        </w:rPr>
        <w:t>ých</w:t>
      </w:r>
      <w:r w:rsidRPr="0011183A">
        <w:rPr>
          <w:bCs/>
          <w:sz w:val="24"/>
          <w:szCs w:val="24"/>
        </w:rPr>
        <w:t xml:space="preserve"> z tretích štátov</w:t>
      </w:r>
      <w:r w:rsidR="0059561B">
        <w:rPr>
          <w:bCs/>
          <w:sz w:val="24"/>
          <w:szCs w:val="24"/>
        </w:rPr>
        <w:t>,</w:t>
      </w:r>
      <w:r w:rsidR="00C56FF9">
        <w:rPr>
          <w:bCs/>
          <w:sz w:val="24"/>
          <w:szCs w:val="24"/>
        </w:rPr>
        <w:t xml:space="preserve"> zavedenia opatrení na zjednodušený výber DPH</w:t>
      </w:r>
      <w:r w:rsidR="004E44F6">
        <w:rPr>
          <w:bCs/>
          <w:sz w:val="24"/>
          <w:szCs w:val="24"/>
        </w:rPr>
        <w:t>,</w:t>
      </w:r>
      <w:r w:rsidRPr="0011183A">
        <w:rPr>
          <w:bCs/>
          <w:sz w:val="24"/>
          <w:szCs w:val="24"/>
        </w:rPr>
        <w:t xml:space="preserve"> ako aj z dôvodu pozitívneho trendu </w:t>
      </w:r>
      <w:r w:rsidR="002C6587" w:rsidRPr="0011183A">
        <w:rPr>
          <w:bCs/>
          <w:sz w:val="24"/>
          <w:szCs w:val="24"/>
        </w:rPr>
        <w:t xml:space="preserve">každoročného </w:t>
      </w:r>
      <w:r w:rsidRPr="0011183A">
        <w:rPr>
          <w:bCs/>
          <w:sz w:val="24"/>
          <w:szCs w:val="24"/>
        </w:rPr>
        <w:t xml:space="preserve">nárastu objemu tovarov predávaných </w:t>
      </w:r>
      <w:r w:rsidR="002C6587" w:rsidRPr="0011183A">
        <w:rPr>
          <w:bCs/>
          <w:sz w:val="24"/>
          <w:szCs w:val="24"/>
        </w:rPr>
        <w:t>na diaľku.</w:t>
      </w:r>
    </w:p>
    <w:p w:rsidR="002C6587" w:rsidRDefault="001C133C" w:rsidP="00734F29">
      <w:pPr>
        <w:pBdr>
          <w:top w:val="single" w:sz="4" w:space="1" w:color="auto"/>
          <w:left w:val="single" w:sz="4" w:space="4" w:color="auto"/>
          <w:bottom w:val="single" w:sz="4" w:space="0" w:color="auto"/>
          <w:right w:val="single" w:sz="4" w:space="4" w:color="auto"/>
        </w:pBdr>
        <w:jc w:val="both"/>
        <w:rPr>
          <w:bCs/>
          <w:sz w:val="24"/>
          <w:szCs w:val="24"/>
        </w:rPr>
      </w:pPr>
      <w:r>
        <w:rPr>
          <w:bCs/>
          <w:sz w:val="24"/>
          <w:szCs w:val="24"/>
        </w:rPr>
        <w:t xml:space="preserve">Inštitút </w:t>
      </w:r>
      <w:r w:rsidR="00C56FF9">
        <w:rPr>
          <w:bCs/>
          <w:sz w:val="24"/>
          <w:szCs w:val="24"/>
        </w:rPr>
        <w:t>finančnej politiky Ministerstva financií SR vypracoval kvalifikovaný odhad pozitívnych dopadov na štátny rozpočet</w:t>
      </w:r>
      <w:r w:rsidR="0011183A">
        <w:rPr>
          <w:bCs/>
          <w:sz w:val="24"/>
          <w:szCs w:val="24"/>
        </w:rPr>
        <w:t xml:space="preserve">.  </w:t>
      </w:r>
    </w:p>
    <w:p w:rsidR="00421F24" w:rsidRP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r w:rsidRPr="00421F24">
        <w:rPr>
          <w:bCs/>
          <w:sz w:val="24"/>
          <w:szCs w:val="24"/>
        </w:rPr>
        <w:t>Fiškálny vplyv kvantifikuje 2 spôsobmi (top-</w:t>
      </w:r>
      <w:proofErr w:type="spellStart"/>
      <w:r w:rsidRPr="00421F24">
        <w:rPr>
          <w:bCs/>
          <w:sz w:val="24"/>
          <w:szCs w:val="24"/>
        </w:rPr>
        <w:t>down</w:t>
      </w:r>
      <w:proofErr w:type="spellEnd"/>
      <w:r w:rsidRPr="00421F24">
        <w:rPr>
          <w:bCs/>
          <w:sz w:val="24"/>
          <w:szCs w:val="24"/>
        </w:rPr>
        <w:t xml:space="preserve"> a </w:t>
      </w:r>
      <w:proofErr w:type="spellStart"/>
      <w:r w:rsidRPr="00421F24">
        <w:rPr>
          <w:bCs/>
          <w:sz w:val="24"/>
          <w:szCs w:val="24"/>
        </w:rPr>
        <w:t>bottom-up</w:t>
      </w:r>
      <w:proofErr w:type="spellEnd"/>
      <w:r w:rsidRPr="00421F24">
        <w:rPr>
          <w:bCs/>
          <w:sz w:val="24"/>
          <w:szCs w:val="24"/>
        </w:rPr>
        <w:t>):</w:t>
      </w:r>
    </w:p>
    <w:p w:rsidR="00421F24" w:rsidRP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p>
    <w:p w:rsidR="00421F24" w:rsidRP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r w:rsidRPr="00421F24">
        <w:rPr>
          <w:bCs/>
          <w:sz w:val="24"/>
          <w:szCs w:val="24"/>
        </w:rPr>
        <w:t>1. Prístup zhora-nadol: dostupné odhady výnosu pre Európsku Úniu ako celok (7 000 mil. eur) a Rak</w:t>
      </w:r>
      <w:r>
        <w:rPr>
          <w:bCs/>
          <w:sz w:val="24"/>
          <w:szCs w:val="24"/>
        </w:rPr>
        <w:t xml:space="preserve">úsko (150 mil. eur) sa </w:t>
      </w:r>
      <w:proofErr w:type="spellStart"/>
      <w:r>
        <w:rPr>
          <w:bCs/>
          <w:sz w:val="24"/>
          <w:szCs w:val="24"/>
        </w:rPr>
        <w:t>aproximuje</w:t>
      </w:r>
      <w:proofErr w:type="spellEnd"/>
      <w:r w:rsidRPr="00421F24">
        <w:rPr>
          <w:bCs/>
          <w:sz w:val="24"/>
          <w:szCs w:val="24"/>
        </w:rPr>
        <w:t xml:space="preserve"> na Slovensko podľa veľkosti E-</w:t>
      </w:r>
      <w:proofErr w:type="spellStart"/>
      <w:r w:rsidRPr="00421F24">
        <w:rPr>
          <w:bCs/>
          <w:sz w:val="24"/>
          <w:szCs w:val="24"/>
        </w:rPr>
        <w:t>commerce</w:t>
      </w:r>
      <w:proofErr w:type="spellEnd"/>
      <w:r w:rsidRPr="00421F24">
        <w:rPr>
          <w:bCs/>
          <w:sz w:val="24"/>
          <w:szCs w:val="24"/>
        </w:rPr>
        <w:t xml:space="preserve"> trhu. Odhad </w:t>
      </w:r>
      <w:r w:rsidRPr="00421F24">
        <w:rPr>
          <w:bCs/>
          <w:sz w:val="24"/>
          <w:szCs w:val="24"/>
        </w:rPr>
        <w:lastRenderedPageBreak/>
        <w:t>výnosu je súčin slovenského e-</w:t>
      </w:r>
      <w:proofErr w:type="spellStart"/>
      <w:r w:rsidRPr="00421F24">
        <w:rPr>
          <w:bCs/>
          <w:sz w:val="24"/>
          <w:szCs w:val="24"/>
        </w:rPr>
        <w:t>commerce</w:t>
      </w:r>
      <w:proofErr w:type="spellEnd"/>
      <w:r w:rsidRPr="00421F24">
        <w:rPr>
          <w:bCs/>
          <w:sz w:val="24"/>
          <w:szCs w:val="24"/>
        </w:rPr>
        <w:t xml:space="preserve"> trhu (1 122 mil. eur) a podielu európskeho výnosu (2,1 %), respektíve rakúskeho výnosu (2,4 %). </w:t>
      </w:r>
    </w:p>
    <w:p w:rsidR="00421F24" w:rsidRP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p>
    <w:p w:rsidR="00421F24" w:rsidRP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r w:rsidRPr="00421F24">
        <w:rPr>
          <w:bCs/>
          <w:sz w:val="24"/>
          <w:szCs w:val="24"/>
        </w:rPr>
        <w:t>2. Prístup zdola-nahor: na základe údajov o počte nakupujúcich, priemernom objeme nákupov z tretích krajín a predpokladoch o objeme dodávok do 22 eur. Základom prístupu je celkový počet užívateľov (3,6 mil.) a ich priemerný ročný nák</w:t>
      </w:r>
      <w:r>
        <w:rPr>
          <w:bCs/>
          <w:sz w:val="24"/>
          <w:szCs w:val="24"/>
        </w:rPr>
        <w:t>up (276 eur). Výpočet sa upravuje</w:t>
      </w:r>
      <w:r w:rsidRPr="00421F24">
        <w:rPr>
          <w:bCs/>
          <w:sz w:val="24"/>
          <w:szCs w:val="24"/>
        </w:rPr>
        <w:t xml:space="preserve"> o objem nákupov z tretích krajín (17 %), ktorý </w:t>
      </w:r>
      <w:r>
        <w:rPr>
          <w:bCs/>
          <w:sz w:val="24"/>
          <w:szCs w:val="24"/>
        </w:rPr>
        <w:t xml:space="preserve">sa </w:t>
      </w:r>
      <w:proofErr w:type="spellStart"/>
      <w:r w:rsidRPr="00421F24">
        <w:rPr>
          <w:bCs/>
          <w:sz w:val="24"/>
          <w:szCs w:val="24"/>
        </w:rPr>
        <w:t>aproximuje</w:t>
      </w:r>
      <w:proofErr w:type="spellEnd"/>
      <w:r w:rsidRPr="00421F24">
        <w:rPr>
          <w:bCs/>
          <w:sz w:val="24"/>
          <w:szCs w:val="24"/>
        </w:rPr>
        <w:t xml:space="preserve"> podielom importov spotrebného tovaru z tretích krajín. Zároveň na základe štruktúry e-</w:t>
      </w:r>
      <w:proofErr w:type="spellStart"/>
      <w:r w:rsidRPr="00421F24">
        <w:rPr>
          <w:bCs/>
          <w:sz w:val="24"/>
          <w:szCs w:val="24"/>
        </w:rPr>
        <w:t>commerce</w:t>
      </w:r>
      <w:proofErr w:type="spellEnd"/>
      <w:r w:rsidRPr="00421F24">
        <w:rPr>
          <w:bCs/>
          <w:sz w:val="24"/>
          <w:szCs w:val="24"/>
        </w:rPr>
        <w:t xml:space="preserve"> výnosov </w:t>
      </w:r>
      <w:r w:rsidR="004E44F6">
        <w:rPr>
          <w:bCs/>
          <w:sz w:val="24"/>
          <w:szCs w:val="24"/>
        </w:rPr>
        <w:t>sa vyčleňuje</w:t>
      </w:r>
      <w:r w:rsidRPr="00421F24">
        <w:rPr>
          <w:bCs/>
          <w:sz w:val="24"/>
          <w:szCs w:val="24"/>
        </w:rPr>
        <w:t xml:space="preserve"> nákup drobnej elektroniky, hračiek a hobby potrieb, kde je predpoklad, že id</w:t>
      </w:r>
      <w:r w:rsidR="00B828AC">
        <w:rPr>
          <w:bCs/>
          <w:sz w:val="24"/>
          <w:szCs w:val="24"/>
        </w:rPr>
        <w:t>e o tovar do 22 eur (celkovo 64 </w:t>
      </w:r>
      <w:r w:rsidRPr="00421F24">
        <w:rPr>
          <w:bCs/>
          <w:sz w:val="24"/>
          <w:szCs w:val="24"/>
        </w:rPr>
        <w:t>% z nákupu).</w:t>
      </w:r>
    </w:p>
    <w:p w:rsidR="00421F24" w:rsidRP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p>
    <w:p w:rsidR="00421F24" w:rsidRPr="004E44F6" w:rsidRDefault="00421F24" w:rsidP="00421F24">
      <w:pPr>
        <w:pBdr>
          <w:top w:val="single" w:sz="4" w:space="1" w:color="auto"/>
          <w:left w:val="single" w:sz="4" w:space="4" w:color="auto"/>
          <w:bottom w:val="single" w:sz="4" w:space="0" w:color="auto"/>
          <w:right w:val="single" w:sz="4" w:space="4" w:color="auto"/>
        </w:pBdr>
        <w:jc w:val="both"/>
        <w:rPr>
          <w:bCs/>
          <w:sz w:val="24"/>
          <w:szCs w:val="24"/>
          <w:u w:val="single"/>
        </w:rPr>
      </w:pPr>
      <w:r w:rsidRPr="004E44F6">
        <w:rPr>
          <w:bCs/>
          <w:sz w:val="24"/>
          <w:szCs w:val="24"/>
          <w:u w:val="single"/>
        </w:rPr>
        <w:t>Fiškálny</w:t>
      </w:r>
      <w:r w:rsidR="00912381">
        <w:rPr>
          <w:bCs/>
          <w:sz w:val="24"/>
          <w:szCs w:val="24"/>
          <w:u w:val="single"/>
        </w:rPr>
        <w:t xml:space="preserve"> vplyv pre Slovensko (mil. eur)   II/</w:t>
      </w:r>
      <w:r w:rsidRPr="004E44F6">
        <w:rPr>
          <w:bCs/>
          <w:sz w:val="24"/>
          <w:szCs w:val="24"/>
          <w:u w:val="single"/>
        </w:rPr>
        <w:t>2021</w:t>
      </w:r>
      <w:r w:rsidRPr="004E44F6">
        <w:rPr>
          <w:bCs/>
          <w:sz w:val="24"/>
          <w:szCs w:val="24"/>
          <w:u w:val="single"/>
        </w:rPr>
        <w:tab/>
        <w:t>2022</w:t>
      </w:r>
      <w:r w:rsidRPr="004E44F6">
        <w:rPr>
          <w:bCs/>
          <w:sz w:val="24"/>
          <w:szCs w:val="24"/>
          <w:u w:val="single"/>
        </w:rPr>
        <w:tab/>
        <w:t>2023</w:t>
      </w:r>
      <w:r w:rsidRPr="004E44F6">
        <w:rPr>
          <w:bCs/>
          <w:sz w:val="24"/>
          <w:szCs w:val="24"/>
          <w:u w:val="single"/>
        </w:rPr>
        <w:tab/>
        <w:t>2024</w:t>
      </w:r>
    </w:p>
    <w:p w:rsidR="00421F24" w:rsidRP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r w:rsidRPr="00421F24">
        <w:rPr>
          <w:bCs/>
          <w:sz w:val="24"/>
          <w:szCs w:val="24"/>
        </w:rPr>
        <w:t>Zhora - nadol</w:t>
      </w:r>
      <w:r w:rsidRPr="00421F24">
        <w:rPr>
          <w:bCs/>
          <w:sz w:val="24"/>
          <w:szCs w:val="24"/>
        </w:rPr>
        <w:tab/>
        <w:t>Odhad podľa EÚ prístupu</w:t>
      </w:r>
      <w:r w:rsidRPr="00421F24">
        <w:rPr>
          <w:bCs/>
          <w:sz w:val="24"/>
          <w:szCs w:val="24"/>
        </w:rPr>
        <w:tab/>
      </w:r>
      <w:r w:rsidR="00912381">
        <w:rPr>
          <w:bCs/>
          <w:sz w:val="24"/>
          <w:szCs w:val="24"/>
        </w:rPr>
        <w:t>10</w:t>
      </w:r>
      <w:r w:rsidRPr="00421F24">
        <w:rPr>
          <w:bCs/>
          <w:sz w:val="24"/>
          <w:szCs w:val="24"/>
        </w:rPr>
        <w:tab/>
        <w:t>22</w:t>
      </w:r>
      <w:r w:rsidRPr="00421F24">
        <w:rPr>
          <w:bCs/>
          <w:sz w:val="24"/>
          <w:szCs w:val="24"/>
        </w:rPr>
        <w:tab/>
        <w:t>23</w:t>
      </w:r>
      <w:r w:rsidRPr="00421F24">
        <w:rPr>
          <w:bCs/>
          <w:sz w:val="24"/>
          <w:szCs w:val="24"/>
        </w:rPr>
        <w:tab/>
        <w:t>24</w:t>
      </w:r>
    </w:p>
    <w:p w:rsidR="00421F24" w:rsidRP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r w:rsidRPr="00421F24">
        <w:rPr>
          <w:bCs/>
          <w:sz w:val="24"/>
          <w:szCs w:val="24"/>
        </w:rPr>
        <w:t>Rakúsky prístup</w:t>
      </w:r>
      <w:r w:rsidR="00697A33">
        <w:rPr>
          <w:bCs/>
          <w:sz w:val="24"/>
          <w:szCs w:val="24"/>
        </w:rPr>
        <w:tab/>
      </w:r>
      <w:r w:rsidR="00697A33">
        <w:rPr>
          <w:bCs/>
          <w:sz w:val="24"/>
          <w:szCs w:val="24"/>
        </w:rPr>
        <w:tab/>
      </w:r>
      <w:r w:rsidR="00697A33">
        <w:rPr>
          <w:bCs/>
          <w:sz w:val="24"/>
          <w:szCs w:val="24"/>
        </w:rPr>
        <w:tab/>
      </w:r>
      <w:r w:rsidRPr="00421F24">
        <w:rPr>
          <w:bCs/>
          <w:sz w:val="24"/>
          <w:szCs w:val="24"/>
        </w:rPr>
        <w:tab/>
      </w:r>
      <w:r w:rsidR="00912381">
        <w:rPr>
          <w:bCs/>
          <w:sz w:val="24"/>
          <w:szCs w:val="24"/>
        </w:rPr>
        <w:t>12</w:t>
      </w:r>
      <w:r w:rsidRPr="00421F24">
        <w:rPr>
          <w:bCs/>
          <w:sz w:val="24"/>
          <w:szCs w:val="24"/>
        </w:rPr>
        <w:tab/>
        <w:t>26</w:t>
      </w:r>
      <w:r w:rsidRPr="00421F24">
        <w:rPr>
          <w:bCs/>
          <w:sz w:val="24"/>
          <w:szCs w:val="24"/>
        </w:rPr>
        <w:tab/>
        <w:t>27</w:t>
      </w:r>
      <w:r w:rsidRPr="00421F24">
        <w:rPr>
          <w:bCs/>
          <w:sz w:val="24"/>
          <w:szCs w:val="24"/>
        </w:rPr>
        <w:tab/>
        <w:t>28</w:t>
      </w:r>
    </w:p>
    <w:p w:rsidR="00421F24" w:rsidRPr="004E44F6" w:rsidRDefault="00421F24" w:rsidP="00421F24">
      <w:pPr>
        <w:pBdr>
          <w:top w:val="single" w:sz="4" w:space="1" w:color="auto"/>
          <w:left w:val="single" w:sz="4" w:space="4" w:color="auto"/>
          <w:bottom w:val="single" w:sz="4" w:space="0" w:color="auto"/>
          <w:right w:val="single" w:sz="4" w:space="4" w:color="auto"/>
        </w:pBdr>
        <w:jc w:val="both"/>
        <w:rPr>
          <w:bCs/>
          <w:sz w:val="24"/>
          <w:szCs w:val="24"/>
          <w:u w:val="single"/>
        </w:rPr>
      </w:pPr>
      <w:r w:rsidRPr="004E44F6">
        <w:rPr>
          <w:bCs/>
          <w:sz w:val="24"/>
          <w:szCs w:val="24"/>
          <w:u w:val="single"/>
        </w:rPr>
        <w:t xml:space="preserve">Zdola </w:t>
      </w:r>
      <w:r w:rsidR="00697A33">
        <w:rPr>
          <w:bCs/>
          <w:sz w:val="24"/>
          <w:szCs w:val="24"/>
          <w:u w:val="single"/>
        </w:rPr>
        <w:t>–</w:t>
      </w:r>
      <w:r w:rsidRPr="004E44F6">
        <w:rPr>
          <w:bCs/>
          <w:sz w:val="24"/>
          <w:szCs w:val="24"/>
          <w:u w:val="single"/>
        </w:rPr>
        <w:t xml:space="preserve"> nahor</w:t>
      </w:r>
      <w:r w:rsidR="00697A33">
        <w:rPr>
          <w:bCs/>
          <w:sz w:val="24"/>
          <w:szCs w:val="24"/>
          <w:u w:val="single"/>
        </w:rPr>
        <w:tab/>
      </w:r>
      <w:r w:rsidR="00697A33">
        <w:rPr>
          <w:bCs/>
          <w:sz w:val="24"/>
          <w:szCs w:val="24"/>
          <w:u w:val="single"/>
        </w:rPr>
        <w:tab/>
      </w:r>
      <w:r w:rsidR="00697A33">
        <w:rPr>
          <w:bCs/>
          <w:sz w:val="24"/>
          <w:szCs w:val="24"/>
          <w:u w:val="single"/>
        </w:rPr>
        <w:tab/>
      </w:r>
      <w:r w:rsidRPr="004E44F6">
        <w:rPr>
          <w:bCs/>
          <w:sz w:val="24"/>
          <w:szCs w:val="24"/>
          <w:u w:val="single"/>
        </w:rPr>
        <w:t xml:space="preserve"> </w:t>
      </w:r>
      <w:r w:rsidRPr="004E44F6">
        <w:rPr>
          <w:bCs/>
          <w:sz w:val="24"/>
          <w:szCs w:val="24"/>
          <w:u w:val="single"/>
        </w:rPr>
        <w:tab/>
      </w:r>
      <w:r w:rsidRPr="004E44F6">
        <w:rPr>
          <w:bCs/>
          <w:sz w:val="24"/>
          <w:szCs w:val="24"/>
          <w:u w:val="single"/>
        </w:rPr>
        <w:tab/>
      </w:r>
      <w:r w:rsidR="00912381">
        <w:rPr>
          <w:bCs/>
          <w:sz w:val="24"/>
          <w:szCs w:val="24"/>
          <w:u w:val="single"/>
        </w:rPr>
        <w:t>10,5</w:t>
      </w:r>
      <w:r w:rsidRPr="004E44F6">
        <w:rPr>
          <w:bCs/>
          <w:sz w:val="24"/>
          <w:szCs w:val="24"/>
          <w:u w:val="single"/>
        </w:rPr>
        <w:tab/>
        <w:t>23</w:t>
      </w:r>
      <w:r w:rsidRPr="004E44F6">
        <w:rPr>
          <w:bCs/>
          <w:sz w:val="24"/>
          <w:szCs w:val="24"/>
          <w:u w:val="single"/>
        </w:rPr>
        <w:tab/>
        <w:t>24</w:t>
      </w:r>
      <w:r w:rsidRPr="004E44F6">
        <w:rPr>
          <w:bCs/>
          <w:sz w:val="24"/>
          <w:szCs w:val="24"/>
          <w:u w:val="single"/>
        </w:rPr>
        <w:tab/>
        <w:t>25</w:t>
      </w:r>
    </w:p>
    <w:p w:rsid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r w:rsidRPr="00421F24">
        <w:rPr>
          <w:bCs/>
          <w:sz w:val="24"/>
          <w:szCs w:val="24"/>
        </w:rPr>
        <w:t>Fiškálny vplyv (priemer)</w:t>
      </w:r>
      <w:r w:rsidRPr="00421F24">
        <w:rPr>
          <w:bCs/>
          <w:sz w:val="24"/>
          <w:szCs w:val="24"/>
        </w:rPr>
        <w:tab/>
      </w:r>
      <w:r w:rsidRPr="00421F24">
        <w:rPr>
          <w:bCs/>
          <w:sz w:val="24"/>
          <w:szCs w:val="24"/>
        </w:rPr>
        <w:tab/>
      </w:r>
      <w:r>
        <w:rPr>
          <w:bCs/>
          <w:sz w:val="24"/>
          <w:szCs w:val="24"/>
        </w:rPr>
        <w:tab/>
      </w:r>
      <w:r w:rsidR="00912381">
        <w:rPr>
          <w:bCs/>
          <w:sz w:val="24"/>
          <w:szCs w:val="24"/>
        </w:rPr>
        <w:t>11</w:t>
      </w:r>
      <w:r w:rsidRPr="00421F24">
        <w:rPr>
          <w:bCs/>
          <w:sz w:val="24"/>
          <w:szCs w:val="24"/>
        </w:rPr>
        <w:tab/>
        <w:t>23</w:t>
      </w:r>
      <w:r w:rsidRPr="00421F24">
        <w:rPr>
          <w:bCs/>
          <w:sz w:val="24"/>
          <w:szCs w:val="24"/>
        </w:rPr>
        <w:tab/>
        <w:t>25</w:t>
      </w:r>
      <w:r w:rsidRPr="00421F24">
        <w:rPr>
          <w:bCs/>
          <w:sz w:val="24"/>
          <w:szCs w:val="24"/>
        </w:rPr>
        <w:tab/>
        <w:t>26</w:t>
      </w:r>
    </w:p>
    <w:p w:rsid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p>
    <w:p w:rsid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r>
        <w:rPr>
          <w:bCs/>
          <w:sz w:val="24"/>
          <w:szCs w:val="24"/>
        </w:rPr>
        <w:t>Riziká nižšieho ako odhadovaného výnosu:</w:t>
      </w:r>
    </w:p>
    <w:p w:rsid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r>
        <w:rPr>
          <w:bCs/>
          <w:sz w:val="24"/>
          <w:szCs w:val="24"/>
        </w:rPr>
        <w:t>- f</w:t>
      </w:r>
      <w:r w:rsidRPr="00421F24">
        <w:rPr>
          <w:bCs/>
          <w:sz w:val="24"/>
          <w:szCs w:val="24"/>
        </w:rPr>
        <w:t xml:space="preserve">inančná správa nemá k dispozícii dáta o objeme a cene zásielok z tretích krajín, ktoré </w:t>
      </w:r>
      <w:r>
        <w:rPr>
          <w:bCs/>
          <w:sz w:val="24"/>
          <w:szCs w:val="24"/>
        </w:rPr>
        <w:t xml:space="preserve">dnes       </w:t>
      </w:r>
    </w:p>
    <w:p w:rsid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r w:rsidRPr="00421F24">
        <w:rPr>
          <w:bCs/>
          <w:sz w:val="24"/>
          <w:szCs w:val="24"/>
        </w:rPr>
        <w:t>podliehajú oslobodeniu</w:t>
      </w:r>
      <w:r>
        <w:rPr>
          <w:bCs/>
          <w:sz w:val="24"/>
          <w:szCs w:val="24"/>
        </w:rPr>
        <w:t>,</w:t>
      </w:r>
    </w:p>
    <w:p w:rsidR="00421F24" w:rsidRDefault="00421F24" w:rsidP="00421F24">
      <w:pPr>
        <w:pBdr>
          <w:top w:val="single" w:sz="4" w:space="1" w:color="auto"/>
          <w:left w:val="single" w:sz="4" w:space="4" w:color="auto"/>
          <w:bottom w:val="single" w:sz="4" w:space="0" w:color="auto"/>
          <w:right w:val="single" w:sz="4" w:space="4" w:color="auto"/>
        </w:pBdr>
        <w:jc w:val="both"/>
        <w:rPr>
          <w:bCs/>
          <w:sz w:val="24"/>
          <w:szCs w:val="24"/>
        </w:rPr>
      </w:pPr>
      <w:r>
        <w:rPr>
          <w:bCs/>
          <w:sz w:val="24"/>
          <w:szCs w:val="24"/>
        </w:rPr>
        <w:t xml:space="preserve">- </w:t>
      </w:r>
      <w:r w:rsidR="004E44F6">
        <w:rPr>
          <w:bCs/>
          <w:sz w:val="24"/>
          <w:szCs w:val="24"/>
        </w:rPr>
        <w:t>neistota</w:t>
      </w:r>
      <w:r w:rsidR="004E44F6" w:rsidRPr="004E44F6">
        <w:rPr>
          <w:bCs/>
          <w:sz w:val="24"/>
          <w:szCs w:val="24"/>
        </w:rPr>
        <w:t xml:space="preserve"> ohľadne veľkosti slovenského E-</w:t>
      </w:r>
      <w:proofErr w:type="spellStart"/>
      <w:r w:rsidR="004E44F6" w:rsidRPr="004E44F6">
        <w:rPr>
          <w:bCs/>
          <w:sz w:val="24"/>
          <w:szCs w:val="24"/>
        </w:rPr>
        <w:t>commerce</w:t>
      </w:r>
      <w:proofErr w:type="spellEnd"/>
      <w:r w:rsidR="004E44F6" w:rsidRPr="004E44F6">
        <w:rPr>
          <w:bCs/>
          <w:sz w:val="24"/>
          <w:szCs w:val="24"/>
        </w:rPr>
        <w:t xml:space="preserve"> trh</w:t>
      </w:r>
      <w:r w:rsidR="004E44F6">
        <w:rPr>
          <w:bCs/>
          <w:sz w:val="24"/>
          <w:szCs w:val="24"/>
        </w:rPr>
        <w:t>u,</w:t>
      </w:r>
    </w:p>
    <w:p w:rsidR="004E44F6" w:rsidRDefault="004E44F6" w:rsidP="00421F24">
      <w:pPr>
        <w:pBdr>
          <w:top w:val="single" w:sz="4" w:space="1" w:color="auto"/>
          <w:left w:val="single" w:sz="4" w:space="4" w:color="auto"/>
          <w:bottom w:val="single" w:sz="4" w:space="0" w:color="auto"/>
          <w:right w:val="single" w:sz="4" w:space="4" w:color="auto"/>
        </w:pBdr>
        <w:jc w:val="both"/>
        <w:rPr>
          <w:bCs/>
          <w:sz w:val="24"/>
          <w:szCs w:val="24"/>
        </w:rPr>
      </w:pPr>
      <w:r>
        <w:rPr>
          <w:bCs/>
          <w:sz w:val="24"/>
          <w:szCs w:val="24"/>
        </w:rPr>
        <w:t xml:space="preserve">- </w:t>
      </w:r>
      <w:r w:rsidRPr="004E44F6">
        <w:rPr>
          <w:bCs/>
          <w:sz w:val="24"/>
          <w:szCs w:val="24"/>
        </w:rPr>
        <w:t>rýchlo</w:t>
      </w:r>
      <w:r>
        <w:rPr>
          <w:bCs/>
          <w:sz w:val="24"/>
          <w:szCs w:val="24"/>
        </w:rPr>
        <w:t>sť</w:t>
      </w:r>
      <w:r w:rsidRPr="004E44F6">
        <w:rPr>
          <w:bCs/>
          <w:sz w:val="24"/>
          <w:szCs w:val="24"/>
        </w:rPr>
        <w:t xml:space="preserve"> a</w:t>
      </w:r>
      <w:r>
        <w:rPr>
          <w:bCs/>
          <w:sz w:val="24"/>
          <w:szCs w:val="24"/>
        </w:rPr>
        <w:t> </w:t>
      </w:r>
      <w:r w:rsidRPr="004E44F6">
        <w:rPr>
          <w:bCs/>
          <w:sz w:val="24"/>
          <w:szCs w:val="24"/>
        </w:rPr>
        <w:t>efekt</w:t>
      </w:r>
      <w:r>
        <w:rPr>
          <w:bCs/>
          <w:sz w:val="24"/>
          <w:szCs w:val="24"/>
        </w:rPr>
        <w:t xml:space="preserve">ivita </w:t>
      </w:r>
      <w:r w:rsidRPr="004E44F6">
        <w:rPr>
          <w:bCs/>
          <w:sz w:val="24"/>
          <w:szCs w:val="24"/>
        </w:rPr>
        <w:t>transpo</w:t>
      </w:r>
      <w:r>
        <w:rPr>
          <w:bCs/>
          <w:sz w:val="24"/>
          <w:szCs w:val="24"/>
        </w:rPr>
        <w:t>zície</w:t>
      </w:r>
      <w:r w:rsidRPr="004E44F6">
        <w:rPr>
          <w:bCs/>
          <w:sz w:val="24"/>
          <w:szCs w:val="24"/>
        </w:rPr>
        <w:t xml:space="preserve"> smernic</w:t>
      </w:r>
      <w:r>
        <w:rPr>
          <w:bCs/>
          <w:sz w:val="24"/>
          <w:szCs w:val="24"/>
        </w:rPr>
        <w:t>e zavádzajúcej nové opatrenia</w:t>
      </w:r>
      <w:r w:rsidRPr="004E44F6">
        <w:rPr>
          <w:bCs/>
          <w:sz w:val="24"/>
          <w:szCs w:val="24"/>
        </w:rPr>
        <w:t xml:space="preserve"> od </w:t>
      </w:r>
      <w:r w:rsidR="00912381">
        <w:rPr>
          <w:bCs/>
          <w:sz w:val="24"/>
          <w:szCs w:val="24"/>
        </w:rPr>
        <w:t xml:space="preserve">polovice </w:t>
      </w:r>
      <w:r w:rsidRPr="004E44F6">
        <w:rPr>
          <w:bCs/>
          <w:sz w:val="24"/>
          <w:szCs w:val="24"/>
        </w:rPr>
        <w:t>roku 2021</w:t>
      </w:r>
      <w:r w:rsidR="00912381">
        <w:rPr>
          <w:bCs/>
          <w:sz w:val="24"/>
          <w:szCs w:val="24"/>
        </w:rPr>
        <w:t>.</w:t>
      </w:r>
    </w:p>
    <w:p w:rsidR="00421F24" w:rsidRPr="0011183A" w:rsidRDefault="00421F24" w:rsidP="00421F24">
      <w:pPr>
        <w:pBdr>
          <w:top w:val="single" w:sz="4" w:space="1" w:color="auto"/>
          <w:left w:val="single" w:sz="4" w:space="4" w:color="auto"/>
          <w:bottom w:val="single" w:sz="4" w:space="0" w:color="auto"/>
          <w:right w:val="single" w:sz="4" w:space="4" w:color="auto"/>
        </w:pBdr>
        <w:jc w:val="both"/>
        <w:rPr>
          <w:bCs/>
          <w:sz w:val="24"/>
          <w:szCs w:val="24"/>
        </w:rPr>
      </w:pPr>
    </w:p>
    <w:p w:rsidR="00C3355F" w:rsidRPr="001C133C" w:rsidRDefault="0021623D" w:rsidP="00C3355F">
      <w:pPr>
        <w:pBdr>
          <w:top w:val="single" w:sz="4" w:space="1" w:color="auto"/>
          <w:left w:val="single" w:sz="4" w:space="4" w:color="auto"/>
          <w:bottom w:val="single" w:sz="4" w:space="0" w:color="auto"/>
          <w:right w:val="single" w:sz="4" w:space="4" w:color="auto"/>
        </w:pBdr>
        <w:jc w:val="both"/>
        <w:rPr>
          <w:bCs/>
          <w:sz w:val="24"/>
          <w:szCs w:val="24"/>
        </w:rPr>
      </w:pPr>
      <w:r w:rsidRPr="001C133C">
        <w:rPr>
          <w:bCs/>
          <w:sz w:val="24"/>
          <w:szCs w:val="24"/>
        </w:rPr>
        <w:t>Ministerstvo financií SR požiadalo Finančné riaditeľstvo SR o kvantifikáciu dopadov na informačný systém FS v súvislosti s navrhovanými opatreni</w:t>
      </w:r>
      <w:r w:rsidR="00C3355F" w:rsidRPr="001C133C">
        <w:rPr>
          <w:bCs/>
          <w:sz w:val="24"/>
          <w:szCs w:val="24"/>
        </w:rPr>
        <w:t>ami. Z odpovede vyplynulo, že plnenie návrhu zákona v plnom rozsahu je podmienené úpravami informačných systémov v sume</w:t>
      </w:r>
      <w:r w:rsidR="004C136F">
        <w:rPr>
          <w:bCs/>
          <w:sz w:val="24"/>
          <w:szCs w:val="24"/>
        </w:rPr>
        <w:t xml:space="preserve"> 16 191 740</w:t>
      </w:r>
      <w:r w:rsidR="00C3355F" w:rsidRPr="001C133C">
        <w:rPr>
          <w:bCs/>
          <w:sz w:val="24"/>
          <w:szCs w:val="24"/>
        </w:rPr>
        <w:t xml:space="preserve"> eur. Ide o: </w:t>
      </w:r>
    </w:p>
    <w:p w:rsidR="00C3355F" w:rsidRPr="001C133C" w:rsidRDefault="00C3355F" w:rsidP="00C3355F">
      <w:pPr>
        <w:pBdr>
          <w:top w:val="single" w:sz="4" w:space="1" w:color="auto"/>
          <w:left w:val="single" w:sz="4" w:space="4" w:color="auto"/>
          <w:bottom w:val="single" w:sz="4" w:space="0" w:color="auto"/>
          <w:right w:val="single" w:sz="4" w:space="4" w:color="auto"/>
        </w:pBdr>
        <w:jc w:val="both"/>
        <w:rPr>
          <w:bCs/>
          <w:sz w:val="24"/>
          <w:szCs w:val="24"/>
        </w:rPr>
      </w:pPr>
      <w:r w:rsidRPr="001C133C">
        <w:rPr>
          <w:bCs/>
          <w:sz w:val="24"/>
          <w:szCs w:val="24"/>
        </w:rPr>
        <w:t xml:space="preserve">1. Finančné riaditeľstvo SR: </w:t>
      </w:r>
    </w:p>
    <w:p w:rsidR="00C3355F" w:rsidRPr="001C133C" w:rsidRDefault="00C3355F" w:rsidP="00C3355F">
      <w:pPr>
        <w:pBdr>
          <w:top w:val="single" w:sz="4" w:space="1" w:color="auto"/>
          <w:left w:val="single" w:sz="4" w:space="4" w:color="auto"/>
          <w:bottom w:val="single" w:sz="4" w:space="0" w:color="auto"/>
          <w:right w:val="single" w:sz="4" w:space="4" w:color="auto"/>
        </w:pBdr>
        <w:jc w:val="both"/>
        <w:rPr>
          <w:bCs/>
          <w:sz w:val="24"/>
          <w:szCs w:val="24"/>
        </w:rPr>
      </w:pPr>
      <w:r w:rsidRPr="001C133C">
        <w:rPr>
          <w:bCs/>
          <w:sz w:val="24"/>
          <w:szCs w:val="24"/>
        </w:rPr>
        <w:t xml:space="preserve">- </w:t>
      </w:r>
      <w:r w:rsidRPr="001C133C">
        <w:rPr>
          <w:b/>
          <w:bCs/>
          <w:sz w:val="24"/>
          <w:szCs w:val="24"/>
        </w:rPr>
        <w:t xml:space="preserve">Integrovaný systém Finančnej správy – správa daní (ISFS-SD) v sume 600 000 eur </w:t>
      </w:r>
      <w:r w:rsidRPr="001C133C">
        <w:rPr>
          <w:bCs/>
          <w:sz w:val="24"/>
          <w:szCs w:val="24"/>
        </w:rPr>
        <w:t>(podprogram medzirezortného programu 0EK 0D Informačné technológie financované zo štátneho rozpočtu – Ministerstvo financií SR, kapitálové výdavky, položka 718</w:t>
      </w:r>
      <w:r w:rsidR="00481537">
        <w:rPr>
          <w:bCs/>
          <w:sz w:val="24"/>
          <w:szCs w:val="24"/>
        </w:rPr>
        <w:t xml:space="preserve"> rekonštrukcia a modernizácia),</w:t>
      </w:r>
    </w:p>
    <w:p w:rsidR="004C136F" w:rsidRDefault="00C3355F" w:rsidP="00C3355F">
      <w:pPr>
        <w:pBdr>
          <w:top w:val="single" w:sz="4" w:space="1" w:color="auto"/>
          <w:left w:val="single" w:sz="4" w:space="4" w:color="auto"/>
          <w:bottom w:val="single" w:sz="4" w:space="0" w:color="auto"/>
          <w:right w:val="single" w:sz="4" w:space="4" w:color="auto"/>
        </w:pBdr>
        <w:jc w:val="both"/>
        <w:rPr>
          <w:bCs/>
          <w:sz w:val="24"/>
          <w:szCs w:val="24"/>
        </w:rPr>
      </w:pPr>
      <w:r w:rsidRPr="001C133C">
        <w:rPr>
          <w:bCs/>
          <w:sz w:val="24"/>
          <w:szCs w:val="24"/>
        </w:rPr>
        <w:t xml:space="preserve">- </w:t>
      </w:r>
      <w:r w:rsidRPr="001C133C">
        <w:rPr>
          <w:b/>
          <w:bCs/>
          <w:sz w:val="24"/>
          <w:szCs w:val="24"/>
        </w:rPr>
        <w:t>colné systémy (DS, ICS2, NSAR, TKD, Surv3)</w:t>
      </w:r>
      <w:r w:rsidR="00A16C6C">
        <w:rPr>
          <w:b/>
          <w:bCs/>
          <w:sz w:val="24"/>
          <w:szCs w:val="24"/>
        </w:rPr>
        <w:t xml:space="preserve"> </w:t>
      </w:r>
      <w:r w:rsidR="00A16C6C" w:rsidRPr="00912381">
        <w:rPr>
          <w:b/>
          <w:bCs/>
          <w:sz w:val="24"/>
          <w:szCs w:val="24"/>
        </w:rPr>
        <w:t>a KV DPH</w:t>
      </w:r>
      <w:r w:rsidRPr="00912381">
        <w:rPr>
          <w:b/>
          <w:bCs/>
          <w:sz w:val="24"/>
          <w:szCs w:val="24"/>
        </w:rPr>
        <w:t xml:space="preserve"> </w:t>
      </w:r>
      <w:r w:rsidRPr="001C133C">
        <w:rPr>
          <w:b/>
          <w:bCs/>
          <w:sz w:val="24"/>
          <w:szCs w:val="24"/>
        </w:rPr>
        <w:t xml:space="preserve">v sume 4 200 000 eur </w:t>
      </w:r>
      <w:r w:rsidRPr="001C133C">
        <w:rPr>
          <w:bCs/>
          <w:sz w:val="24"/>
          <w:szCs w:val="24"/>
        </w:rPr>
        <w:t xml:space="preserve">(podprogram medzirezortného programu 0EK 0D Informačné technológie financované zo štátneho rozpočtu – Ministerstvo financií SR, kapitálové výdavky, položka 718 rekonštrukcia a modernizácia), </w:t>
      </w:r>
    </w:p>
    <w:p w:rsidR="00481537" w:rsidRDefault="004C136F" w:rsidP="00C3355F">
      <w:pPr>
        <w:pBdr>
          <w:top w:val="single" w:sz="4" w:space="1" w:color="auto"/>
          <w:left w:val="single" w:sz="4" w:space="4" w:color="auto"/>
          <w:bottom w:val="single" w:sz="4" w:space="0" w:color="auto"/>
          <w:right w:val="single" w:sz="4" w:space="4" w:color="auto"/>
        </w:pBdr>
        <w:jc w:val="both"/>
        <w:rPr>
          <w:bCs/>
          <w:sz w:val="24"/>
          <w:szCs w:val="24"/>
        </w:rPr>
      </w:pPr>
      <w:r>
        <w:rPr>
          <w:bCs/>
          <w:sz w:val="24"/>
          <w:szCs w:val="24"/>
        </w:rPr>
        <w:t xml:space="preserve">- </w:t>
      </w:r>
      <w:r w:rsidRPr="004C136F">
        <w:rPr>
          <w:b/>
          <w:bCs/>
          <w:sz w:val="24"/>
          <w:szCs w:val="24"/>
        </w:rPr>
        <w:t>Administratívny informačný systém (ADMIS)</w:t>
      </w:r>
      <w:r>
        <w:rPr>
          <w:bCs/>
          <w:sz w:val="24"/>
          <w:szCs w:val="24"/>
        </w:rPr>
        <w:t xml:space="preserve"> </w:t>
      </w:r>
      <w:r w:rsidRPr="004C136F">
        <w:rPr>
          <w:b/>
          <w:bCs/>
          <w:sz w:val="24"/>
          <w:szCs w:val="24"/>
        </w:rPr>
        <w:t>v sume 215 000 eur</w:t>
      </w:r>
      <w:r>
        <w:rPr>
          <w:bCs/>
          <w:sz w:val="24"/>
          <w:szCs w:val="24"/>
        </w:rPr>
        <w:t xml:space="preserve"> </w:t>
      </w:r>
      <w:r w:rsidRPr="001C133C">
        <w:rPr>
          <w:bCs/>
          <w:sz w:val="24"/>
          <w:szCs w:val="24"/>
        </w:rPr>
        <w:t xml:space="preserve">(podprogram medzirezortného programu 0EK 0D Informačné technológie financované zo štátneho rozpočtu – Ministerstvo financií SR, kapitálové výdavky, položka 718 rekonštrukcia a modernizácia), </w:t>
      </w:r>
    </w:p>
    <w:p w:rsidR="00481537" w:rsidRDefault="004C136F" w:rsidP="00C3355F">
      <w:pPr>
        <w:pBdr>
          <w:top w:val="single" w:sz="4" w:space="1" w:color="auto"/>
          <w:left w:val="single" w:sz="4" w:space="4" w:color="auto"/>
          <w:bottom w:val="single" w:sz="4" w:space="0" w:color="auto"/>
          <w:right w:val="single" w:sz="4" w:space="4" w:color="auto"/>
        </w:pBdr>
        <w:jc w:val="both"/>
        <w:rPr>
          <w:bCs/>
          <w:sz w:val="24"/>
          <w:szCs w:val="24"/>
        </w:rPr>
      </w:pPr>
      <w:r>
        <w:rPr>
          <w:bCs/>
          <w:sz w:val="24"/>
          <w:szCs w:val="24"/>
        </w:rPr>
        <w:t xml:space="preserve">- </w:t>
      </w:r>
      <w:proofErr w:type="spellStart"/>
      <w:r w:rsidRPr="004C136F">
        <w:rPr>
          <w:b/>
          <w:bCs/>
          <w:sz w:val="24"/>
          <w:szCs w:val="24"/>
        </w:rPr>
        <w:t>Accounting</w:t>
      </w:r>
      <w:proofErr w:type="spellEnd"/>
      <w:r w:rsidRPr="004C136F">
        <w:rPr>
          <w:b/>
          <w:bCs/>
          <w:sz w:val="24"/>
          <w:szCs w:val="24"/>
        </w:rPr>
        <w:t xml:space="preserve"> </w:t>
      </w:r>
      <w:proofErr w:type="spellStart"/>
      <w:r w:rsidRPr="004C136F">
        <w:rPr>
          <w:b/>
          <w:bCs/>
          <w:sz w:val="24"/>
          <w:szCs w:val="24"/>
        </w:rPr>
        <w:t>Customs</w:t>
      </w:r>
      <w:proofErr w:type="spellEnd"/>
      <w:r w:rsidRPr="004C136F">
        <w:rPr>
          <w:b/>
          <w:bCs/>
          <w:sz w:val="24"/>
          <w:szCs w:val="24"/>
        </w:rPr>
        <w:t xml:space="preserve"> </w:t>
      </w:r>
      <w:proofErr w:type="spellStart"/>
      <w:r w:rsidRPr="004C136F">
        <w:rPr>
          <w:b/>
          <w:bCs/>
          <w:sz w:val="24"/>
          <w:szCs w:val="24"/>
        </w:rPr>
        <w:t>Information</w:t>
      </w:r>
      <w:proofErr w:type="spellEnd"/>
      <w:r w:rsidRPr="004C136F">
        <w:rPr>
          <w:b/>
          <w:bCs/>
          <w:sz w:val="24"/>
          <w:szCs w:val="24"/>
        </w:rPr>
        <w:t xml:space="preserve"> </w:t>
      </w:r>
      <w:proofErr w:type="spellStart"/>
      <w:r w:rsidRPr="004C136F">
        <w:rPr>
          <w:b/>
          <w:bCs/>
          <w:sz w:val="24"/>
          <w:szCs w:val="24"/>
        </w:rPr>
        <w:t>System</w:t>
      </w:r>
      <w:proofErr w:type="spellEnd"/>
      <w:r w:rsidRPr="004C136F">
        <w:rPr>
          <w:b/>
          <w:bCs/>
          <w:sz w:val="24"/>
          <w:szCs w:val="24"/>
        </w:rPr>
        <w:t xml:space="preserve"> (ACIS) v sume 300 000 eur</w:t>
      </w:r>
      <w:r>
        <w:rPr>
          <w:b/>
          <w:bCs/>
          <w:sz w:val="24"/>
          <w:szCs w:val="24"/>
        </w:rPr>
        <w:t xml:space="preserve"> </w:t>
      </w:r>
      <w:r w:rsidRPr="001C133C">
        <w:rPr>
          <w:bCs/>
          <w:sz w:val="24"/>
          <w:szCs w:val="24"/>
        </w:rPr>
        <w:t>(podprogram medzirezortného programu 0EK 0D Informačné technológie financované zo štátneho rozpočtu</w:t>
      </w:r>
      <w:r w:rsidR="00FB7959">
        <w:rPr>
          <w:bCs/>
          <w:sz w:val="24"/>
          <w:szCs w:val="24"/>
        </w:rPr>
        <w:t>.</w:t>
      </w:r>
    </w:p>
    <w:p w:rsidR="004C136F" w:rsidRDefault="004C136F" w:rsidP="00C3355F">
      <w:pPr>
        <w:pBdr>
          <w:top w:val="single" w:sz="4" w:space="1" w:color="auto"/>
          <w:left w:val="single" w:sz="4" w:space="4" w:color="auto"/>
          <w:bottom w:val="single" w:sz="4" w:space="0" w:color="auto"/>
          <w:right w:val="single" w:sz="4" w:space="4" w:color="auto"/>
        </w:pBdr>
        <w:jc w:val="both"/>
        <w:rPr>
          <w:bCs/>
          <w:sz w:val="24"/>
          <w:szCs w:val="24"/>
        </w:rPr>
      </w:pPr>
      <w:r w:rsidRPr="001C133C">
        <w:rPr>
          <w:bCs/>
          <w:sz w:val="24"/>
          <w:szCs w:val="24"/>
        </w:rPr>
        <w:t xml:space="preserve"> </w:t>
      </w:r>
    </w:p>
    <w:p w:rsidR="0083725B" w:rsidRPr="00DC3F8B" w:rsidRDefault="0083725B" w:rsidP="0083725B">
      <w:pPr>
        <w:pBdr>
          <w:top w:val="single" w:sz="4" w:space="1" w:color="auto"/>
          <w:left w:val="single" w:sz="4" w:space="4" w:color="auto"/>
          <w:bottom w:val="single" w:sz="4" w:space="0" w:color="auto"/>
          <w:right w:val="single" w:sz="4" w:space="4" w:color="auto"/>
        </w:pBdr>
        <w:jc w:val="both"/>
        <w:rPr>
          <w:bCs/>
          <w:sz w:val="24"/>
          <w:szCs w:val="24"/>
        </w:rPr>
      </w:pPr>
      <w:r w:rsidRPr="00DC3F8B">
        <w:rPr>
          <w:bCs/>
          <w:sz w:val="24"/>
          <w:szCs w:val="24"/>
        </w:rPr>
        <w:t xml:space="preserve">Uvedené informačné systémy majú podporu krytú v rámci existujúcich zmlúv a ich cena sa nebude navyšovať. Avšak súčasťou vplyvu na rozpočet kapitoly </w:t>
      </w:r>
      <w:r w:rsidR="00D7290C" w:rsidRPr="00DC3F8B">
        <w:rPr>
          <w:bCs/>
          <w:sz w:val="24"/>
          <w:szCs w:val="24"/>
        </w:rPr>
        <w:t>MF</w:t>
      </w:r>
      <w:r w:rsidRPr="00DC3F8B">
        <w:rPr>
          <w:bCs/>
          <w:sz w:val="24"/>
          <w:szCs w:val="24"/>
        </w:rPr>
        <w:t xml:space="preserve"> SR</w:t>
      </w:r>
      <w:r w:rsidR="00D7290C" w:rsidRPr="00DC3F8B">
        <w:rPr>
          <w:bCs/>
          <w:sz w:val="24"/>
          <w:szCs w:val="24"/>
        </w:rPr>
        <w:t xml:space="preserve"> (organizácie FR SR)</w:t>
      </w:r>
      <w:r w:rsidRPr="00DC3F8B">
        <w:rPr>
          <w:bCs/>
          <w:sz w:val="24"/>
          <w:szCs w:val="24"/>
        </w:rPr>
        <w:t xml:space="preserve"> </w:t>
      </w:r>
      <w:r w:rsidR="004231A9" w:rsidRPr="00DC3F8B">
        <w:rPr>
          <w:bCs/>
          <w:sz w:val="24"/>
          <w:szCs w:val="24"/>
        </w:rPr>
        <w:t xml:space="preserve">pri tejto téme </w:t>
      </w:r>
      <w:r w:rsidRPr="00DC3F8B">
        <w:rPr>
          <w:bCs/>
          <w:sz w:val="24"/>
          <w:szCs w:val="24"/>
        </w:rPr>
        <w:t xml:space="preserve">je financovanie podpory dvoch modulov - OSS a IOSS po implementácii zmien od roku 2021 v sume 293 204 eur ročne. </w:t>
      </w:r>
    </w:p>
    <w:p w:rsidR="0016396C" w:rsidRPr="00DC3F8B" w:rsidRDefault="0016396C" w:rsidP="0083725B">
      <w:pPr>
        <w:pBdr>
          <w:top w:val="single" w:sz="4" w:space="1" w:color="auto"/>
          <w:left w:val="single" w:sz="4" w:space="4" w:color="auto"/>
          <w:bottom w:val="single" w:sz="4" w:space="0" w:color="auto"/>
          <w:right w:val="single" w:sz="4" w:space="4" w:color="auto"/>
        </w:pBdr>
        <w:jc w:val="both"/>
        <w:rPr>
          <w:bCs/>
          <w:sz w:val="24"/>
          <w:szCs w:val="24"/>
        </w:rPr>
      </w:pPr>
    </w:p>
    <w:p w:rsidR="00C3355F" w:rsidRPr="001C133C" w:rsidRDefault="00C3355F" w:rsidP="00C3355F">
      <w:pPr>
        <w:pBdr>
          <w:top w:val="single" w:sz="4" w:space="1" w:color="auto"/>
          <w:left w:val="single" w:sz="4" w:space="4" w:color="auto"/>
          <w:bottom w:val="single" w:sz="4" w:space="0" w:color="auto"/>
          <w:right w:val="single" w:sz="4" w:space="4" w:color="auto"/>
        </w:pBdr>
        <w:jc w:val="both"/>
        <w:rPr>
          <w:bCs/>
          <w:sz w:val="24"/>
          <w:szCs w:val="24"/>
        </w:rPr>
      </w:pPr>
      <w:r w:rsidRPr="001C133C">
        <w:rPr>
          <w:bCs/>
          <w:sz w:val="24"/>
          <w:szCs w:val="24"/>
        </w:rPr>
        <w:t xml:space="preserve">2. Ministerstvo financií SR – úrad: </w:t>
      </w:r>
    </w:p>
    <w:p w:rsidR="00481537" w:rsidRDefault="00C3355F" w:rsidP="00C3355F">
      <w:pPr>
        <w:pBdr>
          <w:top w:val="single" w:sz="4" w:space="1" w:color="auto"/>
          <w:left w:val="single" w:sz="4" w:space="4" w:color="auto"/>
          <w:bottom w:val="single" w:sz="4" w:space="0" w:color="auto"/>
          <w:right w:val="single" w:sz="4" w:space="4" w:color="auto"/>
        </w:pBdr>
        <w:jc w:val="both"/>
        <w:rPr>
          <w:bCs/>
          <w:sz w:val="24"/>
          <w:szCs w:val="24"/>
        </w:rPr>
      </w:pPr>
      <w:r w:rsidRPr="001C133C">
        <w:rPr>
          <w:bCs/>
          <w:sz w:val="24"/>
          <w:szCs w:val="24"/>
        </w:rPr>
        <w:lastRenderedPageBreak/>
        <w:t xml:space="preserve">- </w:t>
      </w:r>
      <w:r w:rsidRPr="001C133C">
        <w:rPr>
          <w:b/>
          <w:bCs/>
          <w:sz w:val="24"/>
          <w:szCs w:val="24"/>
        </w:rPr>
        <w:t>Portál Finančnej správy</w:t>
      </w:r>
      <w:r w:rsidR="00406DA8">
        <w:rPr>
          <w:b/>
          <w:bCs/>
          <w:sz w:val="24"/>
          <w:szCs w:val="24"/>
        </w:rPr>
        <w:t xml:space="preserve"> (PFS) v sume </w:t>
      </w:r>
      <w:r w:rsidRPr="001C133C">
        <w:rPr>
          <w:b/>
          <w:bCs/>
          <w:sz w:val="24"/>
          <w:szCs w:val="24"/>
        </w:rPr>
        <w:t xml:space="preserve">1 275 000 eur </w:t>
      </w:r>
      <w:r w:rsidRPr="001C133C">
        <w:rPr>
          <w:bCs/>
          <w:sz w:val="24"/>
          <w:szCs w:val="24"/>
        </w:rPr>
        <w:t xml:space="preserve">(podprogram medzirezortného programu 0EK 0D Informačné technológie financované zo štátneho rozpočtu – Ministerstvo financií SR, kapitálové výdavky, položka 718 rekonštrukcia a modernizácia), </w:t>
      </w:r>
    </w:p>
    <w:p w:rsidR="00C3355F" w:rsidRPr="001C133C" w:rsidRDefault="00C3355F" w:rsidP="00C3355F">
      <w:pPr>
        <w:pBdr>
          <w:top w:val="single" w:sz="4" w:space="1" w:color="auto"/>
          <w:left w:val="single" w:sz="4" w:space="4" w:color="auto"/>
          <w:bottom w:val="single" w:sz="4" w:space="0" w:color="auto"/>
          <w:right w:val="single" w:sz="4" w:space="4" w:color="auto"/>
        </w:pBdr>
        <w:jc w:val="both"/>
        <w:rPr>
          <w:bCs/>
          <w:sz w:val="24"/>
          <w:szCs w:val="24"/>
        </w:rPr>
      </w:pPr>
      <w:r w:rsidRPr="001C133C">
        <w:rPr>
          <w:bCs/>
          <w:sz w:val="24"/>
          <w:szCs w:val="24"/>
        </w:rPr>
        <w:t xml:space="preserve">- </w:t>
      </w:r>
      <w:r w:rsidRPr="001C133C">
        <w:rPr>
          <w:b/>
          <w:bCs/>
          <w:sz w:val="24"/>
          <w:szCs w:val="24"/>
        </w:rPr>
        <w:t>Informačný systém Centrálny elektron</w:t>
      </w:r>
      <w:r w:rsidR="00406DA8">
        <w:rPr>
          <w:b/>
          <w:bCs/>
          <w:sz w:val="24"/>
          <w:szCs w:val="24"/>
        </w:rPr>
        <w:t>ický priečinok (IS CEP) v sume 9</w:t>
      </w:r>
      <w:r w:rsidRPr="001C133C">
        <w:rPr>
          <w:b/>
          <w:bCs/>
          <w:sz w:val="24"/>
          <w:szCs w:val="24"/>
        </w:rPr>
        <w:t xml:space="preserve"> 6</w:t>
      </w:r>
      <w:r w:rsidR="00406DA8">
        <w:rPr>
          <w:b/>
          <w:bCs/>
          <w:sz w:val="24"/>
          <w:szCs w:val="24"/>
        </w:rPr>
        <w:t>0</w:t>
      </w:r>
      <w:r w:rsidRPr="001C133C">
        <w:rPr>
          <w:b/>
          <w:bCs/>
          <w:sz w:val="24"/>
          <w:szCs w:val="24"/>
        </w:rPr>
        <w:t xml:space="preserve">1 </w:t>
      </w:r>
      <w:r w:rsidR="00406DA8">
        <w:rPr>
          <w:b/>
          <w:bCs/>
          <w:sz w:val="24"/>
          <w:szCs w:val="24"/>
        </w:rPr>
        <w:t>740</w:t>
      </w:r>
      <w:r w:rsidRPr="001C133C">
        <w:rPr>
          <w:b/>
          <w:bCs/>
          <w:sz w:val="24"/>
          <w:szCs w:val="24"/>
        </w:rPr>
        <w:t xml:space="preserve"> eur </w:t>
      </w:r>
      <w:r w:rsidRPr="001C133C">
        <w:rPr>
          <w:bCs/>
          <w:sz w:val="24"/>
          <w:szCs w:val="24"/>
        </w:rPr>
        <w:t>(podprogram medzirezortného programu 0EK 0D Informačné technológie financované zo štátneho rozpočtu – Ministerstvo financií SR, kapitálové výdavky, položka 71</w:t>
      </w:r>
      <w:r w:rsidR="00481537">
        <w:rPr>
          <w:bCs/>
          <w:sz w:val="24"/>
          <w:szCs w:val="24"/>
        </w:rPr>
        <w:t>8 rekonštrukcia a modernizácia)</w:t>
      </w:r>
      <w:r w:rsidRPr="001C133C">
        <w:rPr>
          <w:bCs/>
          <w:sz w:val="24"/>
          <w:szCs w:val="24"/>
        </w:rPr>
        <w:t xml:space="preserve">. </w:t>
      </w:r>
    </w:p>
    <w:p w:rsidR="00C3355F" w:rsidRPr="001C133C" w:rsidRDefault="00C3355F" w:rsidP="00C3355F">
      <w:pPr>
        <w:pBdr>
          <w:top w:val="single" w:sz="4" w:space="1" w:color="auto"/>
          <w:left w:val="single" w:sz="4" w:space="4" w:color="auto"/>
          <w:bottom w:val="single" w:sz="4" w:space="0" w:color="auto"/>
          <w:right w:val="single" w:sz="4" w:space="4" w:color="auto"/>
        </w:pBdr>
        <w:jc w:val="both"/>
        <w:rPr>
          <w:bCs/>
          <w:sz w:val="24"/>
          <w:szCs w:val="24"/>
        </w:rPr>
      </w:pPr>
    </w:p>
    <w:p w:rsidR="00C3355F" w:rsidRPr="00DC3F8B" w:rsidRDefault="0083725B" w:rsidP="00C3355F">
      <w:pPr>
        <w:pBdr>
          <w:top w:val="single" w:sz="4" w:space="1" w:color="auto"/>
          <w:left w:val="single" w:sz="4" w:space="4" w:color="auto"/>
          <w:bottom w:val="single" w:sz="4" w:space="0" w:color="auto"/>
          <w:right w:val="single" w:sz="4" w:space="4" w:color="auto"/>
        </w:pBdr>
        <w:jc w:val="both"/>
        <w:rPr>
          <w:bCs/>
          <w:sz w:val="24"/>
          <w:szCs w:val="24"/>
        </w:rPr>
      </w:pPr>
      <w:r w:rsidRPr="00DC3F8B">
        <w:rPr>
          <w:bCs/>
          <w:sz w:val="24"/>
          <w:szCs w:val="24"/>
        </w:rPr>
        <w:t>IS CEP má podporu krytú v rámci existujúcej zmluvy a v prípade PFS bude podpora zahrnutá v pripravovanej zmluve. Tieto ceny sa nebudú navyšovať.</w:t>
      </w:r>
    </w:p>
    <w:p w:rsidR="0083725B" w:rsidRDefault="0083725B" w:rsidP="00C3355F">
      <w:pPr>
        <w:pBdr>
          <w:top w:val="single" w:sz="4" w:space="1" w:color="auto"/>
          <w:left w:val="single" w:sz="4" w:space="4" w:color="auto"/>
          <w:bottom w:val="single" w:sz="4" w:space="0" w:color="auto"/>
          <w:right w:val="single" w:sz="4" w:space="4" w:color="auto"/>
        </w:pBdr>
        <w:jc w:val="both"/>
        <w:rPr>
          <w:bCs/>
          <w:color w:val="000000" w:themeColor="text1"/>
          <w:sz w:val="24"/>
          <w:szCs w:val="24"/>
        </w:rPr>
      </w:pPr>
    </w:p>
    <w:p w:rsidR="00A22874" w:rsidRPr="00247017" w:rsidRDefault="0059561B" w:rsidP="00C3355F">
      <w:pPr>
        <w:pBdr>
          <w:top w:val="single" w:sz="4" w:space="1" w:color="auto"/>
          <w:left w:val="single" w:sz="4" w:space="4" w:color="auto"/>
          <w:bottom w:val="single" w:sz="4" w:space="0" w:color="auto"/>
          <w:right w:val="single" w:sz="4" w:space="4" w:color="auto"/>
        </w:pBdr>
        <w:jc w:val="both"/>
        <w:rPr>
          <w:bCs/>
          <w:sz w:val="24"/>
          <w:szCs w:val="24"/>
        </w:rPr>
      </w:pPr>
      <w:r w:rsidRPr="00247017">
        <w:rPr>
          <w:bCs/>
          <w:sz w:val="24"/>
          <w:szCs w:val="24"/>
        </w:rPr>
        <w:t xml:space="preserve">V súvislosti so zavedením </w:t>
      </w:r>
      <w:r w:rsidRPr="00247017">
        <w:rPr>
          <w:sz w:val="24"/>
          <w:szCs w:val="24"/>
        </w:rPr>
        <w:t>opravy základu dane pri dodaní tovaru alebo služby v prípadoch, keď dodávateľovi nie je</w:t>
      </w:r>
      <w:r w:rsidR="002E3BFB">
        <w:rPr>
          <w:sz w:val="24"/>
          <w:szCs w:val="24"/>
        </w:rPr>
        <w:t xml:space="preserve"> </w:t>
      </w:r>
      <w:r w:rsidRPr="00247017">
        <w:rPr>
          <w:sz w:val="24"/>
          <w:szCs w:val="24"/>
        </w:rPr>
        <w:t>úplne alebo čiastočne zaplatené za dodaný tovar alebo službu</w:t>
      </w:r>
      <w:r w:rsidR="00CF6FA2" w:rsidRPr="00247017">
        <w:rPr>
          <w:sz w:val="24"/>
          <w:szCs w:val="24"/>
        </w:rPr>
        <w:t>,</w:t>
      </w:r>
      <w:r w:rsidR="002E3BFB">
        <w:rPr>
          <w:sz w:val="24"/>
          <w:szCs w:val="24"/>
        </w:rPr>
        <w:t xml:space="preserve"> </w:t>
      </w:r>
      <w:r w:rsidR="00FA36A2" w:rsidRPr="00247017">
        <w:rPr>
          <w:bCs/>
          <w:sz w:val="24"/>
          <w:szCs w:val="24"/>
        </w:rPr>
        <w:t>sa predpokladá</w:t>
      </w:r>
      <w:r w:rsidRPr="00247017">
        <w:rPr>
          <w:bCs/>
          <w:sz w:val="24"/>
          <w:szCs w:val="24"/>
        </w:rPr>
        <w:t xml:space="preserve"> negatívny vplyv na verejné financie</w:t>
      </w:r>
      <w:r w:rsidR="00B96EF0" w:rsidRPr="00247017">
        <w:rPr>
          <w:bCs/>
          <w:sz w:val="24"/>
          <w:szCs w:val="24"/>
        </w:rPr>
        <w:t xml:space="preserve"> z</w:t>
      </w:r>
      <w:r w:rsidR="00312B18" w:rsidRPr="00247017">
        <w:rPr>
          <w:bCs/>
          <w:sz w:val="24"/>
          <w:szCs w:val="24"/>
        </w:rPr>
        <w:t> </w:t>
      </w:r>
      <w:r w:rsidR="00B96EF0" w:rsidRPr="00247017">
        <w:rPr>
          <w:bCs/>
          <w:sz w:val="24"/>
          <w:szCs w:val="24"/>
        </w:rPr>
        <w:t>dôvodu</w:t>
      </w:r>
      <w:r w:rsidR="00312B18" w:rsidRPr="00247017">
        <w:rPr>
          <w:bCs/>
          <w:sz w:val="24"/>
          <w:szCs w:val="24"/>
        </w:rPr>
        <w:t>, že tento inštitút by mohol byť pomerne často využívaný</w:t>
      </w:r>
      <w:r w:rsidR="002E3BFB">
        <w:rPr>
          <w:bCs/>
          <w:sz w:val="24"/>
          <w:szCs w:val="24"/>
        </w:rPr>
        <w:t xml:space="preserve"> </w:t>
      </w:r>
      <w:r w:rsidR="00312B18" w:rsidRPr="00247017">
        <w:rPr>
          <w:bCs/>
          <w:sz w:val="24"/>
          <w:szCs w:val="24"/>
        </w:rPr>
        <w:t>v podmienkach SR</w:t>
      </w:r>
      <w:r w:rsidR="00247017" w:rsidRPr="00247017">
        <w:rPr>
          <w:bCs/>
          <w:sz w:val="24"/>
          <w:szCs w:val="24"/>
        </w:rPr>
        <w:t>, nakoľko</w:t>
      </w:r>
      <w:r w:rsidR="00312B18" w:rsidRPr="00247017">
        <w:rPr>
          <w:bCs/>
          <w:sz w:val="24"/>
          <w:szCs w:val="24"/>
        </w:rPr>
        <w:t xml:space="preserve"> sa dlhodobo poukazuje na zlú platobnú disciplínu v rámci dodávateľsko-odberateľských vzťahov</w:t>
      </w:r>
      <w:r w:rsidRPr="00247017">
        <w:rPr>
          <w:bCs/>
          <w:sz w:val="24"/>
          <w:szCs w:val="24"/>
        </w:rPr>
        <w:t>.</w:t>
      </w:r>
      <w:r w:rsidR="002E3BFB">
        <w:rPr>
          <w:bCs/>
          <w:sz w:val="24"/>
          <w:szCs w:val="24"/>
        </w:rPr>
        <w:t xml:space="preserve"> </w:t>
      </w:r>
      <w:r w:rsidR="00A22874" w:rsidRPr="00247017">
        <w:rPr>
          <w:bCs/>
          <w:sz w:val="24"/>
          <w:szCs w:val="24"/>
        </w:rPr>
        <w:t>Vysoká rizikovosť zneužívania právnej úpravy sa predpokladá na základe nízkej efektivity opravy odpočítanej dane na strane dlžníka, keďže ten je platobné neschopný resp. nemajetný.</w:t>
      </w:r>
    </w:p>
    <w:p w:rsidR="0059561B" w:rsidRPr="0011183A" w:rsidRDefault="00A22874" w:rsidP="00734F29">
      <w:pPr>
        <w:pBdr>
          <w:top w:val="single" w:sz="4" w:space="1" w:color="auto"/>
          <w:left w:val="single" w:sz="4" w:space="4" w:color="auto"/>
          <w:bottom w:val="single" w:sz="4" w:space="0" w:color="auto"/>
          <w:right w:val="single" w:sz="4" w:space="4" w:color="auto"/>
        </w:pBdr>
        <w:jc w:val="both"/>
        <w:rPr>
          <w:bCs/>
          <w:sz w:val="24"/>
          <w:szCs w:val="24"/>
        </w:rPr>
      </w:pPr>
      <w:r w:rsidRPr="00247017">
        <w:rPr>
          <w:bCs/>
          <w:sz w:val="24"/>
          <w:szCs w:val="24"/>
        </w:rPr>
        <w:t xml:space="preserve">Inštitút finančnej politiky Ministerstva financií SR </w:t>
      </w:r>
      <w:r w:rsidR="003E7854" w:rsidRPr="00247017">
        <w:rPr>
          <w:bCs/>
          <w:sz w:val="24"/>
          <w:szCs w:val="24"/>
        </w:rPr>
        <w:t>odhaduje fiškálny vplyv tohto inštitútu na    -41 mil. eur ročne od roku 20</w:t>
      </w:r>
      <w:r w:rsidR="00247017" w:rsidRPr="00247017">
        <w:rPr>
          <w:bCs/>
          <w:sz w:val="24"/>
          <w:szCs w:val="24"/>
        </w:rPr>
        <w:t xml:space="preserve">21. Zároveň, ale dodáva, že </w:t>
      </w:r>
      <w:r w:rsidR="003E7854" w:rsidRPr="00247017">
        <w:rPr>
          <w:bCs/>
          <w:sz w:val="24"/>
          <w:szCs w:val="24"/>
        </w:rPr>
        <w:t xml:space="preserve">obmedzené množstvo informácií o nevymožiteľných pohľadávkach vytvára výrazné riziko nepresnosti odhadu. Odhadované vplyvy bude možné spätne vyhodnotiť cez kontrolný výkaz k DPH od roku 2021. </w:t>
      </w:r>
    </w:p>
    <w:p w:rsidR="00734F29" w:rsidRPr="0067300D" w:rsidRDefault="00734F29" w:rsidP="00734F29">
      <w:pPr>
        <w:ind w:firstLine="708"/>
        <w:jc w:val="both"/>
        <w:rPr>
          <w:sz w:val="24"/>
          <w:szCs w:val="24"/>
        </w:rPr>
      </w:pPr>
    </w:p>
    <w:p w:rsidR="00734F29" w:rsidRPr="0067300D" w:rsidRDefault="00734F29" w:rsidP="00734F29">
      <w:pPr>
        <w:jc w:val="both"/>
        <w:rPr>
          <w:sz w:val="24"/>
          <w:szCs w:val="24"/>
        </w:rPr>
      </w:pPr>
    </w:p>
    <w:p w:rsidR="00734F29" w:rsidRPr="0067300D" w:rsidRDefault="00734F29" w:rsidP="00734F29">
      <w:pPr>
        <w:tabs>
          <w:tab w:val="num" w:pos="1080"/>
        </w:tabs>
        <w:jc w:val="both"/>
        <w:rPr>
          <w:bCs/>
          <w:sz w:val="24"/>
          <w:szCs w:val="24"/>
        </w:rPr>
        <w:sectPr w:rsidR="00734F29" w:rsidRPr="0067300D" w:rsidSect="008719E2">
          <w:headerReference w:type="even"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rsidR="00734F29" w:rsidRPr="0067300D" w:rsidRDefault="00734F29" w:rsidP="00734F29">
      <w:pPr>
        <w:tabs>
          <w:tab w:val="num" w:pos="1080"/>
        </w:tabs>
        <w:jc w:val="right"/>
        <w:rPr>
          <w:bCs/>
          <w:sz w:val="24"/>
          <w:szCs w:val="24"/>
        </w:rPr>
      </w:pPr>
      <w:r w:rsidRPr="0067300D">
        <w:rPr>
          <w:bCs/>
          <w:sz w:val="24"/>
          <w:szCs w:val="24"/>
        </w:rPr>
        <w:lastRenderedPageBreak/>
        <w:t xml:space="preserve">Tabuľka č. 3 </w:t>
      </w:r>
    </w:p>
    <w:p w:rsidR="00734F29" w:rsidRPr="0067300D" w:rsidRDefault="00734F29" w:rsidP="00734F29">
      <w:pPr>
        <w:tabs>
          <w:tab w:val="num" w:pos="1080"/>
        </w:tabs>
        <w:jc w:val="both"/>
        <w:rPr>
          <w:bCs/>
          <w:sz w:val="24"/>
          <w:szCs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34F29" w:rsidRPr="0067300D" w:rsidTr="003511C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34F29" w:rsidRPr="0067300D" w:rsidRDefault="00734F29" w:rsidP="003511C2">
            <w:pPr>
              <w:jc w:val="center"/>
              <w:rPr>
                <w:b/>
                <w:bCs/>
                <w:sz w:val="24"/>
                <w:szCs w:val="24"/>
              </w:rPr>
            </w:pPr>
            <w:r w:rsidRPr="0067300D">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34F29" w:rsidRPr="0067300D" w:rsidRDefault="00734F29" w:rsidP="003511C2">
            <w:pPr>
              <w:jc w:val="center"/>
              <w:rPr>
                <w:b/>
                <w:bCs/>
                <w:sz w:val="24"/>
                <w:szCs w:val="24"/>
              </w:rPr>
            </w:pPr>
            <w:r w:rsidRPr="0067300D">
              <w:rPr>
                <w:b/>
                <w:bCs/>
                <w:sz w:val="24"/>
                <w:szCs w:val="24"/>
              </w:rPr>
              <w:t>poznámka</w:t>
            </w:r>
          </w:p>
        </w:tc>
      </w:tr>
      <w:tr w:rsidR="00734F29" w:rsidRPr="0067300D" w:rsidTr="003511C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34F29" w:rsidRPr="0067300D" w:rsidRDefault="00734F29" w:rsidP="003511C2">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6338E7" w:rsidP="003511C2">
            <w:pPr>
              <w:jc w:val="center"/>
              <w:rPr>
                <w:b/>
                <w:bCs/>
                <w:sz w:val="24"/>
                <w:szCs w:val="24"/>
              </w:rPr>
            </w:pPr>
            <w:r>
              <w:rPr>
                <w:b/>
                <w:bCs/>
                <w:sz w:val="24"/>
                <w:szCs w:val="24"/>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6338E7" w:rsidP="003511C2">
            <w:pPr>
              <w:jc w:val="center"/>
              <w:rPr>
                <w:b/>
                <w:bCs/>
                <w:sz w:val="24"/>
                <w:szCs w:val="24"/>
              </w:rPr>
            </w:pPr>
            <w:r>
              <w:rPr>
                <w:b/>
                <w:bCs/>
                <w:sz w:val="24"/>
                <w:szCs w:val="24"/>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6338E7" w:rsidP="003511C2">
            <w:pPr>
              <w:jc w:val="center"/>
              <w:rPr>
                <w:b/>
                <w:bCs/>
                <w:sz w:val="24"/>
                <w:szCs w:val="24"/>
              </w:rPr>
            </w:pPr>
            <w:r>
              <w:rPr>
                <w:b/>
                <w:bCs/>
                <w:sz w:val="24"/>
                <w:szCs w:val="24"/>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6338E7" w:rsidP="003511C2">
            <w:pPr>
              <w:jc w:val="center"/>
              <w:rPr>
                <w:b/>
                <w:bCs/>
                <w:sz w:val="24"/>
                <w:szCs w:val="24"/>
              </w:rPr>
            </w:pPr>
            <w:r>
              <w:rPr>
                <w:b/>
                <w:bCs/>
                <w:sz w:val="24"/>
                <w:szCs w:val="24"/>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rsidR="00734F29" w:rsidRPr="0067300D" w:rsidRDefault="00734F29" w:rsidP="003511C2">
            <w:pPr>
              <w:rPr>
                <w:b/>
                <w:bCs/>
                <w:color w:val="FFFFFF"/>
                <w:sz w:val="24"/>
                <w:szCs w:val="24"/>
              </w:rPr>
            </w:pP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vertAlign w:val="superscript"/>
              </w:rPr>
            </w:pPr>
            <w:r w:rsidRPr="0067300D">
              <w:rPr>
                <w:b/>
                <w:bCs/>
                <w:sz w:val="24"/>
                <w:szCs w:val="24"/>
              </w:rPr>
              <w:t>Daňové príjmy (100)</w:t>
            </w:r>
            <w:r w:rsidRPr="0067300D">
              <w:rPr>
                <w:b/>
                <w:bCs/>
                <w:sz w:val="24"/>
                <w:szCs w:val="24"/>
                <w:vertAlign w:val="superscript"/>
              </w:rPr>
              <w:t>1</w:t>
            </w: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r w:rsidRPr="0067300D">
              <w:rPr>
                <w:b/>
                <w:bCs/>
                <w:sz w:val="24"/>
                <w:szCs w:val="24"/>
              </w:rPr>
              <w:t>0</w:t>
            </w:r>
          </w:p>
        </w:tc>
        <w:tc>
          <w:tcPr>
            <w:tcW w:w="1500" w:type="dxa"/>
            <w:tcBorders>
              <w:top w:val="nil"/>
              <w:left w:val="nil"/>
              <w:bottom w:val="single" w:sz="4" w:space="0" w:color="auto"/>
              <w:right w:val="single" w:sz="4" w:space="0" w:color="auto"/>
            </w:tcBorders>
          </w:tcPr>
          <w:p w:rsidR="00734F29" w:rsidRPr="0067300D" w:rsidRDefault="00516238" w:rsidP="00516238">
            <w:pPr>
              <w:jc w:val="center"/>
              <w:rPr>
                <w:sz w:val="24"/>
                <w:szCs w:val="24"/>
              </w:rPr>
            </w:pPr>
            <w:r>
              <w:rPr>
                <w:b/>
                <w:bCs/>
                <w:color w:val="000000" w:themeColor="text1"/>
                <w:sz w:val="24"/>
                <w:szCs w:val="24"/>
              </w:rPr>
              <w:t>-30</w:t>
            </w:r>
            <w:r w:rsidR="00247017">
              <w:rPr>
                <w:b/>
                <w:bCs/>
                <w:color w:val="000000" w:themeColor="text1"/>
                <w:sz w:val="24"/>
                <w:szCs w:val="24"/>
              </w:rPr>
              <w:t> 000 000</w:t>
            </w:r>
          </w:p>
        </w:tc>
        <w:tc>
          <w:tcPr>
            <w:tcW w:w="1500" w:type="dxa"/>
            <w:tcBorders>
              <w:top w:val="nil"/>
              <w:left w:val="nil"/>
              <w:bottom w:val="single" w:sz="4" w:space="0" w:color="auto"/>
              <w:right w:val="single" w:sz="4" w:space="0" w:color="auto"/>
            </w:tcBorders>
          </w:tcPr>
          <w:p w:rsidR="00734F29" w:rsidRPr="0067300D" w:rsidRDefault="00247017" w:rsidP="003511C2">
            <w:pPr>
              <w:jc w:val="center"/>
              <w:rPr>
                <w:sz w:val="24"/>
                <w:szCs w:val="24"/>
              </w:rPr>
            </w:pPr>
            <w:r>
              <w:rPr>
                <w:b/>
                <w:bCs/>
                <w:color w:val="000000" w:themeColor="text1"/>
                <w:sz w:val="24"/>
                <w:szCs w:val="24"/>
              </w:rPr>
              <w:t>-18 000 000</w:t>
            </w:r>
          </w:p>
        </w:tc>
        <w:tc>
          <w:tcPr>
            <w:tcW w:w="1500" w:type="dxa"/>
            <w:tcBorders>
              <w:top w:val="nil"/>
              <w:left w:val="nil"/>
              <w:bottom w:val="single" w:sz="4" w:space="0" w:color="auto"/>
              <w:right w:val="single" w:sz="4" w:space="0" w:color="auto"/>
            </w:tcBorders>
          </w:tcPr>
          <w:p w:rsidR="00734F29" w:rsidRPr="0067300D" w:rsidRDefault="00247017" w:rsidP="003511C2">
            <w:pPr>
              <w:jc w:val="center"/>
              <w:rPr>
                <w:sz w:val="24"/>
                <w:szCs w:val="24"/>
              </w:rPr>
            </w:pPr>
            <w:r>
              <w:rPr>
                <w:b/>
                <w:bCs/>
                <w:color w:val="000000" w:themeColor="text1"/>
                <w:sz w:val="24"/>
                <w:szCs w:val="24"/>
              </w:rPr>
              <w:t>-16 000 000</w:t>
            </w:r>
          </w:p>
        </w:tc>
        <w:tc>
          <w:tcPr>
            <w:tcW w:w="300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Nedaňové príjmy (200)</w:t>
            </w:r>
            <w:r w:rsidRPr="0067300D">
              <w:rPr>
                <w:b/>
                <w:bCs/>
                <w:sz w:val="24"/>
                <w:szCs w:val="24"/>
                <w:vertAlign w:val="superscript"/>
              </w:rPr>
              <w:t>1</w:t>
            </w: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Granty a transfery (300)</w:t>
            </w:r>
            <w:r w:rsidRPr="0067300D">
              <w:rPr>
                <w:b/>
                <w:bCs/>
                <w:sz w:val="24"/>
                <w:szCs w:val="24"/>
                <w:vertAlign w:val="superscript"/>
              </w:rPr>
              <w:t>1</w:t>
            </w: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r w:rsidRPr="0067300D">
              <w:rPr>
                <w:b/>
                <w:bCs/>
                <w:sz w:val="24"/>
                <w:szCs w:val="24"/>
              </w:rPr>
              <w:t> </w:t>
            </w: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r w:rsidRPr="0067300D">
              <w:rPr>
                <w:b/>
                <w:bCs/>
                <w:sz w:val="24"/>
                <w:szCs w:val="24"/>
              </w:rPr>
              <w:t> </w:t>
            </w: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511C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34F29" w:rsidRPr="0067300D" w:rsidRDefault="00734F29" w:rsidP="003511C2">
            <w:pPr>
              <w:rPr>
                <w:b/>
                <w:bCs/>
                <w:sz w:val="24"/>
                <w:szCs w:val="24"/>
              </w:rPr>
            </w:pPr>
            <w:r w:rsidRPr="0067300D">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516238" w:rsidP="00516238">
            <w:pPr>
              <w:jc w:val="center"/>
              <w:rPr>
                <w:sz w:val="24"/>
                <w:szCs w:val="24"/>
              </w:rPr>
            </w:pPr>
            <w:r>
              <w:rPr>
                <w:b/>
                <w:bCs/>
                <w:color w:val="000000" w:themeColor="text1"/>
                <w:sz w:val="24"/>
                <w:szCs w:val="24"/>
              </w:rPr>
              <w:t>-30</w:t>
            </w:r>
            <w:bookmarkStart w:id="1" w:name="_GoBack"/>
            <w:bookmarkEnd w:id="1"/>
            <w:r w:rsidR="00247017">
              <w:rPr>
                <w:b/>
                <w:bCs/>
                <w:color w:val="000000" w:themeColor="text1"/>
                <w:sz w:val="24"/>
                <w:szCs w:val="24"/>
              </w:rPr>
              <w:t> 000 000</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247017" w:rsidP="003511C2">
            <w:pPr>
              <w:jc w:val="center"/>
              <w:rPr>
                <w:sz w:val="24"/>
                <w:szCs w:val="24"/>
              </w:rPr>
            </w:pPr>
            <w:r>
              <w:rPr>
                <w:b/>
                <w:bCs/>
                <w:color w:val="000000" w:themeColor="text1"/>
                <w:sz w:val="24"/>
                <w:szCs w:val="24"/>
              </w:rPr>
              <w:t>-18 000 000</w:t>
            </w:r>
          </w:p>
        </w:tc>
        <w:tc>
          <w:tcPr>
            <w:tcW w:w="1500" w:type="dxa"/>
            <w:tcBorders>
              <w:top w:val="nil"/>
              <w:left w:val="nil"/>
              <w:bottom w:val="single" w:sz="4" w:space="0" w:color="auto"/>
              <w:right w:val="single" w:sz="4" w:space="0" w:color="auto"/>
            </w:tcBorders>
            <w:shd w:val="clear" w:color="auto" w:fill="BFBFBF" w:themeFill="background1" w:themeFillShade="BF"/>
          </w:tcPr>
          <w:p w:rsidR="00734F29" w:rsidRPr="0067300D" w:rsidRDefault="00247017" w:rsidP="003511C2">
            <w:pPr>
              <w:jc w:val="center"/>
              <w:rPr>
                <w:sz w:val="24"/>
                <w:szCs w:val="24"/>
              </w:rPr>
            </w:pPr>
            <w:r>
              <w:rPr>
                <w:b/>
                <w:bCs/>
                <w:color w:val="000000" w:themeColor="text1"/>
                <w:sz w:val="24"/>
                <w:szCs w:val="24"/>
              </w:rPr>
              <w:t>-16 000 000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34F29" w:rsidRPr="0067300D" w:rsidRDefault="00734F29" w:rsidP="003511C2">
            <w:pPr>
              <w:rPr>
                <w:sz w:val="24"/>
                <w:szCs w:val="24"/>
              </w:rPr>
            </w:pPr>
            <w:r w:rsidRPr="0067300D">
              <w:rPr>
                <w:sz w:val="24"/>
                <w:szCs w:val="24"/>
              </w:rPr>
              <w:t> </w:t>
            </w:r>
          </w:p>
        </w:tc>
      </w:tr>
    </w:tbl>
    <w:p w:rsidR="00734F29" w:rsidRPr="0067300D" w:rsidRDefault="00734F29" w:rsidP="00734F29">
      <w:pPr>
        <w:tabs>
          <w:tab w:val="num" w:pos="1080"/>
        </w:tabs>
        <w:jc w:val="both"/>
        <w:rPr>
          <w:bCs/>
          <w:sz w:val="24"/>
          <w:szCs w:val="24"/>
        </w:rPr>
      </w:pPr>
      <w:r w:rsidRPr="0067300D">
        <w:rPr>
          <w:bCs/>
          <w:sz w:val="24"/>
          <w:szCs w:val="24"/>
        </w:rPr>
        <w:t>1 –  príjmy rozpísať až do položiek platnej ekonomickej klasifikácie</w:t>
      </w:r>
    </w:p>
    <w:p w:rsidR="00734F29" w:rsidRPr="0067300D" w:rsidRDefault="00734F29" w:rsidP="00734F29">
      <w:pPr>
        <w:tabs>
          <w:tab w:val="num" w:pos="1080"/>
        </w:tabs>
        <w:jc w:val="both"/>
        <w:rPr>
          <w:bCs/>
          <w:sz w:val="24"/>
          <w:szCs w:val="24"/>
        </w:rPr>
      </w:pPr>
    </w:p>
    <w:p w:rsidR="00734F29" w:rsidRPr="0067300D" w:rsidRDefault="00734F29" w:rsidP="00734F29">
      <w:pPr>
        <w:tabs>
          <w:tab w:val="num" w:pos="1080"/>
        </w:tabs>
        <w:jc w:val="both"/>
        <w:rPr>
          <w:b/>
          <w:bCs/>
          <w:sz w:val="24"/>
          <w:szCs w:val="24"/>
        </w:rPr>
      </w:pPr>
      <w:r w:rsidRPr="0067300D">
        <w:rPr>
          <w:b/>
          <w:bCs/>
          <w:sz w:val="24"/>
          <w:szCs w:val="24"/>
        </w:rPr>
        <w:t>Poznámka:</w:t>
      </w:r>
    </w:p>
    <w:p w:rsidR="00734F29" w:rsidRPr="0067300D" w:rsidRDefault="00734F29" w:rsidP="00734F29">
      <w:pPr>
        <w:tabs>
          <w:tab w:val="num" w:pos="1080"/>
        </w:tabs>
        <w:jc w:val="both"/>
        <w:rPr>
          <w:bCs/>
          <w:sz w:val="24"/>
          <w:szCs w:val="24"/>
        </w:rPr>
      </w:pPr>
      <w:r w:rsidRPr="0067300D">
        <w:rPr>
          <w:bCs/>
          <w:sz w:val="24"/>
          <w:szCs w:val="24"/>
        </w:rPr>
        <w:t>Ak sa vplyv týka viacerých subjektov verejnej správy, vypĺňa sa samostatná tabuľka za každý subjekt.</w:t>
      </w: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734F29" w:rsidRPr="0067300D" w:rsidRDefault="00734F29" w:rsidP="00734F29">
      <w:pPr>
        <w:tabs>
          <w:tab w:val="num" w:pos="1080"/>
        </w:tabs>
        <w:ind w:right="-578"/>
        <w:jc w:val="right"/>
        <w:rPr>
          <w:bCs/>
          <w:sz w:val="24"/>
          <w:szCs w:val="24"/>
        </w:rPr>
      </w:pPr>
    </w:p>
    <w:p w:rsidR="00CF6FA2" w:rsidRDefault="00CF6FA2" w:rsidP="00CF6FA2">
      <w:pPr>
        <w:tabs>
          <w:tab w:val="num" w:pos="1080"/>
        </w:tabs>
        <w:ind w:right="-32"/>
        <w:rPr>
          <w:bCs/>
          <w:sz w:val="24"/>
          <w:szCs w:val="24"/>
        </w:rPr>
      </w:pPr>
    </w:p>
    <w:p w:rsidR="00734F29" w:rsidRPr="0067300D" w:rsidRDefault="00CF6FA2" w:rsidP="00CF6FA2">
      <w:pPr>
        <w:tabs>
          <w:tab w:val="num" w:pos="1080"/>
        </w:tabs>
        <w:ind w:right="-32"/>
        <w:rPr>
          <w:bCs/>
          <w:sz w:val="24"/>
          <w:szCs w:val="24"/>
        </w:rPr>
      </w:pPr>
      <w:r>
        <w:rPr>
          <w:bCs/>
          <w:sz w:val="24"/>
          <w:szCs w:val="24"/>
        </w:rPr>
        <w:lastRenderedPageBreak/>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734F29" w:rsidRPr="0067300D">
        <w:rPr>
          <w:bCs/>
          <w:sz w:val="24"/>
          <w:szCs w:val="24"/>
        </w:rPr>
        <w:t xml:space="preserve">Tabuľka č. 4 </w:t>
      </w:r>
    </w:p>
    <w:p w:rsidR="00734F29" w:rsidRPr="0067300D" w:rsidRDefault="00734F29" w:rsidP="00734F29">
      <w:pPr>
        <w:tabs>
          <w:tab w:val="num" w:pos="1080"/>
        </w:tabs>
        <w:jc w:val="both"/>
        <w:rPr>
          <w:bCs/>
          <w:sz w:val="24"/>
          <w:szCs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650"/>
        <w:gridCol w:w="2126"/>
        <w:gridCol w:w="1134"/>
        <w:gridCol w:w="1134"/>
        <w:gridCol w:w="1186"/>
        <w:gridCol w:w="2220"/>
      </w:tblGrid>
      <w:tr w:rsidR="00734F29" w:rsidRPr="0067300D" w:rsidTr="003137BA">
        <w:trPr>
          <w:cantSplit/>
          <w:trHeight w:val="255"/>
        </w:trPr>
        <w:tc>
          <w:tcPr>
            <w:tcW w:w="765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34F29" w:rsidRPr="0067300D" w:rsidRDefault="00734F29" w:rsidP="003511C2">
            <w:pPr>
              <w:jc w:val="center"/>
              <w:rPr>
                <w:b/>
                <w:bCs/>
                <w:sz w:val="24"/>
                <w:szCs w:val="24"/>
              </w:rPr>
            </w:pPr>
            <w:r w:rsidRPr="0067300D">
              <w:rPr>
                <w:b/>
                <w:bCs/>
                <w:sz w:val="24"/>
                <w:szCs w:val="24"/>
              </w:rPr>
              <w:t>Výdavky (v eurách)</w:t>
            </w:r>
          </w:p>
        </w:tc>
        <w:tc>
          <w:tcPr>
            <w:tcW w:w="558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34F29" w:rsidRPr="0067300D" w:rsidRDefault="00734F29" w:rsidP="003511C2">
            <w:pPr>
              <w:jc w:val="center"/>
              <w:rPr>
                <w:b/>
                <w:bCs/>
                <w:sz w:val="24"/>
                <w:szCs w:val="24"/>
              </w:rPr>
            </w:pPr>
            <w:r w:rsidRPr="0067300D">
              <w:rPr>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34F29" w:rsidRPr="0067300D" w:rsidRDefault="00734F29" w:rsidP="003511C2">
            <w:pPr>
              <w:jc w:val="center"/>
              <w:rPr>
                <w:b/>
                <w:bCs/>
                <w:sz w:val="24"/>
                <w:szCs w:val="24"/>
              </w:rPr>
            </w:pPr>
            <w:r w:rsidRPr="0067300D">
              <w:rPr>
                <w:b/>
                <w:bCs/>
                <w:sz w:val="24"/>
                <w:szCs w:val="24"/>
              </w:rPr>
              <w:t>poznámka</w:t>
            </w:r>
          </w:p>
        </w:tc>
      </w:tr>
      <w:tr w:rsidR="00734F29" w:rsidRPr="0067300D" w:rsidTr="003137BA">
        <w:trPr>
          <w:cantSplit/>
          <w:trHeight w:val="255"/>
        </w:trPr>
        <w:tc>
          <w:tcPr>
            <w:tcW w:w="7650" w:type="dxa"/>
            <w:vMerge/>
            <w:tcBorders>
              <w:top w:val="single" w:sz="4" w:space="0" w:color="auto"/>
              <w:left w:val="single" w:sz="4" w:space="0" w:color="auto"/>
              <w:bottom w:val="single" w:sz="4" w:space="0" w:color="000000"/>
              <w:right w:val="single" w:sz="4" w:space="0" w:color="auto"/>
            </w:tcBorders>
            <w:vAlign w:val="center"/>
          </w:tcPr>
          <w:p w:rsidR="00734F29" w:rsidRPr="0067300D" w:rsidRDefault="00734F29" w:rsidP="003511C2">
            <w:pPr>
              <w:rPr>
                <w:b/>
                <w:bCs/>
                <w:color w:val="FFFFFF"/>
                <w:sz w:val="24"/>
                <w:szCs w:val="24"/>
              </w:rPr>
            </w:pPr>
          </w:p>
        </w:tc>
        <w:tc>
          <w:tcPr>
            <w:tcW w:w="2126" w:type="dxa"/>
            <w:tcBorders>
              <w:top w:val="nil"/>
              <w:left w:val="nil"/>
              <w:bottom w:val="single" w:sz="4" w:space="0" w:color="auto"/>
              <w:right w:val="single" w:sz="4" w:space="0" w:color="auto"/>
            </w:tcBorders>
            <w:shd w:val="clear" w:color="auto" w:fill="BFBFBF" w:themeFill="background1" w:themeFillShade="BF"/>
          </w:tcPr>
          <w:p w:rsidR="00734F29" w:rsidRPr="0067300D" w:rsidRDefault="006338E7" w:rsidP="003511C2">
            <w:pPr>
              <w:jc w:val="center"/>
              <w:rPr>
                <w:b/>
                <w:bCs/>
                <w:sz w:val="24"/>
                <w:szCs w:val="24"/>
              </w:rPr>
            </w:pPr>
            <w:r>
              <w:rPr>
                <w:b/>
                <w:bCs/>
                <w:sz w:val="24"/>
                <w:szCs w:val="24"/>
              </w:rPr>
              <w:t>2020</w:t>
            </w:r>
          </w:p>
        </w:tc>
        <w:tc>
          <w:tcPr>
            <w:tcW w:w="1134" w:type="dxa"/>
            <w:tcBorders>
              <w:top w:val="nil"/>
              <w:left w:val="nil"/>
              <w:bottom w:val="single" w:sz="4" w:space="0" w:color="auto"/>
              <w:right w:val="single" w:sz="4" w:space="0" w:color="auto"/>
            </w:tcBorders>
            <w:shd w:val="clear" w:color="auto" w:fill="BFBFBF" w:themeFill="background1" w:themeFillShade="BF"/>
          </w:tcPr>
          <w:p w:rsidR="00734F29" w:rsidRPr="0067300D" w:rsidRDefault="006338E7" w:rsidP="003511C2">
            <w:pPr>
              <w:jc w:val="center"/>
              <w:rPr>
                <w:b/>
                <w:bCs/>
                <w:sz w:val="24"/>
                <w:szCs w:val="24"/>
              </w:rPr>
            </w:pPr>
            <w:r>
              <w:rPr>
                <w:b/>
                <w:bCs/>
                <w:sz w:val="24"/>
                <w:szCs w:val="24"/>
              </w:rPr>
              <w:t>2021</w:t>
            </w:r>
          </w:p>
        </w:tc>
        <w:tc>
          <w:tcPr>
            <w:tcW w:w="1134" w:type="dxa"/>
            <w:tcBorders>
              <w:top w:val="nil"/>
              <w:left w:val="nil"/>
              <w:bottom w:val="single" w:sz="4" w:space="0" w:color="auto"/>
              <w:right w:val="single" w:sz="4" w:space="0" w:color="auto"/>
            </w:tcBorders>
            <w:shd w:val="clear" w:color="auto" w:fill="BFBFBF" w:themeFill="background1" w:themeFillShade="BF"/>
          </w:tcPr>
          <w:p w:rsidR="00734F29" w:rsidRPr="0067300D" w:rsidRDefault="006338E7" w:rsidP="003511C2">
            <w:pPr>
              <w:jc w:val="center"/>
              <w:rPr>
                <w:b/>
                <w:bCs/>
                <w:sz w:val="24"/>
                <w:szCs w:val="24"/>
              </w:rPr>
            </w:pPr>
            <w:r>
              <w:rPr>
                <w:b/>
                <w:bCs/>
                <w:sz w:val="24"/>
                <w:szCs w:val="24"/>
              </w:rPr>
              <w:t>2022</w:t>
            </w:r>
          </w:p>
        </w:tc>
        <w:tc>
          <w:tcPr>
            <w:tcW w:w="1186" w:type="dxa"/>
            <w:tcBorders>
              <w:top w:val="nil"/>
              <w:left w:val="nil"/>
              <w:bottom w:val="single" w:sz="4" w:space="0" w:color="auto"/>
              <w:right w:val="single" w:sz="4" w:space="0" w:color="auto"/>
            </w:tcBorders>
            <w:shd w:val="clear" w:color="auto" w:fill="BFBFBF" w:themeFill="background1" w:themeFillShade="BF"/>
          </w:tcPr>
          <w:p w:rsidR="00734F29" w:rsidRPr="0067300D" w:rsidRDefault="006338E7" w:rsidP="003511C2">
            <w:pPr>
              <w:jc w:val="center"/>
              <w:rPr>
                <w:b/>
                <w:bCs/>
                <w:sz w:val="24"/>
                <w:szCs w:val="24"/>
              </w:rPr>
            </w:pPr>
            <w:r>
              <w:rPr>
                <w:b/>
                <w:bCs/>
                <w:sz w:val="24"/>
                <w:szCs w:val="24"/>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734F29" w:rsidRPr="0067300D" w:rsidRDefault="00734F29" w:rsidP="003511C2">
            <w:pPr>
              <w:rPr>
                <w:b/>
                <w:bCs/>
                <w:color w:val="FFFFFF"/>
                <w:sz w:val="24"/>
                <w:szCs w:val="24"/>
              </w:rPr>
            </w:pPr>
          </w:p>
        </w:tc>
      </w:tr>
      <w:tr w:rsidR="00734F29" w:rsidRPr="0067300D" w:rsidTr="003137BA">
        <w:trPr>
          <w:trHeight w:val="255"/>
        </w:trPr>
        <w:tc>
          <w:tcPr>
            <w:tcW w:w="76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Bežné výdavky (600)</w:t>
            </w:r>
          </w:p>
        </w:tc>
        <w:tc>
          <w:tcPr>
            <w:tcW w:w="2126"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134" w:type="dxa"/>
            <w:tcBorders>
              <w:top w:val="nil"/>
              <w:left w:val="nil"/>
              <w:bottom w:val="single" w:sz="4" w:space="0" w:color="auto"/>
              <w:right w:val="single" w:sz="4" w:space="0" w:color="auto"/>
            </w:tcBorders>
          </w:tcPr>
          <w:p w:rsidR="00734F29" w:rsidRPr="004F7935" w:rsidRDefault="0083725B" w:rsidP="003511C2">
            <w:pPr>
              <w:jc w:val="center"/>
              <w:rPr>
                <w:b/>
                <w:bCs/>
                <w:sz w:val="24"/>
                <w:szCs w:val="24"/>
              </w:rPr>
            </w:pPr>
            <w:r w:rsidRPr="004F7935">
              <w:rPr>
                <w:b/>
                <w:bCs/>
                <w:sz w:val="24"/>
                <w:szCs w:val="24"/>
              </w:rPr>
              <w:t>293 204</w:t>
            </w:r>
          </w:p>
        </w:tc>
        <w:tc>
          <w:tcPr>
            <w:tcW w:w="1134" w:type="dxa"/>
            <w:tcBorders>
              <w:top w:val="nil"/>
              <w:left w:val="nil"/>
              <w:bottom w:val="single" w:sz="4" w:space="0" w:color="auto"/>
              <w:right w:val="single" w:sz="4" w:space="0" w:color="auto"/>
            </w:tcBorders>
          </w:tcPr>
          <w:p w:rsidR="00734F29" w:rsidRPr="004F7935" w:rsidRDefault="0083725B" w:rsidP="003511C2">
            <w:pPr>
              <w:jc w:val="center"/>
              <w:rPr>
                <w:b/>
                <w:bCs/>
                <w:sz w:val="24"/>
                <w:szCs w:val="24"/>
              </w:rPr>
            </w:pPr>
            <w:r w:rsidRPr="004F7935">
              <w:rPr>
                <w:b/>
                <w:bCs/>
                <w:sz w:val="24"/>
                <w:szCs w:val="24"/>
              </w:rPr>
              <w:t>293 204</w:t>
            </w:r>
          </w:p>
        </w:tc>
        <w:tc>
          <w:tcPr>
            <w:tcW w:w="1186" w:type="dxa"/>
            <w:tcBorders>
              <w:top w:val="nil"/>
              <w:left w:val="nil"/>
              <w:bottom w:val="single" w:sz="4" w:space="0" w:color="auto"/>
              <w:right w:val="single" w:sz="4" w:space="0" w:color="auto"/>
            </w:tcBorders>
          </w:tcPr>
          <w:p w:rsidR="00734F29" w:rsidRPr="004F7935" w:rsidRDefault="0083725B" w:rsidP="003511C2">
            <w:pPr>
              <w:jc w:val="center"/>
              <w:rPr>
                <w:b/>
                <w:bCs/>
                <w:sz w:val="24"/>
                <w:szCs w:val="24"/>
              </w:rPr>
            </w:pPr>
            <w:r w:rsidRPr="004F7935">
              <w:rPr>
                <w:b/>
                <w:bCs/>
                <w:sz w:val="24"/>
                <w:szCs w:val="24"/>
              </w:rPr>
              <w:t>293 204</w:t>
            </w: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137BA">
        <w:trPr>
          <w:trHeight w:val="255"/>
        </w:trPr>
        <w:tc>
          <w:tcPr>
            <w:tcW w:w="765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rPr>
            </w:pPr>
            <w:r w:rsidRPr="0067300D">
              <w:rPr>
                <w:sz w:val="24"/>
                <w:szCs w:val="24"/>
              </w:rPr>
              <w:t xml:space="preserve">  Mzdy, platy, služobné príjmy a ostatné osobné vyrovnania (610)</w:t>
            </w:r>
          </w:p>
        </w:tc>
        <w:tc>
          <w:tcPr>
            <w:tcW w:w="2126"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4F7935"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4F7935" w:rsidRDefault="00734F29" w:rsidP="003511C2">
            <w:pPr>
              <w:jc w:val="center"/>
              <w:rPr>
                <w:sz w:val="24"/>
                <w:szCs w:val="24"/>
              </w:rPr>
            </w:pPr>
          </w:p>
        </w:tc>
        <w:tc>
          <w:tcPr>
            <w:tcW w:w="1186" w:type="dxa"/>
            <w:tcBorders>
              <w:top w:val="nil"/>
              <w:left w:val="nil"/>
              <w:bottom w:val="single" w:sz="4" w:space="0" w:color="auto"/>
              <w:right w:val="single" w:sz="4" w:space="0" w:color="auto"/>
            </w:tcBorders>
          </w:tcPr>
          <w:p w:rsidR="00734F29" w:rsidRPr="004F7935"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137BA">
        <w:trPr>
          <w:trHeight w:val="255"/>
        </w:trPr>
        <w:tc>
          <w:tcPr>
            <w:tcW w:w="765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vertAlign w:val="superscript"/>
              </w:rPr>
            </w:pPr>
            <w:r w:rsidRPr="0067300D">
              <w:rPr>
                <w:sz w:val="24"/>
                <w:szCs w:val="24"/>
              </w:rPr>
              <w:t xml:space="preserve">  Poistné a príspevok do poisťovní (620)</w:t>
            </w:r>
          </w:p>
        </w:tc>
        <w:tc>
          <w:tcPr>
            <w:tcW w:w="2126"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4F7935"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4F7935" w:rsidRDefault="00734F29" w:rsidP="003511C2">
            <w:pPr>
              <w:jc w:val="center"/>
              <w:rPr>
                <w:sz w:val="24"/>
                <w:szCs w:val="24"/>
              </w:rPr>
            </w:pPr>
          </w:p>
        </w:tc>
        <w:tc>
          <w:tcPr>
            <w:tcW w:w="1186" w:type="dxa"/>
            <w:tcBorders>
              <w:top w:val="nil"/>
              <w:left w:val="nil"/>
              <w:bottom w:val="single" w:sz="4" w:space="0" w:color="auto"/>
              <w:right w:val="single" w:sz="4" w:space="0" w:color="auto"/>
            </w:tcBorders>
          </w:tcPr>
          <w:p w:rsidR="00734F29" w:rsidRPr="004F7935"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137BA">
        <w:trPr>
          <w:trHeight w:val="255"/>
        </w:trPr>
        <w:tc>
          <w:tcPr>
            <w:tcW w:w="765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vertAlign w:val="superscript"/>
              </w:rPr>
            </w:pPr>
            <w:r w:rsidRPr="0067300D">
              <w:rPr>
                <w:sz w:val="24"/>
                <w:szCs w:val="24"/>
              </w:rPr>
              <w:t xml:space="preserve">  Tovary a služby (630)</w:t>
            </w:r>
            <w:r w:rsidRPr="0067300D">
              <w:rPr>
                <w:sz w:val="24"/>
                <w:szCs w:val="24"/>
                <w:vertAlign w:val="superscript"/>
              </w:rPr>
              <w:t>2</w:t>
            </w:r>
          </w:p>
        </w:tc>
        <w:tc>
          <w:tcPr>
            <w:tcW w:w="2126"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4F7935" w:rsidRDefault="0083725B" w:rsidP="003511C2">
            <w:pPr>
              <w:jc w:val="center"/>
              <w:rPr>
                <w:sz w:val="24"/>
                <w:szCs w:val="24"/>
              </w:rPr>
            </w:pPr>
            <w:r w:rsidRPr="004F7935">
              <w:rPr>
                <w:sz w:val="24"/>
                <w:szCs w:val="24"/>
              </w:rPr>
              <w:t>293 204</w:t>
            </w:r>
          </w:p>
        </w:tc>
        <w:tc>
          <w:tcPr>
            <w:tcW w:w="1134" w:type="dxa"/>
            <w:tcBorders>
              <w:top w:val="nil"/>
              <w:left w:val="nil"/>
              <w:bottom w:val="single" w:sz="4" w:space="0" w:color="auto"/>
              <w:right w:val="single" w:sz="4" w:space="0" w:color="auto"/>
            </w:tcBorders>
          </w:tcPr>
          <w:p w:rsidR="00734F29" w:rsidRPr="004F7935" w:rsidRDefault="0083725B" w:rsidP="003511C2">
            <w:pPr>
              <w:jc w:val="center"/>
              <w:rPr>
                <w:sz w:val="24"/>
                <w:szCs w:val="24"/>
              </w:rPr>
            </w:pPr>
            <w:r w:rsidRPr="004F7935">
              <w:rPr>
                <w:sz w:val="24"/>
                <w:szCs w:val="24"/>
              </w:rPr>
              <w:t>293 204</w:t>
            </w:r>
          </w:p>
        </w:tc>
        <w:tc>
          <w:tcPr>
            <w:tcW w:w="1186" w:type="dxa"/>
            <w:tcBorders>
              <w:top w:val="nil"/>
              <w:left w:val="nil"/>
              <w:bottom w:val="single" w:sz="4" w:space="0" w:color="auto"/>
              <w:right w:val="single" w:sz="4" w:space="0" w:color="auto"/>
            </w:tcBorders>
          </w:tcPr>
          <w:p w:rsidR="00734F29" w:rsidRPr="004F7935" w:rsidRDefault="0083725B" w:rsidP="003511C2">
            <w:pPr>
              <w:jc w:val="center"/>
              <w:rPr>
                <w:sz w:val="24"/>
                <w:szCs w:val="24"/>
              </w:rPr>
            </w:pPr>
            <w:r w:rsidRPr="004F7935">
              <w:rPr>
                <w:sz w:val="24"/>
                <w:szCs w:val="24"/>
              </w:rPr>
              <w:t>293 204</w:t>
            </w: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16396C" w:rsidRPr="0067300D" w:rsidTr="003137BA">
        <w:trPr>
          <w:trHeight w:val="255"/>
        </w:trPr>
        <w:tc>
          <w:tcPr>
            <w:tcW w:w="7650" w:type="dxa"/>
            <w:tcBorders>
              <w:top w:val="nil"/>
              <w:left w:val="single" w:sz="4" w:space="0" w:color="auto"/>
              <w:bottom w:val="single" w:sz="4" w:space="0" w:color="auto"/>
              <w:right w:val="single" w:sz="4" w:space="0" w:color="auto"/>
            </w:tcBorders>
          </w:tcPr>
          <w:p w:rsidR="0016396C" w:rsidRPr="0016396C" w:rsidRDefault="0016396C" w:rsidP="0016396C">
            <w:pPr>
              <w:rPr>
                <w:sz w:val="24"/>
                <w:szCs w:val="24"/>
                <w:highlight w:val="cyan"/>
              </w:rPr>
            </w:pPr>
            <w:r w:rsidRPr="004F7935">
              <w:rPr>
                <w:sz w:val="24"/>
                <w:szCs w:val="24"/>
              </w:rPr>
              <w:t>RP EKRK 635 Rutinná a štandardná údržba</w:t>
            </w:r>
          </w:p>
        </w:tc>
        <w:tc>
          <w:tcPr>
            <w:tcW w:w="2126" w:type="dxa"/>
            <w:tcBorders>
              <w:top w:val="nil"/>
              <w:left w:val="nil"/>
              <w:bottom w:val="single" w:sz="4" w:space="0" w:color="auto"/>
              <w:right w:val="single" w:sz="4" w:space="0" w:color="auto"/>
            </w:tcBorders>
          </w:tcPr>
          <w:p w:rsidR="0016396C" w:rsidRPr="0016396C" w:rsidRDefault="0016396C" w:rsidP="0016396C">
            <w:pPr>
              <w:jc w:val="center"/>
              <w:rPr>
                <w:sz w:val="24"/>
                <w:szCs w:val="24"/>
                <w:highlight w:val="cyan"/>
              </w:rPr>
            </w:pPr>
          </w:p>
        </w:tc>
        <w:tc>
          <w:tcPr>
            <w:tcW w:w="1134" w:type="dxa"/>
            <w:tcBorders>
              <w:top w:val="nil"/>
              <w:left w:val="nil"/>
              <w:bottom w:val="single" w:sz="4" w:space="0" w:color="auto"/>
              <w:right w:val="single" w:sz="4" w:space="0" w:color="auto"/>
            </w:tcBorders>
          </w:tcPr>
          <w:p w:rsidR="0016396C" w:rsidRPr="004F7935" w:rsidRDefault="0016396C" w:rsidP="0016396C">
            <w:pPr>
              <w:jc w:val="center"/>
              <w:rPr>
                <w:sz w:val="24"/>
                <w:szCs w:val="24"/>
              </w:rPr>
            </w:pPr>
            <w:r w:rsidRPr="004F7935">
              <w:rPr>
                <w:sz w:val="24"/>
                <w:szCs w:val="24"/>
              </w:rPr>
              <w:t>293 204</w:t>
            </w:r>
          </w:p>
        </w:tc>
        <w:tc>
          <w:tcPr>
            <w:tcW w:w="1134" w:type="dxa"/>
            <w:tcBorders>
              <w:top w:val="nil"/>
              <w:left w:val="nil"/>
              <w:bottom w:val="single" w:sz="4" w:space="0" w:color="auto"/>
              <w:right w:val="single" w:sz="4" w:space="0" w:color="auto"/>
            </w:tcBorders>
          </w:tcPr>
          <w:p w:rsidR="0016396C" w:rsidRPr="004F7935" w:rsidRDefault="0016396C" w:rsidP="0016396C">
            <w:pPr>
              <w:jc w:val="center"/>
              <w:rPr>
                <w:sz w:val="24"/>
                <w:szCs w:val="24"/>
              </w:rPr>
            </w:pPr>
            <w:r w:rsidRPr="004F7935">
              <w:rPr>
                <w:sz w:val="24"/>
                <w:szCs w:val="24"/>
              </w:rPr>
              <w:t>293 204</w:t>
            </w:r>
          </w:p>
        </w:tc>
        <w:tc>
          <w:tcPr>
            <w:tcW w:w="1186" w:type="dxa"/>
            <w:tcBorders>
              <w:top w:val="nil"/>
              <w:left w:val="nil"/>
              <w:bottom w:val="single" w:sz="4" w:space="0" w:color="auto"/>
              <w:right w:val="single" w:sz="4" w:space="0" w:color="auto"/>
            </w:tcBorders>
          </w:tcPr>
          <w:p w:rsidR="0016396C" w:rsidRPr="004F7935" w:rsidRDefault="0016396C" w:rsidP="0016396C">
            <w:pPr>
              <w:jc w:val="center"/>
              <w:rPr>
                <w:sz w:val="24"/>
                <w:szCs w:val="24"/>
              </w:rPr>
            </w:pPr>
            <w:r w:rsidRPr="004F7935">
              <w:rPr>
                <w:sz w:val="24"/>
                <w:szCs w:val="24"/>
              </w:rPr>
              <w:t>293 204</w:t>
            </w:r>
          </w:p>
        </w:tc>
        <w:tc>
          <w:tcPr>
            <w:tcW w:w="2220" w:type="dxa"/>
            <w:tcBorders>
              <w:top w:val="nil"/>
              <w:left w:val="nil"/>
              <w:bottom w:val="single" w:sz="4" w:space="0" w:color="auto"/>
              <w:right w:val="single" w:sz="4" w:space="0" w:color="auto"/>
            </w:tcBorders>
            <w:noWrap/>
            <w:vAlign w:val="bottom"/>
          </w:tcPr>
          <w:p w:rsidR="0016396C" w:rsidRPr="0067300D" w:rsidRDefault="0016396C" w:rsidP="0016396C">
            <w:pPr>
              <w:rPr>
                <w:sz w:val="24"/>
                <w:szCs w:val="24"/>
              </w:rPr>
            </w:pPr>
          </w:p>
        </w:tc>
      </w:tr>
      <w:tr w:rsidR="00734F29" w:rsidRPr="0067300D" w:rsidTr="003137BA">
        <w:trPr>
          <w:trHeight w:val="255"/>
        </w:trPr>
        <w:tc>
          <w:tcPr>
            <w:tcW w:w="765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rPr>
            </w:pPr>
            <w:r w:rsidRPr="0067300D">
              <w:rPr>
                <w:sz w:val="24"/>
                <w:szCs w:val="24"/>
              </w:rPr>
              <w:t xml:space="preserve">  Bežné transfery (640)</w:t>
            </w:r>
            <w:r w:rsidRPr="0067300D">
              <w:rPr>
                <w:sz w:val="24"/>
                <w:szCs w:val="24"/>
                <w:vertAlign w:val="superscript"/>
              </w:rPr>
              <w:t>2</w:t>
            </w:r>
          </w:p>
        </w:tc>
        <w:tc>
          <w:tcPr>
            <w:tcW w:w="2126"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86"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137BA">
        <w:trPr>
          <w:trHeight w:val="255"/>
        </w:trPr>
        <w:tc>
          <w:tcPr>
            <w:tcW w:w="7650" w:type="dxa"/>
            <w:tcBorders>
              <w:top w:val="nil"/>
              <w:left w:val="single" w:sz="4" w:space="0" w:color="auto"/>
              <w:bottom w:val="single" w:sz="4" w:space="0" w:color="auto"/>
              <w:right w:val="single" w:sz="4" w:space="0" w:color="auto"/>
            </w:tcBorders>
            <w:vAlign w:val="center"/>
          </w:tcPr>
          <w:p w:rsidR="00734F29" w:rsidRPr="0067300D" w:rsidRDefault="00734F29" w:rsidP="003511C2">
            <w:pPr>
              <w:rPr>
                <w:sz w:val="24"/>
                <w:szCs w:val="24"/>
              </w:rPr>
            </w:pPr>
            <w:r w:rsidRPr="0067300D">
              <w:rPr>
                <w:sz w:val="24"/>
                <w:szCs w:val="24"/>
              </w:rPr>
              <w:t xml:space="preserve">  Splácanie úrokov a ostatné platby súvisiace s  úverom, pôžičkou, návratnou finančnou výpomocou a finančným prenájmom (650)</w:t>
            </w:r>
            <w:r w:rsidRPr="0067300D">
              <w:rPr>
                <w:sz w:val="24"/>
                <w:szCs w:val="24"/>
                <w:vertAlign w:val="superscript"/>
              </w:rPr>
              <w:t>2</w:t>
            </w:r>
          </w:p>
        </w:tc>
        <w:tc>
          <w:tcPr>
            <w:tcW w:w="2126"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86"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p>
        </w:tc>
      </w:tr>
      <w:tr w:rsidR="00734F29" w:rsidRPr="0067300D" w:rsidTr="003137BA">
        <w:trPr>
          <w:trHeight w:val="255"/>
        </w:trPr>
        <w:tc>
          <w:tcPr>
            <w:tcW w:w="76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Kapitálové výdavky (700)</w:t>
            </w:r>
          </w:p>
        </w:tc>
        <w:tc>
          <w:tcPr>
            <w:tcW w:w="2126" w:type="dxa"/>
            <w:tcBorders>
              <w:top w:val="nil"/>
              <w:left w:val="nil"/>
              <w:bottom w:val="single" w:sz="4" w:space="0" w:color="auto"/>
              <w:right w:val="single" w:sz="4" w:space="0" w:color="auto"/>
            </w:tcBorders>
          </w:tcPr>
          <w:p w:rsidR="00734F29" w:rsidRPr="003137BA" w:rsidRDefault="004C136F" w:rsidP="004C136F">
            <w:pPr>
              <w:pStyle w:val="Default"/>
              <w:jc w:val="center"/>
              <w:rPr>
                <w:rFonts w:ascii="Times New Roman" w:hAnsi="Times New Roman" w:cs="Times New Roman"/>
              </w:rPr>
            </w:pPr>
            <w:r>
              <w:rPr>
                <w:rFonts w:ascii="Times New Roman" w:hAnsi="Times New Roman" w:cs="Times New Roman"/>
                <w:b/>
                <w:bCs/>
              </w:rPr>
              <w:t>16</w:t>
            </w:r>
            <w:r w:rsidR="003137BA" w:rsidRPr="003137BA">
              <w:rPr>
                <w:rFonts w:ascii="Times New Roman" w:hAnsi="Times New Roman" w:cs="Times New Roman"/>
                <w:b/>
                <w:bCs/>
              </w:rPr>
              <w:t xml:space="preserve"> </w:t>
            </w:r>
            <w:r>
              <w:rPr>
                <w:rFonts w:ascii="Times New Roman" w:hAnsi="Times New Roman" w:cs="Times New Roman"/>
                <w:b/>
                <w:bCs/>
              </w:rPr>
              <w:t>191</w:t>
            </w:r>
            <w:r w:rsidR="003137BA" w:rsidRPr="003137BA">
              <w:rPr>
                <w:rFonts w:ascii="Times New Roman" w:hAnsi="Times New Roman" w:cs="Times New Roman"/>
                <w:b/>
                <w:bCs/>
              </w:rPr>
              <w:t xml:space="preserve"> </w:t>
            </w:r>
            <w:r>
              <w:rPr>
                <w:rFonts w:ascii="Times New Roman" w:hAnsi="Times New Roman" w:cs="Times New Roman"/>
                <w:b/>
                <w:bCs/>
              </w:rPr>
              <w:t>740</w:t>
            </w:r>
            <w:r w:rsidR="003137BA" w:rsidRPr="003137BA">
              <w:rPr>
                <w:rFonts w:ascii="Times New Roman" w:hAnsi="Times New Roman" w:cs="Times New Roman"/>
                <w:b/>
                <w:bCs/>
              </w:rPr>
              <w:t xml:space="preserve"> </w:t>
            </w:r>
          </w:p>
        </w:tc>
        <w:tc>
          <w:tcPr>
            <w:tcW w:w="1134"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134"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1186" w:type="dxa"/>
            <w:tcBorders>
              <w:top w:val="nil"/>
              <w:left w:val="nil"/>
              <w:bottom w:val="single" w:sz="4" w:space="0" w:color="auto"/>
              <w:right w:val="single" w:sz="4" w:space="0" w:color="auto"/>
            </w:tcBorders>
          </w:tcPr>
          <w:p w:rsidR="00734F29" w:rsidRPr="0067300D" w:rsidRDefault="00734F29" w:rsidP="003511C2">
            <w:pPr>
              <w:jc w:val="center"/>
              <w:rPr>
                <w:b/>
                <w:bCs/>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137BA">
        <w:trPr>
          <w:trHeight w:val="255"/>
        </w:trPr>
        <w:tc>
          <w:tcPr>
            <w:tcW w:w="765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vertAlign w:val="superscript"/>
              </w:rPr>
            </w:pPr>
            <w:r w:rsidRPr="0067300D">
              <w:rPr>
                <w:sz w:val="24"/>
                <w:szCs w:val="24"/>
              </w:rPr>
              <w:t xml:space="preserve">  Obstará</w:t>
            </w:r>
            <w:r w:rsidR="003137BA">
              <w:rPr>
                <w:sz w:val="24"/>
                <w:szCs w:val="24"/>
              </w:rPr>
              <w:t>vanie kapitálových aktív (710</w:t>
            </w:r>
            <w:r w:rsidRPr="0067300D">
              <w:rPr>
                <w:sz w:val="24"/>
                <w:szCs w:val="24"/>
              </w:rPr>
              <w:t>)</w:t>
            </w:r>
            <w:r w:rsidRPr="0067300D">
              <w:rPr>
                <w:sz w:val="24"/>
                <w:szCs w:val="24"/>
                <w:vertAlign w:val="superscript"/>
              </w:rPr>
              <w:t>2</w:t>
            </w:r>
          </w:p>
        </w:tc>
        <w:tc>
          <w:tcPr>
            <w:tcW w:w="2126" w:type="dxa"/>
            <w:tcBorders>
              <w:top w:val="nil"/>
              <w:left w:val="nil"/>
              <w:bottom w:val="single" w:sz="4" w:space="0" w:color="auto"/>
              <w:right w:val="single" w:sz="4" w:space="0" w:color="auto"/>
            </w:tcBorders>
          </w:tcPr>
          <w:p w:rsidR="00734F29" w:rsidRPr="003137BA" w:rsidRDefault="004C136F" w:rsidP="003511C2">
            <w:pPr>
              <w:jc w:val="center"/>
              <w:rPr>
                <w:color w:val="000000" w:themeColor="text1"/>
                <w:sz w:val="24"/>
                <w:szCs w:val="24"/>
              </w:rPr>
            </w:pPr>
            <w:r w:rsidRPr="004C136F">
              <w:rPr>
                <w:bCs/>
                <w:sz w:val="24"/>
                <w:szCs w:val="24"/>
              </w:rPr>
              <w:t>16 191 740</w:t>
            </w:r>
          </w:p>
        </w:tc>
        <w:tc>
          <w:tcPr>
            <w:tcW w:w="1134"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86"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3137BA" w:rsidRPr="0067300D" w:rsidTr="003137BA">
        <w:trPr>
          <w:trHeight w:val="255"/>
        </w:trPr>
        <w:tc>
          <w:tcPr>
            <w:tcW w:w="7650" w:type="dxa"/>
            <w:tcBorders>
              <w:top w:val="nil"/>
              <w:left w:val="single" w:sz="4" w:space="0" w:color="auto"/>
              <w:bottom w:val="single" w:sz="4" w:space="0" w:color="auto"/>
              <w:right w:val="single" w:sz="4" w:space="0" w:color="auto"/>
            </w:tcBorders>
          </w:tcPr>
          <w:p w:rsidR="003137BA" w:rsidRPr="003137BA" w:rsidRDefault="003137BA" w:rsidP="003137BA">
            <w:pPr>
              <w:pStyle w:val="Default"/>
              <w:rPr>
                <w:rFonts w:ascii="Times New Roman" w:hAnsi="Times New Roman" w:cs="Times New Roman"/>
              </w:rPr>
            </w:pPr>
            <w:r w:rsidRPr="003137BA">
              <w:rPr>
                <w:rFonts w:ascii="Times New Roman" w:hAnsi="Times New Roman" w:cs="Times New Roman"/>
              </w:rPr>
              <w:t xml:space="preserve">RP EKRK 718 Rekonštrukcia a modernizácia </w:t>
            </w:r>
          </w:p>
        </w:tc>
        <w:tc>
          <w:tcPr>
            <w:tcW w:w="2126" w:type="dxa"/>
            <w:tcBorders>
              <w:top w:val="nil"/>
              <w:left w:val="nil"/>
              <w:bottom w:val="single" w:sz="4" w:space="0" w:color="auto"/>
              <w:right w:val="single" w:sz="4" w:space="0" w:color="auto"/>
            </w:tcBorders>
          </w:tcPr>
          <w:p w:rsidR="003137BA" w:rsidRPr="0067300D" w:rsidRDefault="004C136F" w:rsidP="003511C2">
            <w:pPr>
              <w:jc w:val="center"/>
              <w:rPr>
                <w:color w:val="000000" w:themeColor="text1"/>
                <w:sz w:val="24"/>
                <w:szCs w:val="24"/>
              </w:rPr>
            </w:pPr>
            <w:r w:rsidRPr="004C136F">
              <w:rPr>
                <w:bCs/>
                <w:sz w:val="24"/>
                <w:szCs w:val="24"/>
              </w:rPr>
              <w:t>16 191 740</w:t>
            </w:r>
          </w:p>
        </w:tc>
        <w:tc>
          <w:tcPr>
            <w:tcW w:w="1134" w:type="dxa"/>
            <w:tcBorders>
              <w:top w:val="nil"/>
              <w:left w:val="nil"/>
              <w:bottom w:val="single" w:sz="4" w:space="0" w:color="auto"/>
              <w:right w:val="single" w:sz="4" w:space="0" w:color="auto"/>
            </w:tcBorders>
          </w:tcPr>
          <w:p w:rsidR="003137BA" w:rsidRPr="0067300D" w:rsidRDefault="003137BA" w:rsidP="003511C2">
            <w:pPr>
              <w:jc w:val="center"/>
              <w:rPr>
                <w:sz w:val="24"/>
                <w:szCs w:val="24"/>
              </w:rPr>
            </w:pPr>
          </w:p>
        </w:tc>
        <w:tc>
          <w:tcPr>
            <w:tcW w:w="1134" w:type="dxa"/>
            <w:tcBorders>
              <w:top w:val="nil"/>
              <w:left w:val="nil"/>
              <w:bottom w:val="single" w:sz="4" w:space="0" w:color="auto"/>
              <w:right w:val="single" w:sz="4" w:space="0" w:color="auto"/>
            </w:tcBorders>
          </w:tcPr>
          <w:p w:rsidR="003137BA" w:rsidRPr="0067300D" w:rsidRDefault="003137BA" w:rsidP="003511C2">
            <w:pPr>
              <w:jc w:val="center"/>
              <w:rPr>
                <w:sz w:val="24"/>
                <w:szCs w:val="24"/>
              </w:rPr>
            </w:pPr>
          </w:p>
        </w:tc>
        <w:tc>
          <w:tcPr>
            <w:tcW w:w="1186" w:type="dxa"/>
            <w:tcBorders>
              <w:top w:val="nil"/>
              <w:left w:val="nil"/>
              <w:bottom w:val="single" w:sz="4" w:space="0" w:color="auto"/>
              <w:right w:val="single" w:sz="4" w:space="0" w:color="auto"/>
            </w:tcBorders>
          </w:tcPr>
          <w:p w:rsidR="003137BA" w:rsidRPr="0067300D" w:rsidRDefault="003137BA"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3137BA" w:rsidRPr="0067300D" w:rsidRDefault="003137BA" w:rsidP="003511C2">
            <w:pPr>
              <w:rPr>
                <w:sz w:val="24"/>
                <w:szCs w:val="24"/>
              </w:rPr>
            </w:pPr>
          </w:p>
        </w:tc>
      </w:tr>
      <w:tr w:rsidR="00734F29" w:rsidRPr="0067300D" w:rsidTr="003137BA">
        <w:trPr>
          <w:trHeight w:val="255"/>
        </w:trPr>
        <w:tc>
          <w:tcPr>
            <w:tcW w:w="7650" w:type="dxa"/>
            <w:tcBorders>
              <w:top w:val="nil"/>
              <w:left w:val="single" w:sz="4" w:space="0" w:color="auto"/>
              <w:bottom w:val="single" w:sz="4" w:space="0" w:color="auto"/>
              <w:right w:val="single" w:sz="4" w:space="0" w:color="auto"/>
            </w:tcBorders>
          </w:tcPr>
          <w:p w:rsidR="00734F29" w:rsidRPr="0067300D" w:rsidRDefault="00734F29" w:rsidP="003511C2">
            <w:pPr>
              <w:rPr>
                <w:sz w:val="24"/>
                <w:szCs w:val="24"/>
              </w:rPr>
            </w:pPr>
            <w:r w:rsidRPr="0067300D">
              <w:rPr>
                <w:sz w:val="24"/>
                <w:szCs w:val="24"/>
              </w:rPr>
              <w:t xml:space="preserve">  Kapitálové transfery (720)</w:t>
            </w:r>
            <w:r w:rsidRPr="0067300D">
              <w:rPr>
                <w:sz w:val="24"/>
                <w:szCs w:val="24"/>
                <w:vertAlign w:val="superscript"/>
              </w:rPr>
              <w:t>2</w:t>
            </w:r>
          </w:p>
        </w:tc>
        <w:tc>
          <w:tcPr>
            <w:tcW w:w="2126" w:type="dxa"/>
            <w:tcBorders>
              <w:top w:val="nil"/>
              <w:left w:val="nil"/>
              <w:bottom w:val="single" w:sz="4" w:space="0" w:color="auto"/>
              <w:right w:val="single" w:sz="4" w:space="0" w:color="auto"/>
            </w:tcBorders>
          </w:tcPr>
          <w:p w:rsidR="00734F29" w:rsidRPr="0067300D" w:rsidRDefault="00734F29" w:rsidP="003511C2">
            <w:pPr>
              <w:jc w:val="center"/>
              <w:rPr>
                <w:color w:val="000000" w:themeColor="text1"/>
                <w:sz w:val="24"/>
                <w:szCs w:val="24"/>
              </w:rPr>
            </w:pPr>
          </w:p>
        </w:tc>
        <w:tc>
          <w:tcPr>
            <w:tcW w:w="1134"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34"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1186" w:type="dxa"/>
            <w:tcBorders>
              <w:top w:val="nil"/>
              <w:left w:val="nil"/>
              <w:bottom w:val="single" w:sz="4" w:space="0" w:color="auto"/>
              <w:right w:val="single" w:sz="4" w:space="0" w:color="auto"/>
            </w:tcBorders>
          </w:tcPr>
          <w:p w:rsidR="00734F29" w:rsidRPr="0067300D" w:rsidRDefault="00734F29" w:rsidP="003511C2">
            <w:pPr>
              <w:jc w:val="center"/>
              <w:rPr>
                <w:sz w:val="24"/>
                <w:szCs w:val="24"/>
              </w:rPr>
            </w:pP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137BA">
        <w:trPr>
          <w:trHeight w:val="255"/>
        </w:trPr>
        <w:tc>
          <w:tcPr>
            <w:tcW w:w="7650" w:type="dxa"/>
            <w:tcBorders>
              <w:top w:val="nil"/>
              <w:left w:val="single" w:sz="4" w:space="0" w:color="auto"/>
              <w:bottom w:val="single" w:sz="4" w:space="0" w:color="auto"/>
              <w:right w:val="single" w:sz="4" w:space="0" w:color="auto"/>
            </w:tcBorders>
          </w:tcPr>
          <w:p w:rsidR="00734F29" w:rsidRPr="0067300D" w:rsidRDefault="00734F29" w:rsidP="003511C2">
            <w:pPr>
              <w:rPr>
                <w:b/>
                <w:bCs/>
                <w:sz w:val="24"/>
                <w:szCs w:val="24"/>
              </w:rPr>
            </w:pPr>
            <w:r w:rsidRPr="0067300D">
              <w:rPr>
                <w:b/>
                <w:bCs/>
                <w:sz w:val="24"/>
                <w:szCs w:val="24"/>
              </w:rPr>
              <w:t>Výdavky z transakcií s finančnými aktívami a finančnými pasívami (800)</w:t>
            </w:r>
          </w:p>
        </w:tc>
        <w:tc>
          <w:tcPr>
            <w:tcW w:w="2126"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color w:val="000000" w:themeColor="text1"/>
                <w:sz w:val="24"/>
                <w:szCs w:val="24"/>
              </w:rPr>
            </w:pPr>
            <w:r w:rsidRPr="0067300D">
              <w:rPr>
                <w:b/>
                <w:bCs/>
                <w:color w:val="000000" w:themeColor="text1"/>
                <w:sz w:val="24"/>
                <w:szCs w:val="24"/>
              </w:rPr>
              <w:t> </w:t>
            </w:r>
          </w:p>
        </w:tc>
        <w:tc>
          <w:tcPr>
            <w:tcW w:w="1134"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r w:rsidRPr="0067300D">
              <w:rPr>
                <w:b/>
                <w:bCs/>
                <w:sz w:val="24"/>
                <w:szCs w:val="24"/>
              </w:rPr>
              <w:t> </w:t>
            </w:r>
          </w:p>
        </w:tc>
        <w:tc>
          <w:tcPr>
            <w:tcW w:w="1134"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r w:rsidRPr="0067300D">
              <w:rPr>
                <w:b/>
                <w:bCs/>
                <w:sz w:val="24"/>
                <w:szCs w:val="24"/>
              </w:rPr>
              <w:t> </w:t>
            </w:r>
          </w:p>
        </w:tc>
        <w:tc>
          <w:tcPr>
            <w:tcW w:w="1186" w:type="dxa"/>
            <w:tcBorders>
              <w:top w:val="nil"/>
              <w:left w:val="nil"/>
              <w:bottom w:val="single" w:sz="4" w:space="0" w:color="auto"/>
              <w:right w:val="single" w:sz="4" w:space="0" w:color="auto"/>
            </w:tcBorders>
            <w:shd w:val="clear" w:color="auto" w:fill="FFFF99"/>
          </w:tcPr>
          <w:p w:rsidR="00734F29" w:rsidRPr="0067300D" w:rsidRDefault="00734F29" w:rsidP="003511C2">
            <w:pPr>
              <w:jc w:val="center"/>
              <w:rPr>
                <w:b/>
                <w:bCs/>
                <w:sz w:val="24"/>
                <w:szCs w:val="24"/>
              </w:rPr>
            </w:pPr>
            <w:r w:rsidRPr="0067300D">
              <w:rPr>
                <w:b/>
                <w:bCs/>
                <w:sz w:val="24"/>
                <w:szCs w:val="24"/>
              </w:rPr>
              <w:t> </w:t>
            </w:r>
          </w:p>
        </w:tc>
        <w:tc>
          <w:tcPr>
            <w:tcW w:w="2220" w:type="dxa"/>
            <w:tcBorders>
              <w:top w:val="nil"/>
              <w:left w:val="nil"/>
              <w:bottom w:val="single" w:sz="4" w:space="0" w:color="auto"/>
              <w:right w:val="single" w:sz="4" w:space="0" w:color="auto"/>
            </w:tcBorders>
            <w:noWrap/>
            <w:vAlign w:val="bottom"/>
          </w:tcPr>
          <w:p w:rsidR="00734F29" w:rsidRPr="0067300D" w:rsidRDefault="00734F29" w:rsidP="003511C2">
            <w:pPr>
              <w:rPr>
                <w:sz w:val="24"/>
                <w:szCs w:val="24"/>
              </w:rPr>
            </w:pPr>
            <w:r w:rsidRPr="0067300D">
              <w:rPr>
                <w:sz w:val="24"/>
                <w:szCs w:val="24"/>
              </w:rPr>
              <w:t> </w:t>
            </w:r>
          </w:p>
        </w:tc>
      </w:tr>
      <w:tr w:rsidR="00734F29" w:rsidRPr="0067300D" w:rsidTr="003137BA">
        <w:trPr>
          <w:trHeight w:val="255"/>
        </w:trPr>
        <w:tc>
          <w:tcPr>
            <w:tcW w:w="7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4F29" w:rsidRPr="0067300D" w:rsidRDefault="00734F29" w:rsidP="003511C2">
            <w:pPr>
              <w:rPr>
                <w:b/>
                <w:bCs/>
                <w:sz w:val="24"/>
                <w:szCs w:val="24"/>
              </w:rPr>
            </w:pPr>
            <w:r w:rsidRPr="0067300D">
              <w:rPr>
                <w:b/>
                <w:bCs/>
                <w:sz w:val="24"/>
                <w:szCs w:val="24"/>
              </w:rPr>
              <w:t>Dopad na výdavky verejnej správy celkom</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tcPr>
          <w:p w:rsidR="00734F29" w:rsidRPr="00AA1B90" w:rsidRDefault="004C136F" w:rsidP="003511C2">
            <w:pPr>
              <w:jc w:val="center"/>
              <w:rPr>
                <w:b/>
                <w:bCs/>
                <w:color w:val="000000" w:themeColor="text1"/>
                <w:sz w:val="24"/>
                <w:szCs w:val="24"/>
              </w:rPr>
            </w:pPr>
            <w:r w:rsidRPr="004C136F">
              <w:rPr>
                <w:b/>
                <w:bCs/>
                <w:sz w:val="24"/>
                <w:szCs w:val="24"/>
              </w:rPr>
              <w:t>16 191 740</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734F29" w:rsidRPr="004F7935" w:rsidRDefault="0083725B" w:rsidP="003511C2">
            <w:pPr>
              <w:jc w:val="center"/>
              <w:rPr>
                <w:b/>
                <w:bCs/>
                <w:sz w:val="24"/>
                <w:szCs w:val="24"/>
              </w:rPr>
            </w:pPr>
            <w:r w:rsidRPr="004F7935">
              <w:rPr>
                <w:b/>
                <w:bCs/>
                <w:sz w:val="24"/>
                <w:szCs w:val="24"/>
              </w:rPr>
              <w:t>293 204</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734F29" w:rsidRPr="004F7935" w:rsidRDefault="0083725B" w:rsidP="003511C2">
            <w:pPr>
              <w:jc w:val="center"/>
              <w:rPr>
                <w:b/>
                <w:bCs/>
                <w:sz w:val="24"/>
                <w:szCs w:val="24"/>
              </w:rPr>
            </w:pPr>
            <w:r w:rsidRPr="004F7935">
              <w:rPr>
                <w:b/>
                <w:bCs/>
                <w:sz w:val="24"/>
                <w:szCs w:val="24"/>
              </w:rPr>
              <w:t>293 204</w:t>
            </w:r>
          </w:p>
        </w:tc>
        <w:tc>
          <w:tcPr>
            <w:tcW w:w="1186" w:type="dxa"/>
            <w:tcBorders>
              <w:top w:val="single" w:sz="4" w:space="0" w:color="auto"/>
              <w:left w:val="nil"/>
              <w:bottom w:val="single" w:sz="4" w:space="0" w:color="auto"/>
              <w:right w:val="single" w:sz="4" w:space="0" w:color="auto"/>
            </w:tcBorders>
            <w:shd w:val="clear" w:color="auto" w:fill="BFBFBF" w:themeFill="background1" w:themeFillShade="BF"/>
          </w:tcPr>
          <w:p w:rsidR="00734F29" w:rsidRPr="004F7935" w:rsidRDefault="0083725B" w:rsidP="003511C2">
            <w:pPr>
              <w:jc w:val="center"/>
              <w:rPr>
                <w:b/>
                <w:bCs/>
                <w:sz w:val="24"/>
                <w:szCs w:val="24"/>
              </w:rPr>
            </w:pPr>
            <w:r w:rsidRPr="004F7935">
              <w:rPr>
                <w:b/>
                <w:bCs/>
                <w:sz w:val="24"/>
                <w:szCs w:val="24"/>
              </w:rPr>
              <w:t>293 204</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34F29" w:rsidRPr="0067300D" w:rsidRDefault="00734F29" w:rsidP="003511C2">
            <w:pPr>
              <w:rPr>
                <w:sz w:val="24"/>
                <w:szCs w:val="24"/>
              </w:rPr>
            </w:pPr>
            <w:r w:rsidRPr="0067300D">
              <w:rPr>
                <w:sz w:val="24"/>
                <w:szCs w:val="24"/>
              </w:rPr>
              <w:t> </w:t>
            </w:r>
          </w:p>
        </w:tc>
      </w:tr>
    </w:tbl>
    <w:p w:rsidR="00734F29" w:rsidRPr="0067300D" w:rsidRDefault="00734F29" w:rsidP="00734F29">
      <w:pPr>
        <w:tabs>
          <w:tab w:val="num" w:pos="1080"/>
        </w:tabs>
        <w:ind w:left="-900"/>
        <w:jc w:val="both"/>
        <w:rPr>
          <w:bCs/>
          <w:sz w:val="24"/>
          <w:szCs w:val="24"/>
        </w:rPr>
      </w:pPr>
      <w:r w:rsidRPr="0067300D">
        <w:rPr>
          <w:bCs/>
          <w:sz w:val="24"/>
          <w:szCs w:val="24"/>
        </w:rPr>
        <w:t xml:space="preserve">  2 –  výdavky rozpísať až do položiek platnej ekonomickej klasifikácie</w:t>
      </w:r>
    </w:p>
    <w:p w:rsidR="00734F29" w:rsidRPr="0067300D" w:rsidRDefault="00734F29" w:rsidP="00734F29">
      <w:pPr>
        <w:tabs>
          <w:tab w:val="num" w:pos="1080"/>
        </w:tabs>
        <w:ind w:left="-900"/>
        <w:jc w:val="both"/>
        <w:rPr>
          <w:bCs/>
          <w:sz w:val="24"/>
          <w:szCs w:val="24"/>
        </w:rPr>
      </w:pPr>
    </w:p>
    <w:p w:rsidR="00734F29" w:rsidRPr="0067300D" w:rsidRDefault="00734F29" w:rsidP="00734F29">
      <w:pPr>
        <w:tabs>
          <w:tab w:val="num" w:pos="1080"/>
        </w:tabs>
        <w:ind w:left="-900"/>
        <w:jc w:val="both"/>
        <w:rPr>
          <w:b/>
          <w:bCs/>
          <w:sz w:val="24"/>
          <w:szCs w:val="24"/>
        </w:rPr>
      </w:pPr>
      <w:r w:rsidRPr="0067300D">
        <w:rPr>
          <w:b/>
          <w:bCs/>
          <w:sz w:val="24"/>
          <w:szCs w:val="24"/>
        </w:rPr>
        <w:t xml:space="preserve">  Poznámka:</w:t>
      </w:r>
    </w:p>
    <w:p w:rsidR="002607F7" w:rsidRDefault="00734F29" w:rsidP="00734F29">
      <w:r w:rsidRPr="0067300D">
        <w:rPr>
          <w:bCs/>
          <w:sz w:val="24"/>
          <w:szCs w:val="24"/>
        </w:rPr>
        <w:t xml:space="preserve">  Ak sa vplyv týka viacerých subjektov verejnej správy, vypĺňa sa samostatná tabuľka za každý subjekt.</w:t>
      </w:r>
    </w:p>
    <w:sectPr w:rsidR="002607F7" w:rsidSect="00734F2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A2" w:rsidRDefault="00AD6CA2">
      <w:r>
        <w:separator/>
      </w:r>
    </w:p>
  </w:endnote>
  <w:endnote w:type="continuationSeparator" w:id="0">
    <w:p w:rsidR="00AD6CA2" w:rsidRDefault="00AD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9E3539">
    <w:pPr>
      <w:pStyle w:val="Pta"/>
      <w:framePr w:wrap="around" w:vAnchor="text" w:hAnchor="margin" w:xAlign="right" w:y="1"/>
      <w:rPr>
        <w:rStyle w:val="slostrany"/>
      </w:rPr>
    </w:pPr>
    <w:r>
      <w:rPr>
        <w:rStyle w:val="slostrany"/>
      </w:rPr>
      <w:fldChar w:fldCharType="begin"/>
    </w:r>
    <w:r w:rsidR="00734F29">
      <w:rPr>
        <w:rStyle w:val="slostrany"/>
      </w:rPr>
      <w:instrText xml:space="preserve">PAGE  </w:instrText>
    </w:r>
    <w:r>
      <w:rPr>
        <w:rStyle w:val="slostrany"/>
      </w:rPr>
      <w:fldChar w:fldCharType="separate"/>
    </w:r>
    <w:r w:rsidR="00734F29">
      <w:rPr>
        <w:rStyle w:val="slostrany"/>
        <w:noProof/>
      </w:rPr>
      <w:t>10</w:t>
    </w:r>
    <w:r>
      <w:rPr>
        <w:rStyle w:val="slostrany"/>
      </w:rPr>
      <w:fldChar w:fldCharType="end"/>
    </w:r>
  </w:p>
  <w:p w:rsidR="00393B50" w:rsidRDefault="00AD6CA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AD6CA2">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9E3539">
    <w:pPr>
      <w:pStyle w:val="Pta"/>
      <w:jc w:val="right"/>
    </w:pPr>
    <w:r>
      <w:rPr>
        <w:noProof/>
      </w:rPr>
      <w:fldChar w:fldCharType="begin"/>
    </w:r>
    <w:r w:rsidR="00734F29">
      <w:rPr>
        <w:noProof/>
      </w:rPr>
      <w:instrText>PAGE   \* MERGEFORMAT</w:instrText>
    </w:r>
    <w:r>
      <w:rPr>
        <w:noProof/>
      </w:rPr>
      <w:fldChar w:fldCharType="separate"/>
    </w:r>
    <w:r w:rsidR="00734F29">
      <w:rPr>
        <w:noProof/>
      </w:rPr>
      <w:t>0</w:t>
    </w:r>
    <w:r>
      <w:rPr>
        <w:noProof/>
      </w:rPr>
      <w:fldChar w:fldCharType="end"/>
    </w:r>
  </w:p>
  <w:p w:rsidR="00393B50" w:rsidRDefault="00AD6C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A2" w:rsidRDefault="00AD6CA2">
      <w:r>
        <w:separator/>
      </w:r>
    </w:p>
  </w:footnote>
  <w:footnote w:type="continuationSeparator" w:id="0">
    <w:p w:rsidR="00AD6CA2" w:rsidRDefault="00AD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Default="00734F29" w:rsidP="008719E2">
    <w:pPr>
      <w:pStyle w:val="Hlavika"/>
      <w:jc w:val="right"/>
      <w:rPr>
        <w:sz w:val="24"/>
        <w:szCs w:val="24"/>
      </w:rPr>
    </w:pPr>
    <w:r>
      <w:rPr>
        <w:sz w:val="24"/>
        <w:szCs w:val="24"/>
      </w:rPr>
      <w:t>Príloha č. 2</w:t>
    </w:r>
  </w:p>
  <w:p w:rsidR="00393B50" w:rsidRPr="00EB59C8" w:rsidRDefault="00AD6CA2" w:rsidP="008719E2">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B50" w:rsidRPr="000A15AE" w:rsidRDefault="00734F29" w:rsidP="008719E2">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F4801"/>
    <w:multiLevelType w:val="hybridMultilevel"/>
    <w:tmpl w:val="E3C493A2"/>
    <w:lvl w:ilvl="0" w:tplc="2CF4F216">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0A"/>
    <w:rsid w:val="00040FE6"/>
    <w:rsid w:val="00046308"/>
    <w:rsid w:val="00065050"/>
    <w:rsid w:val="0007657A"/>
    <w:rsid w:val="00091DF6"/>
    <w:rsid w:val="000E67D7"/>
    <w:rsid w:val="000F160D"/>
    <w:rsid w:val="000F3F87"/>
    <w:rsid w:val="00103CA6"/>
    <w:rsid w:val="0011183A"/>
    <w:rsid w:val="00112C45"/>
    <w:rsid w:val="00114704"/>
    <w:rsid w:val="0016396C"/>
    <w:rsid w:val="001C133C"/>
    <w:rsid w:val="00204245"/>
    <w:rsid w:val="002142F8"/>
    <w:rsid w:val="0021623D"/>
    <w:rsid w:val="00225A2E"/>
    <w:rsid w:val="00247017"/>
    <w:rsid w:val="002607F7"/>
    <w:rsid w:val="002C1772"/>
    <w:rsid w:val="002C6587"/>
    <w:rsid w:val="002D1E86"/>
    <w:rsid w:val="002D770A"/>
    <w:rsid w:val="002E3BFB"/>
    <w:rsid w:val="002F5486"/>
    <w:rsid w:val="0030011B"/>
    <w:rsid w:val="00312B18"/>
    <w:rsid w:val="003137BA"/>
    <w:rsid w:val="003B0DB2"/>
    <w:rsid w:val="003E7854"/>
    <w:rsid w:val="00406DA8"/>
    <w:rsid w:val="00421F24"/>
    <w:rsid w:val="004231A9"/>
    <w:rsid w:val="00481537"/>
    <w:rsid w:val="00493337"/>
    <w:rsid w:val="004C136F"/>
    <w:rsid w:val="004C6AEC"/>
    <w:rsid w:val="004E44F6"/>
    <w:rsid w:val="004F22E0"/>
    <w:rsid w:val="004F7935"/>
    <w:rsid w:val="00516238"/>
    <w:rsid w:val="00521434"/>
    <w:rsid w:val="0053040A"/>
    <w:rsid w:val="00561F78"/>
    <w:rsid w:val="0059561B"/>
    <w:rsid w:val="005A1D26"/>
    <w:rsid w:val="005B5393"/>
    <w:rsid w:val="005E23A2"/>
    <w:rsid w:val="005F3884"/>
    <w:rsid w:val="006042B5"/>
    <w:rsid w:val="006274A5"/>
    <w:rsid w:val="00630EBB"/>
    <w:rsid w:val="006338E7"/>
    <w:rsid w:val="00697A33"/>
    <w:rsid w:val="006C275B"/>
    <w:rsid w:val="00721BD2"/>
    <w:rsid w:val="00734F29"/>
    <w:rsid w:val="00776633"/>
    <w:rsid w:val="007921C8"/>
    <w:rsid w:val="0083725B"/>
    <w:rsid w:val="00837D1A"/>
    <w:rsid w:val="00865E7F"/>
    <w:rsid w:val="008739A6"/>
    <w:rsid w:val="00874393"/>
    <w:rsid w:val="00903B77"/>
    <w:rsid w:val="00912381"/>
    <w:rsid w:val="00912F95"/>
    <w:rsid w:val="00980482"/>
    <w:rsid w:val="009D6274"/>
    <w:rsid w:val="009D6C62"/>
    <w:rsid w:val="009E3539"/>
    <w:rsid w:val="00A06CFF"/>
    <w:rsid w:val="00A07EDD"/>
    <w:rsid w:val="00A16C6C"/>
    <w:rsid w:val="00A202EB"/>
    <w:rsid w:val="00A22874"/>
    <w:rsid w:val="00A535CA"/>
    <w:rsid w:val="00A5471E"/>
    <w:rsid w:val="00A77D94"/>
    <w:rsid w:val="00AA1B90"/>
    <w:rsid w:val="00AD6CA2"/>
    <w:rsid w:val="00AF1DAD"/>
    <w:rsid w:val="00AF4916"/>
    <w:rsid w:val="00AF6CCB"/>
    <w:rsid w:val="00B828AC"/>
    <w:rsid w:val="00B96EF0"/>
    <w:rsid w:val="00BB6C50"/>
    <w:rsid w:val="00BC3A38"/>
    <w:rsid w:val="00BC5BB1"/>
    <w:rsid w:val="00BD42E8"/>
    <w:rsid w:val="00BF268F"/>
    <w:rsid w:val="00C3355F"/>
    <w:rsid w:val="00C4333E"/>
    <w:rsid w:val="00C56FF9"/>
    <w:rsid w:val="00C577D9"/>
    <w:rsid w:val="00C8296A"/>
    <w:rsid w:val="00CF6FA2"/>
    <w:rsid w:val="00D075A6"/>
    <w:rsid w:val="00D201D0"/>
    <w:rsid w:val="00D7290C"/>
    <w:rsid w:val="00D8768C"/>
    <w:rsid w:val="00DA2036"/>
    <w:rsid w:val="00DC3F8B"/>
    <w:rsid w:val="00DC705A"/>
    <w:rsid w:val="00E045AA"/>
    <w:rsid w:val="00E4145E"/>
    <w:rsid w:val="00E42B6B"/>
    <w:rsid w:val="00E52524"/>
    <w:rsid w:val="00E535A5"/>
    <w:rsid w:val="00E70ECF"/>
    <w:rsid w:val="00EB3DF7"/>
    <w:rsid w:val="00EE5576"/>
    <w:rsid w:val="00F07358"/>
    <w:rsid w:val="00F44E7C"/>
    <w:rsid w:val="00F607B5"/>
    <w:rsid w:val="00F86FA9"/>
    <w:rsid w:val="00F95339"/>
    <w:rsid w:val="00FA36A2"/>
    <w:rsid w:val="00FA6DF0"/>
    <w:rsid w:val="00FB7959"/>
    <w:rsid w:val="00FF19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9D65D-C099-465F-85D1-A844C61F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4F29"/>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34F29"/>
    <w:pPr>
      <w:spacing w:after="200" w:line="276" w:lineRule="auto"/>
      <w:ind w:left="720"/>
      <w:contextualSpacing/>
    </w:pPr>
    <w:rPr>
      <w:rFonts w:asciiTheme="minorHAnsi" w:hAnsiTheme="minorHAnsi"/>
      <w:sz w:val="22"/>
      <w:szCs w:val="22"/>
      <w:lang w:eastAsia="en-US"/>
    </w:rPr>
  </w:style>
  <w:style w:type="paragraph" w:styleId="Pta">
    <w:name w:val="footer"/>
    <w:basedOn w:val="Normlny"/>
    <w:link w:val="PtaChar"/>
    <w:uiPriority w:val="99"/>
    <w:unhideWhenUsed/>
    <w:rsid w:val="00734F29"/>
    <w:pPr>
      <w:tabs>
        <w:tab w:val="center" w:pos="4536"/>
        <w:tab w:val="right" w:pos="9072"/>
      </w:tabs>
    </w:pPr>
  </w:style>
  <w:style w:type="character" w:customStyle="1" w:styleId="PtaChar">
    <w:name w:val="Päta Char"/>
    <w:basedOn w:val="Predvolenpsmoodseku"/>
    <w:link w:val="Pta"/>
    <w:uiPriority w:val="99"/>
    <w:rsid w:val="00734F2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734F29"/>
    <w:pPr>
      <w:tabs>
        <w:tab w:val="center" w:pos="4536"/>
        <w:tab w:val="right" w:pos="9072"/>
      </w:tabs>
    </w:pPr>
  </w:style>
  <w:style w:type="character" w:customStyle="1" w:styleId="HlavikaChar">
    <w:name w:val="Hlavička Char"/>
    <w:basedOn w:val="Predvolenpsmoodseku"/>
    <w:link w:val="Hlavika"/>
    <w:uiPriority w:val="99"/>
    <w:rsid w:val="00734F29"/>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734F29"/>
    <w:rPr>
      <w:rFonts w:ascii="Times New Roman" w:hAnsi="Times New Roman" w:cs="Times New Roman"/>
      <w:color w:val="808080"/>
    </w:rPr>
  </w:style>
  <w:style w:type="character" w:styleId="slostrany">
    <w:name w:val="page number"/>
    <w:basedOn w:val="Predvolenpsmoodseku"/>
    <w:uiPriority w:val="99"/>
    <w:rsid w:val="00734F29"/>
    <w:rPr>
      <w:rFonts w:cs="Times New Roman"/>
    </w:rPr>
  </w:style>
  <w:style w:type="paragraph" w:customStyle="1" w:styleId="Default">
    <w:name w:val="Default"/>
    <w:rsid w:val="002D770A"/>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F793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793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15989">
      <w:bodyDiv w:val="1"/>
      <w:marLeft w:val="0"/>
      <w:marRight w:val="0"/>
      <w:marTop w:val="0"/>
      <w:marBottom w:val="0"/>
      <w:divBdr>
        <w:top w:val="none" w:sz="0" w:space="0" w:color="auto"/>
        <w:left w:val="none" w:sz="0" w:space="0" w:color="auto"/>
        <w:bottom w:val="none" w:sz="0" w:space="0" w:color="auto"/>
        <w:right w:val="none" w:sz="0" w:space="0" w:color="auto"/>
      </w:divBdr>
    </w:div>
    <w:div w:id="949511010">
      <w:bodyDiv w:val="1"/>
      <w:marLeft w:val="0"/>
      <w:marRight w:val="0"/>
      <w:marTop w:val="0"/>
      <w:marBottom w:val="0"/>
      <w:divBdr>
        <w:top w:val="none" w:sz="0" w:space="0" w:color="auto"/>
        <w:left w:val="none" w:sz="0" w:space="0" w:color="auto"/>
        <w:bottom w:val="none" w:sz="0" w:space="0" w:color="auto"/>
        <w:right w:val="none" w:sz="0" w:space="0" w:color="auto"/>
      </w:divBdr>
    </w:div>
    <w:div w:id="13824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4053-71D3-4C76-988A-4D4C4F5A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2068</Words>
  <Characters>11788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Milos</dc:creator>
  <cp:keywords/>
  <dc:description/>
  <cp:lastModifiedBy>Jablonkova Zdenka</cp:lastModifiedBy>
  <cp:revision>12</cp:revision>
  <cp:lastPrinted>2020-06-05T09:01:00Z</cp:lastPrinted>
  <dcterms:created xsi:type="dcterms:W3CDTF">2020-06-02T05:52:00Z</dcterms:created>
  <dcterms:modified xsi:type="dcterms:W3CDTF">2020-07-29T08:04:00Z</dcterms:modified>
</cp:coreProperties>
</file>