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F" w:rsidRPr="0017495E" w:rsidRDefault="00C3320F">
      <w:pPr>
        <w:pStyle w:val="Nadpis1"/>
        <w:spacing w:after="120"/>
        <w:rPr>
          <w:sz w:val="20"/>
          <w:szCs w:val="20"/>
        </w:rPr>
      </w:pPr>
    </w:p>
    <w:p w:rsidR="003144D4" w:rsidRPr="0017495E" w:rsidRDefault="003144D4" w:rsidP="003144D4">
      <w:pPr>
        <w:rPr>
          <w:rFonts w:ascii="inherit" w:hAnsi="inherit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103"/>
        <w:gridCol w:w="992"/>
        <w:gridCol w:w="1065"/>
      </w:tblGrid>
      <w:tr w:rsidR="0017495E" w:rsidRPr="00E85CA6" w:rsidTr="00A956F6">
        <w:tc>
          <w:tcPr>
            <w:tcW w:w="15666" w:type="dxa"/>
            <w:gridSpan w:val="8"/>
          </w:tcPr>
          <w:p w:rsidR="00C3320F" w:rsidRPr="00AC4FCD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4FCD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0B5715" w:rsidRPr="00AC4FCD" w:rsidRDefault="000B5715" w:rsidP="000B5715">
            <w:pPr>
              <w:jc w:val="center"/>
              <w:rPr>
                <w:b/>
              </w:rPr>
            </w:pPr>
            <w:r w:rsidRPr="00AC4FCD">
              <w:rPr>
                <w:b/>
              </w:rPr>
              <w:t>návrhu právneho predpisu s právom Európskej únie</w:t>
            </w:r>
          </w:p>
          <w:p w:rsidR="00080FF9" w:rsidRPr="00AC4FCD" w:rsidRDefault="00080FF9" w:rsidP="00080FF9">
            <w:pPr>
              <w:rPr>
                <w:rFonts w:ascii="inherit" w:hAnsi="inherit"/>
              </w:rPr>
            </w:pPr>
          </w:p>
          <w:p w:rsidR="00C3320F" w:rsidRPr="00AC4FCD" w:rsidRDefault="00C3320F" w:rsidP="00AC4FCD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E85CA6" w:rsidTr="009724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:rsidR="000B5715" w:rsidRPr="00AC4FCD" w:rsidRDefault="000B5715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C4FCD">
              <w:rPr>
                <w:b/>
                <w:sz w:val="20"/>
                <w:szCs w:val="20"/>
              </w:rPr>
              <w:t>Smernica</w:t>
            </w:r>
          </w:p>
          <w:p w:rsidR="000B5715" w:rsidRPr="00AC4FCD" w:rsidRDefault="000B5715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  <w:p w:rsidR="007F687C" w:rsidRPr="00AC4FCD" w:rsidRDefault="007F687C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 w:rsidRPr="00AC4FCD">
              <w:rPr>
                <w:b/>
                <w:sz w:val="20"/>
                <w:szCs w:val="20"/>
              </w:rPr>
              <w:t>Smernica Európskeho parlamentu a Rady (EÚ) 201</w:t>
            </w:r>
            <w:r w:rsidR="004772FE" w:rsidRPr="00AC4FCD">
              <w:rPr>
                <w:b/>
                <w:sz w:val="20"/>
                <w:szCs w:val="20"/>
              </w:rPr>
              <w:t>9</w:t>
            </w:r>
            <w:r w:rsidRPr="00AC4FCD">
              <w:rPr>
                <w:b/>
                <w:sz w:val="20"/>
                <w:szCs w:val="20"/>
              </w:rPr>
              <w:t>/</w:t>
            </w:r>
            <w:r w:rsidR="00ED5A0D" w:rsidRPr="00AC4FCD">
              <w:rPr>
                <w:b/>
                <w:sz w:val="20"/>
                <w:szCs w:val="20"/>
              </w:rPr>
              <w:t xml:space="preserve">983 </w:t>
            </w:r>
            <w:r w:rsidRPr="00AC4FCD">
              <w:rPr>
                <w:b/>
                <w:sz w:val="20"/>
                <w:szCs w:val="20"/>
              </w:rPr>
              <w:t>z </w:t>
            </w:r>
            <w:r w:rsidR="00ED5A0D" w:rsidRPr="00AC4FCD">
              <w:rPr>
                <w:b/>
                <w:sz w:val="20"/>
                <w:szCs w:val="20"/>
              </w:rPr>
              <w:t>5</w:t>
            </w:r>
            <w:r w:rsidRPr="00AC4FCD">
              <w:rPr>
                <w:b/>
                <w:sz w:val="20"/>
                <w:szCs w:val="20"/>
              </w:rPr>
              <w:t xml:space="preserve">. </w:t>
            </w:r>
            <w:r w:rsidR="004772FE" w:rsidRPr="00AC4FCD">
              <w:rPr>
                <w:b/>
                <w:sz w:val="20"/>
                <w:szCs w:val="20"/>
              </w:rPr>
              <w:t>j</w:t>
            </w:r>
            <w:r w:rsidR="00ED5A0D" w:rsidRPr="00AC4FCD">
              <w:rPr>
                <w:b/>
                <w:sz w:val="20"/>
                <w:szCs w:val="20"/>
              </w:rPr>
              <w:t>úna</w:t>
            </w:r>
            <w:r w:rsidRPr="00AC4FCD">
              <w:rPr>
                <w:b/>
                <w:sz w:val="20"/>
                <w:szCs w:val="20"/>
              </w:rPr>
              <w:t xml:space="preserve"> 201</w:t>
            </w:r>
            <w:r w:rsidR="004772FE" w:rsidRPr="00AC4FCD">
              <w:rPr>
                <w:b/>
                <w:sz w:val="20"/>
                <w:szCs w:val="20"/>
              </w:rPr>
              <w:t>9</w:t>
            </w:r>
            <w:r w:rsidRPr="00AC4FCD">
              <w:rPr>
                <w:b/>
                <w:sz w:val="20"/>
                <w:szCs w:val="20"/>
              </w:rPr>
              <w:t>, ktorou sa mení smernica 2004/37/ES o ochrane pracovníkov pred rizikami súvisiacimi s expoz</w:t>
            </w:r>
            <w:r w:rsidR="00453C11" w:rsidRPr="00AC4FCD">
              <w:rPr>
                <w:b/>
                <w:sz w:val="20"/>
                <w:szCs w:val="20"/>
              </w:rPr>
              <w:t>íciou karcinogénom alebo mutagé</w:t>
            </w:r>
            <w:r w:rsidRPr="00AC4FCD">
              <w:rPr>
                <w:b/>
                <w:sz w:val="20"/>
                <w:szCs w:val="20"/>
              </w:rPr>
              <w:t>nom pri práci</w:t>
            </w:r>
            <w:r w:rsidR="000B5715" w:rsidRPr="00AC4FCD">
              <w:rPr>
                <w:b/>
                <w:sz w:val="20"/>
                <w:szCs w:val="20"/>
              </w:rPr>
              <w:t xml:space="preserve"> </w:t>
            </w:r>
            <w:r w:rsidR="000B5715" w:rsidRPr="00AC4FCD">
              <w:rPr>
                <w:sz w:val="20"/>
                <w:szCs w:val="20"/>
              </w:rPr>
              <w:t>(Ú. v. EÚ L 164, 20. 6. 2019).</w:t>
            </w:r>
          </w:p>
          <w:p w:rsidR="00080FF9" w:rsidRPr="00AC4FCD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80FF9" w:rsidRPr="00AC4FCD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</w:tcPr>
          <w:p w:rsidR="000B5715" w:rsidRPr="00AC4FCD" w:rsidRDefault="000B5715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  <w:r w:rsidRPr="00AC4FCD">
              <w:rPr>
                <w:b/>
                <w:bCs/>
                <w:sz w:val="20"/>
                <w:szCs w:val="20"/>
              </w:rPr>
              <w:t>Právne predpisy Slovenskej republiky</w:t>
            </w:r>
          </w:p>
          <w:p w:rsidR="000B5715" w:rsidRPr="00AC4FCD" w:rsidRDefault="000B5715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</w:p>
          <w:p w:rsidR="00E874B1" w:rsidRPr="00AC4FCD" w:rsidRDefault="00E874B1" w:rsidP="00E874B1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AC4FCD">
              <w:rPr>
                <w:b/>
                <w:bCs/>
                <w:sz w:val="20"/>
                <w:szCs w:val="20"/>
              </w:rPr>
              <w:t>Návrh nariadenia vlády Slovenskej republiky, ktorým sa mení a dopĺňa n</w:t>
            </w:r>
            <w:r w:rsidRPr="00AC4FCD">
              <w:rPr>
                <w:b/>
                <w:sz w:val="20"/>
                <w:szCs w:val="20"/>
              </w:rPr>
              <w:t>ariadenie vlády Slovenskej republiky č. 356/2006 Z. z. o ochrane zamestnancov pred rizikami súvisiacimi s expozíciou karcinogénnym a mutagénnym faktorom pri práci v znení neskorších predpisov</w:t>
            </w:r>
            <w:r w:rsidR="000B5715" w:rsidRPr="00AC4FCD">
              <w:rPr>
                <w:b/>
                <w:sz w:val="20"/>
                <w:szCs w:val="20"/>
              </w:rPr>
              <w:t>.</w:t>
            </w:r>
          </w:p>
          <w:p w:rsidR="00972437" w:rsidRPr="00AC4FCD" w:rsidRDefault="00972437" w:rsidP="00A956F6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080FF9" w:rsidRPr="00AC4FCD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C4FCD">
              <w:rPr>
                <w:b/>
                <w:bCs/>
                <w:sz w:val="20"/>
                <w:szCs w:val="20"/>
              </w:rPr>
              <w:t>Nariadenie vlády Slovenskej republiky č. 356/2006 Z. z. o ochrane zdravia zamestnancov pred rizikami súvisiacimi s expozíciou karcinogénnym a mutagénnym faktorom pri práci v znení neskorších predpisov</w:t>
            </w:r>
            <w:r w:rsidR="000B5715" w:rsidRPr="00AC4FCD">
              <w:rPr>
                <w:b/>
                <w:bCs/>
                <w:sz w:val="20"/>
                <w:szCs w:val="20"/>
              </w:rPr>
              <w:t>.</w:t>
            </w:r>
          </w:p>
          <w:p w:rsidR="00972437" w:rsidRPr="00AC4FCD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972437" w:rsidRPr="00AC4FCD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C4FCD">
              <w:rPr>
                <w:b/>
                <w:bCs/>
                <w:sz w:val="20"/>
                <w:szCs w:val="20"/>
              </w:rPr>
              <w:t>Zákon č. 575/2001 Z. z. o organizácii činnosti vlády a organizácii ústrednej štátnej správy a o zmene a doplnení niektorých zákonov v znení neskorších predpisov</w:t>
            </w:r>
            <w:r w:rsidR="000B5715" w:rsidRPr="00AC4FCD">
              <w:rPr>
                <w:b/>
                <w:bCs/>
                <w:sz w:val="20"/>
                <w:szCs w:val="20"/>
              </w:rPr>
              <w:t>.</w:t>
            </w:r>
          </w:p>
          <w:p w:rsidR="006F231D" w:rsidRPr="00AC4FCD" w:rsidRDefault="006F231D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6F231D" w:rsidRPr="00AC4FCD" w:rsidRDefault="006F231D" w:rsidP="00F73C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95E" w:rsidRPr="00E85CA6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E85CA6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80FF9" w:rsidRPr="00E85CA6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E85CA6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8</w:t>
            </w:r>
          </w:p>
        </w:tc>
      </w:tr>
      <w:tr w:rsidR="0017495E" w:rsidRPr="00E85CA6" w:rsidTr="00AC4F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E85CA6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Článok</w:t>
            </w:r>
          </w:p>
          <w:p w:rsidR="00080FF9" w:rsidRPr="00E85CA6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(Č, O, V, P)</w:t>
            </w: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Text</w:t>
            </w: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E85CA6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510A" w:rsidRPr="00E85CA6" w:rsidRDefault="00080FF9" w:rsidP="00AC4FC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Spôsob transpo</w:t>
            </w:r>
            <w:r w:rsidR="0069510A" w:rsidRPr="00E85CA6">
              <w:rPr>
                <w:sz w:val="20"/>
                <w:szCs w:val="20"/>
              </w:rPr>
              <w:t>-</w:t>
            </w:r>
          </w:p>
          <w:p w:rsidR="00080FF9" w:rsidRPr="00E85CA6" w:rsidRDefault="00080FF9" w:rsidP="00AC4FC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zície</w:t>
            </w:r>
          </w:p>
          <w:p w:rsidR="00080FF9" w:rsidRPr="00E85CA6" w:rsidRDefault="00080FF9" w:rsidP="00AC4FC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Číslo </w:t>
            </w: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Článok</w:t>
            </w: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(Č, §, O, V, P)</w:t>
            </w: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Text</w:t>
            </w: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E85CA6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F9" w:rsidRPr="00E85CA6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Zhoda</w:t>
            </w:r>
          </w:p>
          <w:p w:rsidR="00080FF9" w:rsidRPr="00E85CA6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80FF9" w:rsidRPr="00E85CA6" w:rsidRDefault="00080FF9" w:rsidP="00FC24E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Poznámky</w:t>
            </w: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E85CA6" w:rsidRDefault="00080FF9" w:rsidP="00FC24E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E85CA6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Č:1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O:1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lastRenderedPageBreak/>
              <w:t>Smernica 2004/37/ES sa mení takto:</w:t>
            </w:r>
          </w:p>
          <w:p w:rsidR="002B265F" w:rsidRPr="00E85CA6" w:rsidRDefault="002B265F" w:rsidP="002B265F">
            <w:pPr>
              <w:spacing w:before="0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V</w:t>
            </w:r>
            <w:r w:rsidR="00ED5A0D" w:rsidRPr="00E85CA6">
              <w:rPr>
                <w:sz w:val="20"/>
                <w:szCs w:val="20"/>
              </w:rPr>
              <w:t> článku 18a sa dopĺňajú tieto pododseky:</w:t>
            </w:r>
          </w:p>
          <w:p w:rsidR="00ED5A0D" w:rsidRPr="00E85CA6" w:rsidRDefault="002B265F" w:rsidP="00ED5A0D">
            <w:pPr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„</w:t>
            </w:r>
            <w:r w:rsidR="00ED5A0D" w:rsidRPr="00E85CA6">
              <w:rPr>
                <w:sz w:val="20"/>
                <w:szCs w:val="20"/>
              </w:rPr>
              <w:t xml:space="preserve"> </w:t>
            </w:r>
            <w:r w:rsidR="000B70D6" w:rsidRPr="00E85CA6">
              <w:rPr>
                <w:sz w:val="20"/>
                <w:szCs w:val="20"/>
              </w:rPr>
              <w:t xml:space="preserve">Komisia najneskôr do 11. júla 2022  posúdi možnosť zmeniť túto smernicu tak, že sa do nej doplnia </w:t>
            </w:r>
            <w:r w:rsidR="000B70D6" w:rsidRPr="00E85CA6">
              <w:rPr>
                <w:sz w:val="20"/>
                <w:szCs w:val="20"/>
              </w:rPr>
              <w:lastRenderedPageBreak/>
              <w:t>ustanovenia o kombinácii limitnej hodnoty expozície pri práci</w:t>
            </w:r>
            <w:r w:rsidR="008D2A7B" w:rsidRPr="00E85CA6">
              <w:rPr>
                <w:sz w:val="20"/>
                <w:szCs w:val="20"/>
              </w:rPr>
              <w:t xml:space="preserve"> </w:t>
            </w:r>
            <w:r w:rsidR="000B70D6" w:rsidRPr="00E85CA6">
              <w:rPr>
                <w:sz w:val="20"/>
                <w:szCs w:val="20"/>
              </w:rPr>
              <w:t>vzdušnou cestou a biologickej limitnej hodnoty pre kadmium a jeho anorganické zlúčeniny.</w:t>
            </w:r>
          </w:p>
          <w:p w:rsidR="000B70D6" w:rsidRPr="00E85CA6" w:rsidRDefault="000B70D6" w:rsidP="00ED5A0D">
            <w:pPr>
              <w:spacing w:before="0"/>
              <w:rPr>
                <w:sz w:val="20"/>
                <w:szCs w:val="20"/>
              </w:rPr>
            </w:pPr>
          </w:p>
          <w:p w:rsidR="000B70D6" w:rsidRPr="00E85CA6" w:rsidRDefault="000B70D6" w:rsidP="00ED5A0D">
            <w:pPr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Komisia po zohľadnení najnovšieho vývoja vedeckých poznatkov a po uskutočnení príslušných konzultácií s relevantnými účastníkmi, najmä s lekármi a so zdravotníckymi pracovníkmi, posúdi najneskôr do 30. Júna 2020 možnosť zmeniť túto smernicu s cieľom zahrnúť nebezpečné lieky vrátane cytotoxických liekov alebo navrhnúť primeranejší nástroj na zabezpečenie bezpečnosti pri práci pre pracovníkov exponovaných takýmto liekom. Na uvedenom základe Komisia v prípade potreby a po konzultácii so sociálnymi partnermi, predloží legislatívny návrh.“</w:t>
            </w:r>
          </w:p>
          <w:p w:rsidR="002B265F" w:rsidRPr="00E85CA6" w:rsidRDefault="002B265F" w:rsidP="000B70D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F73CAE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n.a.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E85CA6" w:rsidRDefault="002B265F" w:rsidP="00F73CAE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2B265F" w:rsidRPr="00E85CA6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E85CA6" w:rsidTr="005E72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602"/>
        </w:trPr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O:2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2A7B" w:rsidRPr="00E85CA6" w:rsidRDefault="008D2A7B" w:rsidP="008D2A7B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Príloha III sa mení v súlade s prílohou k tejto smernici.</w:t>
            </w:r>
          </w:p>
          <w:p w:rsidR="00F73CAE" w:rsidRPr="00E85CA6" w:rsidRDefault="00F73CAE" w:rsidP="00C61D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Návrh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 NV SR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93372" w:rsidRPr="00E85CA6" w:rsidRDefault="00593372" w:rsidP="0059337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F77930" w:rsidRPr="00AC4FCD" w:rsidRDefault="00F77930" w:rsidP="00B86AEA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  <w:r w:rsidRPr="00AC4FCD">
              <w:t>§ 13b</w:t>
            </w: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  <w:r w:rsidRPr="00AC4FCD">
              <w:t>O: 1</w:t>
            </w: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</w:p>
          <w:p w:rsidR="00F77930" w:rsidRPr="00AC4FCD" w:rsidRDefault="00F77930" w:rsidP="00F77930">
            <w:pPr>
              <w:pStyle w:val="Normlny0"/>
              <w:jc w:val="center"/>
            </w:pPr>
            <w:r w:rsidRPr="00AC4FCD">
              <w:t>O: 2</w:t>
            </w:r>
          </w:p>
          <w:p w:rsidR="00F77930" w:rsidRPr="00AC4FCD" w:rsidRDefault="00F77930" w:rsidP="00B86AEA">
            <w:pPr>
              <w:pStyle w:val="Normlny0"/>
              <w:jc w:val="center"/>
            </w:pPr>
          </w:p>
          <w:p w:rsidR="00A537D9" w:rsidRPr="00AC4FCD" w:rsidRDefault="00A537D9" w:rsidP="00A537D9">
            <w:pPr>
              <w:pStyle w:val="Normlny0"/>
              <w:jc w:val="center"/>
            </w:pPr>
          </w:p>
          <w:p w:rsidR="00A537D9" w:rsidRPr="00AC4FCD" w:rsidRDefault="00A537D9" w:rsidP="00A537D9">
            <w:pPr>
              <w:pStyle w:val="Normlny0"/>
              <w:jc w:val="center"/>
            </w:pPr>
          </w:p>
          <w:p w:rsidR="00A537D9" w:rsidRPr="00AC4FCD" w:rsidRDefault="00A537D9" w:rsidP="00A537D9">
            <w:pPr>
              <w:pStyle w:val="Normlny0"/>
              <w:jc w:val="center"/>
            </w:pPr>
          </w:p>
          <w:p w:rsidR="00A537D9" w:rsidRPr="00AC4FCD" w:rsidRDefault="00A537D9" w:rsidP="00A537D9">
            <w:pPr>
              <w:pStyle w:val="Normlny0"/>
              <w:jc w:val="center"/>
            </w:pPr>
          </w:p>
          <w:p w:rsidR="00A537D9" w:rsidRPr="00AC4FCD" w:rsidRDefault="00A537D9" w:rsidP="00A537D9">
            <w:pPr>
              <w:pStyle w:val="Normlny0"/>
              <w:jc w:val="center"/>
            </w:pPr>
            <w:r w:rsidRPr="00AC4FCD">
              <w:t xml:space="preserve">O: </w:t>
            </w:r>
            <w:r w:rsidR="00AC4FCD">
              <w:t>5</w:t>
            </w:r>
          </w:p>
          <w:p w:rsidR="00F77930" w:rsidRPr="00AC4FCD" w:rsidRDefault="00F77930" w:rsidP="00B86AEA">
            <w:pPr>
              <w:pStyle w:val="Normlny0"/>
              <w:jc w:val="center"/>
            </w:pPr>
          </w:p>
          <w:p w:rsidR="00F77930" w:rsidRPr="00AC4FCD" w:rsidRDefault="00F77930" w:rsidP="00B86AEA">
            <w:pPr>
              <w:pStyle w:val="Normlny0"/>
              <w:jc w:val="center"/>
            </w:pPr>
          </w:p>
          <w:p w:rsidR="00F77930" w:rsidRPr="00AC4FCD" w:rsidRDefault="00F77930" w:rsidP="00B86AEA">
            <w:pPr>
              <w:pStyle w:val="Normlny0"/>
              <w:jc w:val="center"/>
            </w:pPr>
          </w:p>
          <w:p w:rsidR="00F77930" w:rsidRPr="00AC4FCD" w:rsidRDefault="00F77930" w:rsidP="00A537D9">
            <w:pPr>
              <w:pStyle w:val="Normlny0"/>
            </w:pPr>
          </w:p>
          <w:p w:rsidR="00F77930" w:rsidRPr="00AC4FCD" w:rsidRDefault="00F77930" w:rsidP="00B86AEA">
            <w:pPr>
              <w:pStyle w:val="Normlny0"/>
              <w:jc w:val="center"/>
            </w:pPr>
          </w:p>
          <w:p w:rsidR="00B86AEA" w:rsidRPr="00AC4FCD" w:rsidRDefault="00B86AEA" w:rsidP="00B86AEA">
            <w:pPr>
              <w:pStyle w:val="Normlny0"/>
              <w:jc w:val="center"/>
            </w:pPr>
            <w:r w:rsidRPr="00AC4FCD">
              <w:t>Č. I</w:t>
            </w:r>
          </w:p>
          <w:p w:rsidR="002B265F" w:rsidRPr="00AC4FCD" w:rsidRDefault="00F73CAE" w:rsidP="002B265F">
            <w:pPr>
              <w:pStyle w:val="Normlny0"/>
              <w:jc w:val="center"/>
            </w:pPr>
            <w:r w:rsidRPr="00AC4FCD">
              <w:t xml:space="preserve">Príloha č. </w:t>
            </w:r>
            <w:r w:rsidR="005E72E0" w:rsidRPr="00AC4FCD">
              <w:t>2</w:t>
            </w: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593372" w:rsidRPr="00AC4FCD" w:rsidRDefault="00593372" w:rsidP="00593372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F77930" w:rsidRPr="00AC4FCD" w:rsidRDefault="00F77930" w:rsidP="00F73CAE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F77930" w:rsidRPr="00AC4FCD" w:rsidRDefault="00F77930" w:rsidP="00F77930">
            <w:pPr>
              <w:suppressAutoHyphens/>
              <w:spacing w:before="0"/>
              <w:jc w:val="left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Prechodné ustanovenia k úpravám účinným od 1. októbra 2020</w:t>
            </w:r>
          </w:p>
          <w:p w:rsidR="00F77930" w:rsidRPr="00AC4FCD" w:rsidRDefault="00F77930" w:rsidP="00F77930">
            <w:pPr>
              <w:suppressAutoHyphens/>
              <w:spacing w:before="0"/>
              <w:jc w:val="left"/>
              <w:rPr>
                <w:b/>
                <w:sz w:val="20"/>
                <w:szCs w:val="20"/>
              </w:rPr>
            </w:pPr>
          </w:p>
          <w:p w:rsidR="00F77930" w:rsidRPr="00AC4FCD" w:rsidRDefault="00F77930" w:rsidP="00A537D9">
            <w:pPr>
              <w:numPr>
                <w:ilvl w:val="0"/>
                <w:numId w:val="45"/>
              </w:numPr>
              <w:tabs>
                <w:tab w:val="left" w:pos="382"/>
              </w:tabs>
              <w:suppressAutoHyphens/>
              <w:autoSpaceDE w:val="0"/>
              <w:autoSpaceDN w:val="0"/>
              <w:spacing w:before="0"/>
              <w:ind w:left="98" w:hanging="98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V období od 1. októbra 2020 do 11. júla 2026 platia technické smerné hodnoty plynov, pár a aerosólov s karcinogénnymi a mutagénnymi účinkami v pracovnom ovzduší uvedené v prílohe č. 2 tabuľke č. 3 prvom bode v znení účinnom od 1. októbra 2020.</w:t>
            </w:r>
          </w:p>
          <w:p w:rsidR="00F77930" w:rsidRPr="00AC4FCD" w:rsidRDefault="00F77930" w:rsidP="00F77930">
            <w:pPr>
              <w:suppressAutoHyphens/>
              <w:spacing w:before="0"/>
              <w:ind w:left="360"/>
              <w:rPr>
                <w:sz w:val="20"/>
                <w:szCs w:val="20"/>
              </w:rPr>
            </w:pPr>
          </w:p>
          <w:p w:rsidR="00F77930" w:rsidRPr="00AC4FCD" w:rsidRDefault="00F77930" w:rsidP="00F77930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(2)</w:t>
            </w:r>
            <w:r w:rsidRPr="00AC4FCD">
              <w:t xml:space="preserve"> </w:t>
            </w:r>
            <w:r w:rsidRPr="00AC4FCD">
              <w:rPr>
                <w:sz w:val="20"/>
                <w:szCs w:val="20"/>
              </w:rPr>
              <w:t>V období od 1. októbra 2020 do 11. júla 2027 platia technické smerné hodnoty plynov, pár a aerosólov s karcinogénnymi a mutagénnymi účinkami v pracovnom ovzduší uvedené v prílohe č. 2 tabuľke č. 3 druhom bode v znení účinnom od 1. októbra 2020.</w:t>
            </w:r>
          </w:p>
          <w:p w:rsidR="00A537D9" w:rsidRPr="00AC4FCD" w:rsidRDefault="00A537D9" w:rsidP="00F77930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F77930" w:rsidRPr="00AC4FCD" w:rsidRDefault="00A537D9" w:rsidP="00F73CAE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(</w:t>
            </w:r>
            <w:r w:rsidR="00AC4FCD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AC4FCD">
              <w:rPr>
                <w:sz w:val="20"/>
                <w:szCs w:val="20"/>
              </w:rPr>
              <w:t>) V období od 11. júla 2023  platia technické smerné hodnoty plynov, pár a aerosólov s karcinogénnymi a mutagénnymi účinkami v pracovnom ovzduší uvedené v prílohe č. 2 tabuľke č. 3 štvrtom bode v znení účinnom od 1. októbra 2020</w:t>
            </w:r>
          </w:p>
          <w:p w:rsidR="00F77930" w:rsidRPr="00AC4FCD" w:rsidRDefault="00F77930" w:rsidP="00F73CAE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2B265F" w:rsidRPr="00AC4FCD" w:rsidRDefault="00AE6171" w:rsidP="00F73CAE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Príloha č. 2 vrátane nadpisu znie:</w:t>
            </w:r>
          </w:p>
        </w:tc>
        <w:tc>
          <w:tcPr>
            <w:tcW w:w="992" w:type="dxa"/>
          </w:tcPr>
          <w:p w:rsidR="002B265F" w:rsidRPr="00AC4FC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C4FCD" w:rsidRDefault="00AC4FC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A537D9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F77930" w:rsidRPr="00AC4FCD" w:rsidRDefault="00F77930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A537D9" w:rsidRPr="00AC4FCD" w:rsidRDefault="00A537D9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A537D9" w:rsidRPr="00AC4FCD" w:rsidRDefault="00A537D9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A537D9" w:rsidRPr="00AC4FCD" w:rsidRDefault="00A537D9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2B265F" w:rsidRPr="00AC4FCD" w:rsidRDefault="00AE6171" w:rsidP="00F7793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AC4FC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Viď pripojen</w:t>
            </w:r>
            <w:r w:rsidR="00F77930" w:rsidRPr="00AC4FC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é</w:t>
            </w:r>
            <w:r w:rsidRPr="00AC4FC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tabuľk</w:t>
            </w:r>
            <w:r w:rsidR="00F77930" w:rsidRPr="00AC4FC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y č. 1 a 3</w:t>
            </w:r>
            <w:r w:rsidRPr="00AC4FCD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.</w:t>
            </w:r>
          </w:p>
        </w:tc>
      </w:tr>
      <w:tr w:rsidR="0017495E" w:rsidRPr="00E85CA6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Č:2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O:1</w:t>
            </w:r>
          </w:p>
        </w:tc>
        <w:tc>
          <w:tcPr>
            <w:tcW w:w="4536" w:type="dxa"/>
          </w:tcPr>
          <w:p w:rsidR="002B265F" w:rsidRPr="00E85CA6" w:rsidRDefault="002B265F" w:rsidP="005E72E0">
            <w:pPr>
              <w:spacing w:before="0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Členské štáty uvedú do účinnosti zákony, iné právne predpisy a správne opatrenia potrebné na dosiahnutie súladu s touto smernicou </w:t>
            </w:r>
            <w:r w:rsidR="008D2A7B" w:rsidRPr="00E85CA6">
              <w:rPr>
                <w:sz w:val="20"/>
                <w:szCs w:val="20"/>
              </w:rPr>
              <w:t xml:space="preserve">do 11. </w:t>
            </w:r>
            <w:r w:rsidR="000B70D6" w:rsidRPr="00E85CA6">
              <w:rPr>
                <w:sz w:val="20"/>
                <w:szCs w:val="20"/>
              </w:rPr>
              <w:t>j</w:t>
            </w:r>
            <w:r w:rsidR="008D2A7B" w:rsidRPr="00E85CA6">
              <w:rPr>
                <w:sz w:val="20"/>
                <w:szCs w:val="20"/>
              </w:rPr>
              <w:t>úla 2021</w:t>
            </w:r>
            <w:r w:rsidR="00C61DBD" w:rsidRPr="00E85CA6">
              <w:rPr>
                <w:sz w:val="20"/>
                <w:szCs w:val="20"/>
              </w:rPr>
              <w:t>.</w:t>
            </w:r>
            <w:r w:rsidRPr="00E85CA6">
              <w:rPr>
                <w:sz w:val="20"/>
                <w:szCs w:val="20"/>
              </w:rPr>
              <w:t xml:space="preserve"> </w:t>
            </w:r>
            <w:r w:rsidR="00C61DBD" w:rsidRPr="00E85CA6">
              <w:rPr>
                <w:sz w:val="20"/>
                <w:szCs w:val="20"/>
              </w:rPr>
              <w:t xml:space="preserve">Bezodkladne </w:t>
            </w:r>
            <w:r w:rsidR="008D2A7B" w:rsidRPr="00E85CA6">
              <w:rPr>
                <w:sz w:val="20"/>
                <w:szCs w:val="20"/>
              </w:rPr>
              <w:t xml:space="preserve">o tom informujú </w:t>
            </w:r>
            <w:r w:rsidRPr="00E85CA6">
              <w:rPr>
                <w:sz w:val="20"/>
                <w:szCs w:val="20"/>
              </w:rPr>
              <w:t>Komisiu.</w:t>
            </w:r>
          </w:p>
          <w:p w:rsidR="005E72E0" w:rsidRPr="00E85CA6" w:rsidRDefault="005E72E0" w:rsidP="002B265F">
            <w:pPr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Členské štáty uvedú priamo v prijatých </w:t>
            </w:r>
            <w:r w:rsidR="00C61DBD" w:rsidRPr="00E85CA6">
              <w:rPr>
                <w:sz w:val="20"/>
                <w:szCs w:val="20"/>
              </w:rPr>
              <w:t>ustanoveniach</w:t>
            </w:r>
            <w:r w:rsidRPr="00E85CA6">
              <w:rPr>
                <w:sz w:val="20"/>
                <w:szCs w:val="20"/>
              </w:rPr>
              <w:t xml:space="preserve"> alebo pri ich úradnom uverejnení odkaz na túto smernicu. Podrobnosti o odkaze upravia členské štáty.</w:t>
            </w:r>
          </w:p>
          <w:p w:rsidR="002B265F" w:rsidRPr="00E85CA6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C61DBD" w:rsidRPr="00E85CA6" w:rsidRDefault="00C61DB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E72E0" w:rsidRPr="00E85CA6" w:rsidRDefault="005E72E0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 xml:space="preserve">Návrh </w:t>
            </w:r>
          </w:p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 xml:space="preserve">NV SR </w:t>
            </w: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C61DBD" w:rsidRPr="00E85CA6" w:rsidRDefault="00C61DBD" w:rsidP="002B265F">
            <w:pPr>
              <w:pStyle w:val="Normlny0"/>
              <w:jc w:val="center"/>
            </w:pPr>
          </w:p>
          <w:p w:rsidR="005E72E0" w:rsidRPr="00E85CA6" w:rsidRDefault="005E72E0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>Zákon č. 575/2001 Z. z.</w:t>
            </w: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NV SR č. 356/2006 Z. z.</w:t>
            </w:r>
          </w:p>
          <w:p w:rsidR="002B265F" w:rsidRPr="00E85CA6" w:rsidRDefault="002B265F" w:rsidP="002B265F">
            <w:pPr>
              <w:pStyle w:val="Normlny0"/>
              <w:jc w:val="center"/>
            </w:pPr>
          </w:p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 xml:space="preserve">Návrh </w:t>
            </w:r>
          </w:p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 xml:space="preserve">NV SR </w:t>
            </w:r>
          </w:p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>Č. II</w:t>
            </w: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C61DBD" w:rsidRPr="00AC4FCD" w:rsidRDefault="00C61DBD" w:rsidP="002B265F">
            <w:pPr>
              <w:pStyle w:val="Normlny0"/>
              <w:jc w:val="center"/>
            </w:pPr>
          </w:p>
          <w:p w:rsidR="005E72E0" w:rsidRPr="00AC4FCD" w:rsidRDefault="005E72E0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>§ 35</w:t>
            </w:r>
          </w:p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>O:7</w:t>
            </w: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>§ 14</w:t>
            </w: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</w:p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>Príloha č. 5</w:t>
            </w:r>
          </w:p>
          <w:p w:rsidR="002B265F" w:rsidRPr="00AC4FCD" w:rsidRDefault="002B265F" w:rsidP="002B265F">
            <w:pPr>
              <w:pStyle w:val="Normlny0"/>
              <w:jc w:val="center"/>
            </w:pPr>
            <w:r w:rsidRPr="00AC4FCD">
              <w:t xml:space="preserve">bod </w:t>
            </w:r>
            <w:r w:rsidR="00AE6171" w:rsidRPr="00AC4FCD">
              <w:t>5</w:t>
            </w:r>
          </w:p>
          <w:p w:rsidR="002B265F" w:rsidRPr="00AC4FCD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AC4FCD" w:rsidRDefault="002B265F" w:rsidP="002B265F">
            <w:pPr>
              <w:jc w:val="center"/>
              <w:outlineLvl w:val="0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Účinnosť</w:t>
            </w: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 xml:space="preserve">Toto nariadenie vlády nadobúda účinnosť </w:t>
            </w:r>
            <w:r w:rsidR="00AE6171" w:rsidRPr="00AC4FCD">
              <w:rPr>
                <w:sz w:val="20"/>
                <w:szCs w:val="20"/>
              </w:rPr>
              <w:t>1. októbra</w:t>
            </w:r>
            <w:r w:rsidRPr="00AC4FCD">
              <w:rPr>
                <w:sz w:val="20"/>
                <w:szCs w:val="20"/>
              </w:rPr>
              <w:t xml:space="preserve"> 20</w:t>
            </w:r>
            <w:r w:rsidR="00C61DBD" w:rsidRPr="00AC4FCD">
              <w:rPr>
                <w:sz w:val="20"/>
                <w:szCs w:val="20"/>
              </w:rPr>
              <w:t>20</w:t>
            </w:r>
            <w:r w:rsidRPr="00AC4FCD">
              <w:rPr>
                <w:sz w:val="20"/>
                <w:szCs w:val="20"/>
              </w:rPr>
              <w:t>.</w:t>
            </w: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C61DBD" w:rsidRPr="00AC4FCD" w:rsidRDefault="00C61DBD" w:rsidP="002B265F">
            <w:pPr>
              <w:pStyle w:val="Zkladntext"/>
              <w:rPr>
                <w:sz w:val="20"/>
                <w:szCs w:val="20"/>
              </w:rPr>
            </w:pPr>
          </w:p>
          <w:p w:rsidR="005E72E0" w:rsidRPr="00AC4FCD" w:rsidRDefault="005E72E0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AC4FCD" w:rsidRDefault="002B265F" w:rsidP="002B265F">
            <w:pPr>
              <w:pStyle w:val="Zkladntext"/>
              <w:jc w:val="left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 xml:space="preserve">Týmto nariadením vlády sa preberajú právne záväzné akty Európske únie uvedené v prílohe č. 5. </w:t>
            </w:r>
          </w:p>
          <w:p w:rsidR="002B265F" w:rsidRPr="00AC4FCD" w:rsidRDefault="002B265F" w:rsidP="002B265F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„</w:t>
            </w:r>
            <w:r w:rsidR="00AE6171" w:rsidRPr="00AC4FCD">
              <w:rPr>
                <w:sz w:val="20"/>
                <w:szCs w:val="20"/>
              </w:rPr>
              <w:t>5</w:t>
            </w:r>
            <w:r w:rsidRPr="00AC4FCD">
              <w:rPr>
                <w:sz w:val="20"/>
                <w:szCs w:val="20"/>
              </w:rPr>
              <w:t xml:space="preserve">. Smernica Európskeho parlamentu a Rady (EÚ) </w:t>
            </w:r>
            <w:r w:rsidRPr="00AC4FCD">
              <w:rPr>
                <w:caps/>
                <w:sz w:val="20"/>
                <w:szCs w:val="20"/>
              </w:rPr>
              <w:t xml:space="preserve"> 201</w:t>
            </w:r>
            <w:r w:rsidR="00C61DBD" w:rsidRPr="00AC4FCD">
              <w:rPr>
                <w:caps/>
                <w:sz w:val="20"/>
                <w:szCs w:val="20"/>
              </w:rPr>
              <w:t>9</w:t>
            </w:r>
            <w:r w:rsidRPr="00AC4FCD">
              <w:rPr>
                <w:caps/>
                <w:sz w:val="20"/>
                <w:szCs w:val="20"/>
              </w:rPr>
              <w:t>/</w:t>
            </w:r>
            <w:r w:rsidR="005E72E0" w:rsidRPr="00AC4FCD">
              <w:rPr>
                <w:caps/>
                <w:sz w:val="20"/>
                <w:szCs w:val="20"/>
              </w:rPr>
              <w:t>983</w:t>
            </w:r>
            <w:r w:rsidRPr="00AC4FCD">
              <w:rPr>
                <w:caps/>
                <w:sz w:val="20"/>
                <w:szCs w:val="20"/>
              </w:rPr>
              <w:t xml:space="preserve"> </w:t>
            </w:r>
            <w:r w:rsidRPr="00AC4FCD">
              <w:rPr>
                <w:sz w:val="20"/>
                <w:szCs w:val="20"/>
              </w:rPr>
              <w:t xml:space="preserve">z </w:t>
            </w:r>
            <w:r w:rsidR="005E72E0" w:rsidRPr="00AC4FCD">
              <w:rPr>
                <w:sz w:val="20"/>
                <w:szCs w:val="20"/>
              </w:rPr>
              <w:t>5</w:t>
            </w:r>
            <w:r w:rsidRPr="00AC4FCD">
              <w:rPr>
                <w:sz w:val="20"/>
                <w:szCs w:val="20"/>
              </w:rPr>
              <w:t xml:space="preserve">. </w:t>
            </w:r>
            <w:r w:rsidR="00C61DBD" w:rsidRPr="00AC4FCD">
              <w:rPr>
                <w:sz w:val="20"/>
                <w:szCs w:val="20"/>
              </w:rPr>
              <w:t>j</w:t>
            </w:r>
            <w:r w:rsidR="005E72E0" w:rsidRPr="00AC4FCD">
              <w:rPr>
                <w:sz w:val="20"/>
                <w:szCs w:val="20"/>
              </w:rPr>
              <w:t>úna</w:t>
            </w:r>
            <w:r w:rsidRPr="00AC4FCD">
              <w:rPr>
                <w:sz w:val="20"/>
                <w:szCs w:val="20"/>
              </w:rPr>
              <w:t xml:space="preserve"> 201</w:t>
            </w:r>
            <w:r w:rsidR="00C61DBD" w:rsidRPr="00AC4FCD">
              <w:rPr>
                <w:sz w:val="20"/>
                <w:szCs w:val="20"/>
              </w:rPr>
              <w:t>9</w:t>
            </w:r>
            <w:r w:rsidRPr="00AC4FCD">
              <w:rPr>
                <w:sz w:val="20"/>
                <w:szCs w:val="20"/>
              </w:rPr>
              <w:t xml:space="preserve">, ktorou sa mení smernica 2004/34/ES o ochrane pracovníkov pred rizikami z vystavenia účinkom karcinogénov alebo mutagénov pri práci (Ú. v. EÚ L </w:t>
            </w:r>
            <w:r w:rsidR="00EA5D2A" w:rsidRPr="00AC4FCD">
              <w:rPr>
                <w:sz w:val="20"/>
                <w:szCs w:val="20"/>
              </w:rPr>
              <w:t>164</w:t>
            </w:r>
            <w:r w:rsidRPr="00AC4FCD">
              <w:rPr>
                <w:sz w:val="20"/>
                <w:szCs w:val="20"/>
              </w:rPr>
              <w:t xml:space="preserve">, </w:t>
            </w:r>
            <w:r w:rsidR="005E72E0" w:rsidRPr="00AC4FCD">
              <w:rPr>
                <w:sz w:val="20"/>
                <w:szCs w:val="20"/>
              </w:rPr>
              <w:t>20</w:t>
            </w:r>
            <w:r w:rsidRPr="00AC4FCD">
              <w:rPr>
                <w:sz w:val="20"/>
                <w:szCs w:val="20"/>
              </w:rPr>
              <w:t xml:space="preserve">. </w:t>
            </w:r>
            <w:r w:rsidR="005E72E0" w:rsidRPr="00AC4FCD">
              <w:rPr>
                <w:sz w:val="20"/>
                <w:szCs w:val="20"/>
              </w:rPr>
              <w:t>6</w:t>
            </w:r>
            <w:r w:rsidRPr="00AC4FCD">
              <w:rPr>
                <w:sz w:val="20"/>
                <w:szCs w:val="20"/>
              </w:rPr>
              <w:t>. 201</w:t>
            </w:r>
            <w:r w:rsidR="00C61DBD" w:rsidRPr="00AC4FCD">
              <w:rPr>
                <w:sz w:val="20"/>
                <w:szCs w:val="20"/>
              </w:rPr>
              <w:t>9</w:t>
            </w:r>
            <w:r w:rsidRPr="00AC4FCD">
              <w:rPr>
                <w:sz w:val="20"/>
                <w:szCs w:val="20"/>
              </w:rPr>
              <w:t>).“.</w:t>
            </w:r>
          </w:p>
          <w:p w:rsidR="002B265F" w:rsidRPr="00AC4FCD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AC4FC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Ú</w:t>
            </w: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537D9" w:rsidRPr="00AC4FCD" w:rsidRDefault="00A537D9" w:rsidP="002B265F">
            <w:pPr>
              <w:autoSpaceDE w:val="0"/>
              <w:autoSpaceDN w:val="0"/>
              <w:spacing w:before="0"/>
              <w:jc w:val="center"/>
            </w:pPr>
            <w:r w:rsidRPr="00AC4FCD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E85CA6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E85CA6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O:2 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E85CA6" w:rsidRDefault="002B265F" w:rsidP="00C61DBD">
            <w:pPr>
              <w:pStyle w:val="Zkladntext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 xml:space="preserve">Členské štáty oznámia Komisii znenie </w:t>
            </w:r>
            <w:r w:rsidR="00C61DBD" w:rsidRPr="00E85CA6">
              <w:rPr>
                <w:sz w:val="20"/>
                <w:szCs w:val="20"/>
              </w:rPr>
              <w:t>ustanovení</w:t>
            </w:r>
            <w:r w:rsidRPr="00E85CA6">
              <w:rPr>
                <w:sz w:val="20"/>
                <w:szCs w:val="20"/>
              </w:rPr>
              <w:t xml:space="preserve"> vnútroštátnych právnych predpisov, ktoré prijmú v oblasti pôsobnosti tejto smernice.</w:t>
            </w: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>Zákon č. 575/2001 Z. z.</w:t>
            </w:r>
          </w:p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>§ 35</w:t>
            </w:r>
          </w:p>
          <w:p w:rsidR="002B265F" w:rsidRPr="00E85CA6" w:rsidRDefault="002B265F" w:rsidP="002B265F">
            <w:pPr>
              <w:pStyle w:val="Normlny0"/>
              <w:jc w:val="center"/>
            </w:pPr>
            <w:r w:rsidRPr="00E85CA6">
              <w:t>O:7</w:t>
            </w:r>
          </w:p>
        </w:tc>
        <w:tc>
          <w:tcPr>
            <w:tcW w:w="5103" w:type="dxa"/>
          </w:tcPr>
          <w:p w:rsidR="002B265F" w:rsidRPr="00AC4FCD" w:rsidRDefault="002B265F" w:rsidP="002B265F">
            <w:pPr>
              <w:autoSpaceDE w:val="0"/>
              <w:autoSpaceDN w:val="0"/>
              <w:spacing w:before="0"/>
              <w:rPr>
                <w:rFonts w:ascii="inherit" w:hAnsi="inherit"/>
                <w:sz w:val="20"/>
                <w:szCs w:val="20"/>
              </w:rPr>
            </w:pPr>
            <w:r w:rsidRPr="00AC4FCD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992" w:type="dxa"/>
          </w:tcPr>
          <w:p w:rsidR="002B265F" w:rsidRPr="00AC4FCD" w:rsidRDefault="00A537D9" w:rsidP="002B265F">
            <w:pPr>
              <w:autoSpaceDE w:val="0"/>
              <w:autoSpaceDN w:val="0"/>
              <w:spacing w:before="0"/>
              <w:jc w:val="center"/>
            </w:pPr>
            <w:r w:rsidRPr="00AC4FCD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E85CA6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E85CA6" w:rsidTr="008122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723"/>
        </w:trPr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Č:3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E85CA6" w:rsidRDefault="002B265F" w:rsidP="002B265F">
            <w:pPr>
              <w:pStyle w:val="WW-Zkladntext2"/>
              <w:jc w:val="both"/>
            </w:pPr>
            <w:r w:rsidRPr="00E85CA6">
              <w:t>Táto smernica nadobúda účinnosť dvadsiatym dňom po jej uverejnení v </w:t>
            </w:r>
            <w:r w:rsidRPr="00E85CA6">
              <w:rPr>
                <w:iCs/>
              </w:rPr>
              <w:t>Úradnom vestníku Európskej únie</w:t>
            </w:r>
            <w:r w:rsidRPr="00E85CA6">
              <w:t>.</w:t>
            </w:r>
          </w:p>
          <w:p w:rsidR="002B265F" w:rsidRPr="00E85CA6" w:rsidRDefault="002B265F" w:rsidP="002B265F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E85CA6" w:rsidRDefault="002B265F" w:rsidP="002B265F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E85CA6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E85CA6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Č:4</w:t>
            </w:r>
          </w:p>
          <w:p w:rsidR="002B265F" w:rsidRPr="00E85CA6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E85CA6" w:rsidRDefault="002B265F" w:rsidP="002B265F">
            <w:pPr>
              <w:pStyle w:val="WW-Zkladntext2"/>
              <w:jc w:val="both"/>
            </w:pPr>
            <w:r w:rsidRPr="00E85CA6">
              <w:t>Táto smernica je určená členským štátom.</w:t>
            </w: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E85CA6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E85CA6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E85CA6" w:rsidRDefault="002B265F" w:rsidP="002B265F">
            <w:pPr>
              <w:pStyle w:val="WW-Zkladntext2"/>
            </w:pPr>
          </w:p>
        </w:tc>
        <w:tc>
          <w:tcPr>
            <w:tcW w:w="992" w:type="dxa"/>
          </w:tcPr>
          <w:p w:rsidR="002B265F" w:rsidRPr="00E85CA6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2B265F" w:rsidRPr="00E85CA6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4E26F1" w:rsidRPr="00E85CA6" w:rsidRDefault="004E26F1">
      <w:pPr>
        <w:rPr>
          <w:rFonts w:ascii="inherit" w:hAnsi="inherit"/>
        </w:rPr>
      </w:pPr>
    </w:p>
    <w:tbl>
      <w:tblPr>
        <w:tblW w:w="1584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08"/>
        <w:gridCol w:w="1983"/>
        <w:gridCol w:w="793"/>
        <w:gridCol w:w="849"/>
        <w:gridCol w:w="658"/>
        <w:gridCol w:w="742"/>
        <w:gridCol w:w="602"/>
        <w:gridCol w:w="757"/>
        <w:gridCol w:w="1163"/>
        <w:gridCol w:w="113"/>
        <w:gridCol w:w="379"/>
        <w:gridCol w:w="1985"/>
        <w:gridCol w:w="896"/>
        <w:gridCol w:w="805"/>
        <w:gridCol w:w="709"/>
        <w:gridCol w:w="850"/>
        <w:gridCol w:w="709"/>
        <w:gridCol w:w="709"/>
        <w:gridCol w:w="783"/>
        <w:gridCol w:w="255"/>
      </w:tblGrid>
      <w:tr w:rsidR="0017495E" w:rsidRPr="00E85CA6" w:rsidTr="004963C1">
        <w:trPr>
          <w:gridBefore w:val="1"/>
          <w:wBefore w:w="108" w:type="dxa"/>
          <w:trHeight w:val="456"/>
        </w:trPr>
        <w:tc>
          <w:tcPr>
            <w:tcW w:w="7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E85CA6" w:rsidRDefault="00F52227" w:rsidP="00F52227">
            <w:pPr>
              <w:spacing w:before="0"/>
              <w:jc w:val="center"/>
              <w:rPr>
                <w:rFonts w:ascii="inherit" w:hAnsi="inherit"/>
                <w:sz w:val="20"/>
                <w:szCs w:val="20"/>
              </w:rPr>
            </w:pPr>
            <w:r w:rsidRPr="00E85CA6">
              <w:rPr>
                <w:rFonts w:ascii="inherit" w:hAnsi="inherit"/>
                <w:sz w:val="20"/>
                <w:szCs w:val="20"/>
              </w:rPr>
              <w:t>Príloha III</w:t>
            </w:r>
          </w:p>
          <w:p w:rsidR="00FB7E9E" w:rsidRPr="00E85CA6" w:rsidRDefault="00F52227" w:rsidP="00F52227">
            <w:pPr>
              <w:pStyle w:val="Nzov"/>
              <w:rPr>
                <w:sz w:val="20"/>
                <w:szCs w:val="20"/>
                <w:lang w:val="sk-SK"/>
              </w:rPr>
            </w:pPr>
            <w:r w:rsidRPr="00E85CA6">
              <w:rPr>
                <w:sz w:val="20"/>
                <w:szCs w:val="20"/>
                <w:lang w:val="sk-SK"/>
              </w:rPr>
              <w:t>Limitné hodnoty</w:t>
            </w:r>
            <w:r w:rsidR="00CD6A45" w:rsidRPr="00E85CA6">
              <w:rPr>
                <w:sz w:val="20"/>
                <w:szCs w:val="20"/>
                <w:lang w:val="sk-SK"/>
              </w:rPr>
              <w:t xml:space="preserve"> </w:t>
            </w:r>
            <w:r w:rsidRPr="00E85CA6">
              <w:rPr>
                <w:sz w:val="20"/>
                <w:szCs w:val="20"/>
                <w:lang w:val="sk-SK"/>
              </w:rPr>
              <w:t>a iné priamo súvisiace ustanovenia (článok 16)</w:t>
            </w:r>
          </w:p>
          <w:p w:rsidR="005E72E0" w:rsidRPr="00E85CA6" w:rsidRDefault="00B86AEA" w:rsidP="00B86AEA">
            <w:pPr>
              <w:pStyle w:val="Podtitu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CA6">
              <w:rPr>
                <w:rFonts w:ascii="Times New Roman" w:hAnsi="Times New Roman"/>
                <w:sz w:val="20"/>
                <w:szCs w:val="20"/>
              </w:rPr>
              <w:t>V bode A prílohy III k smernici 2004/37/ES sa dopĺňajú tieto riadky: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E9E" w:rsidRPr="00AC4FCD" w:rsidRDefault="00FB7E9E" w:rsidP="00E874B1">
            <w:pPr>
              <w:pStyle w:val="Nzov"/>
              <w:rPr>
                <w:bCs w:val="0"/>
                <w:sz w:val="20"/>
                <w:szCs w:val="20"/>
              </w:rPr>
            </w:pPr>
            <w:r w:rsidRPr="00AC4FCD">
              <w:rPr>
                <w:bCs w:val="0"/>
                <w:sz w:val="20"/>
                <w:szCs w:val="20"/>
              </w:rPr>
              <w:t>Príloha č.</w:t>
            </w:r>
            <w:r w:rsidR="000C4F12" w:rsidRPr="00AC4FCD">
              <w:rPr>
                <w:bCs w:val="0"/>
                <w:sz w:val="20"/>
                <w:szCs w:val="20"/>
              </w:rPr>
              <w:t xml:space="preserve"> 2</w:t>
            </w:r>
          </w:p>
          <w:p w:rsidR="00FB7E9E" w:rsidRPr="00AC4FCD" w:rsidRDefault="00E874B1" w:rsidP="00E874B1">
            <w:pPr>
              <w:jc w:val="center"/>
              <w:rPr>
                <w:b/>
                <w:sz w:val="20"/>
                <w:szCs w:val="20"/>
              </w:rPr>
            </w:pPr>
            <w:r w:rsidRPr="00AC4FCD">
              <w:rPr>
                <w:b/>
                <w:bCs/>
                <w:sz w:val="20"/>
                <w:szCs w:val="20"/>
              </w:rPr>
              <w:t>Technické smerné hodnoty</w:t>
            </w:r>
            <w:r w:rsidRPr="00AC4FCD">
              <w:rPr>
                <w:b/>
                <w:sz w:val="20"/>
                <w:szCs w:val="20"/>
              </w:rPr>
              <w:t xml:space="preserve"> plynov, p</w:t>
            </w:r>
            <w:r w:rsidR="004F68B5" w:rsidRPr="00AC4FCD">
              <w:rPr>
                <w:b/>
                <w:sz w:val="20"/>
                <w:szCs w:val="20"/>
              </w:rPr>
              <w:t>á</w:t>
            </w:r>
            <w:r w:rsidRPr="00AC4FCD">
              <w:rPr>
                <w:b/>
                <w:sz w:val="20"/>
                <w:szCs w:val="20"/>
              </w:rPr>
              <w:t>r</w:t>
            </w:r>
            <w:r w:rsidR="004F68B5" w:rsidRPr="00AC4FCD">
              <w:rPr>
                <w:b/>
                <w:sz w:val="20"/>
                <w:szCs w:val="20"/>
              </w:rPr>
              <w:t xml:space="preserve"> a</w:t>
            </w:r>
            <w:r w:rsidRPr="00AC4FCD">
              <w:rPr>
                <w:b/>
                <w:sz w:val="20"/>
                <w:szCs w:val="20"/>
              </w:rPr>
              <w:t xml:space="preserve"> aerosólov s karcinogénnymi a mutagénnymi účinkami v pracovnom ovzduší</w:t>
            </w:r>
          </w:p>
          <w:p w:rsidR="0081224B" w:rsidRPr="00AC4FCD" w:rsidRDefault="0081224B" w:rsidP="00AC4FCD">
            <w:pPr>
              <w:jc w:val="left"/>
              <w:rPr>
                <w:strike/>
                <w:sz w:val="16"/>
                <w:szCs w:val="16"/>
                <w:lang w:eastAsia="en-US"/>
              </w:rPr>
            </w:pPr>
            <w:r w:rsidRPr="00AC4FCD">
              <w:rPr>
                <w:b/>
                <w:sz w:val="20"/>
                <w:szCs w:val="20"/>
              </w:rPr>
              <w:t>Tabuľk</w:t>
            </w:r>
            <w:r w:rsidR="00A537D9" w:rsidRPr="00AC4FCD">
              <w:rPr>
                <w:b/>
                <w:sz w:val="20"/>
                <w:szCs w:val="20"/>
              </w:rPr>
              <w:t>a</w:t>
            </w:r>
            <w:r w:rsidRPr="00AC4FCD">
              <w:rPr>
                <w:b/>
                <w:sz w:val="20"/>
                <w:szCs w:val="20"/>
              </w:rPr>
              <w:t xml:space="preserve"> č. </w:t>
            </w:r>
            <w:r w:rsidR="00234EFC" w:rsidRPr="00AC4FCD">
              <w:rPr>
                <w:b/>
                <w:sz w:val="20"/>
                <w:szCs w:val="20"/>
              </w:rPr>
              <w:t>1</w:t>
            </w:r>
          </w:p>
        </w:tc>
      </w:tr>
      <w:tr w:rsidR="0017495E" w:rsidRPr="00E85CA6" w:rsidTr="004963C1">
        <w:trPr>
          <w:gridBefore w:val="1"/>
          <w:wBefore w:w="108" w:type="dxa"/>
          <w:trHeight w:val="304"/>
        </w:trPr>
        <w:tc>
          <w:tcPr>
            <w:tcW w:w="7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E85CA6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AC4FCD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E85CA6" w:rsidTr="004963C1">
        <w:trPr>
          <w:gridBefore w:val="1"/>
          <w:wBefore w:w="108" w:type="dxa"/>
          <w:trHeight w:val="304"/>
        </w:trPr>
        <w:tc>
          <w:tcPr>
            <w:tcW w:w="76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E85CA6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AC4FCD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E85CA6" w:rsidTr="004963C1">
        <w:trPr>
          <w:gridBefore w:val="1"/>
          <w:wBefore w:w="108" w:type="dxa"/>
          <w:trHeight w:val="1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Názov chemického faktora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F1449A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Č. EC</w:t>
            </w:r>
            <w:r w:rsidR="00F1449A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="00F1449A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Č. CAS</w:t>
            </w:r>
            <w:r w:rsidR="004727F8" w:rsidRPr="00E85CA6">
              <w:rPr>
                <w:rFonts w:ascii="inherit" w:hAnsi="inherit"/>
                <w:sz w:val="16"/>
                <w:szCs w:val="16"/>
              </w:rPr>
              <w:t xml:space="preserve">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2</w:t>
            </w:r>
            <w:r w:rsidR="004727F8"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Limitné hodnoty </w:t>
            </w:r>
          </w:p>
          <w:p w:rsidR="002E4155" w:rsidRPr="00E85CA6" w:rsidRDefault="002E4155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8-hodinová expozícia</w:t>
            </w:r>
            <w:r w:rsidR="004727F8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="004727F8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Poznámka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5C482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 xml:space="preserve">Prechodné </w:t>
            </w:r>
            <w:r w:rsidR="005C482D" w:rsidRPr="00E85CA6">
              <w:rPr>
                <w:rFonts w:ascii="inherit" w:hAnsi="inherit"/>
                <w:sz w:val="16"/>
                <w:szCs w:val="16"/>
              </w:rPr>
              <w:t>ustanovenia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Por. </w:t>
            </w:r>
          </w:p>
          <w:p w:rsidR="00A669BC" w:rsidRPr="00E85CA6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čís.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Chemická látka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EINECS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CAS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eastAsia="en-US"/>
              </w:rPr>
              <w:t>Kategória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karcino-génov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Kategória mutagé-nov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Poznámka</w:t>
            </w:r>
          </w:p>
          <w:p w:rsidR="005D6A6E" w:rsidRPr="00AC4FC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5D6A6E" w:rsidRPr="00AC4FCD" w:rsidRDefault="005D6A6E" w:rsidP="00A537D9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b/>
                <w:sz w:val="16"/>
                <w:szCs w:val="16"/>
              </w:rPr>
              <w:t>Prechodné ustanovenia</w:t>
            </w:r>
            <w:r w:rsidR="00A537D9" w:rsidRPr="00AC4FCD">
              <w:rPr>
                <w:rFonts w:ascii="inherit" w:hAnsi="inherit"/>
                <w:b/>
                <w:sz w:val="16"/>
                <w:szCs w:val="16"/>
              </w:rPr>
              <w:t xml:space="preserve"> sú v tabuľke č. 3</w:t>
            </w:r>
          </w:p>
        </w:tc>
      </w:tr>
      <w:tr w:rsidR="0017495E" w:rsidRPr="00E85CA6" w:rsidTr="004963C1">
        <w:trPr>
          <w:gridBefore w:val="1"/>
          <w:wBefore w:w="108" w:type="dxa"/>
          <w:trHeight w:val="1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/>
              </w:rPr>
              <w:t>mg/m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3</w:t>
            </w:r>
            <w:r w:rsidR="004727F8" w:rsidRPr="00E85CA6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4727F8" w:rsidRPr="00E85CA6">
              <w:rPr>
                <w:rFonts w:ascii="inherit" w:hAnsi="inherit"/>
                <w:sz w:val="16"/>
                <w:szCs w:val="16"/>
                <w:lang w:val="en-US"/>
              </w:rPr>
              <w:t>(</w:t>
            </w:r>
            <w:r w:rsidR="002E4155" w:rsidRPr="00E85CA6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5</w:t>
            </w:r>
            <w:r w:rsidR="004727F8" w:rsidRPr="00E85CA6">
              <w:rPr>
                <w:rFonts w:ascii="inherit" w:hAnsi="inherit"/>
                <w:sz w:val="16"/>
                <w:szCs w:val="16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523904" w:rsidP="00523904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/>
              </w:rPr>
              <w:t>p</w:t>
            </w:r>
            <w:r w:rsidR="00A669BC" w:rsidRPr="00E85CA6">
              <w:rPr>
                <w:rFonts w:ascii="inherit" w:hAnsi="inherit"/>
                <w:sz w:val="16"/>
                <w:szCs w:val="16"/>
                <w:lang w:val="en-US"/>
              </w:rPr>
              <w:t>pm</w:t>
            </w:r>
            <w:r w:rsidR="004727F8" w:rsidRPr="00E85CA6">
              <w:rPr>
                <w:rFonts w:ascii="inherit" w:hAnsi="inherit"/>
                <w:sz w:val="16"/>
                <w:szCs w:val="16"/>
                <w:lang w:val="en-US"/>
              </w:rPr>
              <w:t xml:space="preserve"> (</w:t>
            </w:r>
            <w:r w:rsidR="002E4155" w:rsidRPr="00E85CA6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6</w:t>
            </w:r>
            <w:r w:rsidR="004727F8" w:rsidRPr="00E85CA6">
              <w:rPr>
                <w:rFonts w:ascii="inherit" w:hAnsi="inherit"/>
                <w:sz w:val="16"/>
                <w:szCs w:val="16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f/ml</w:t>
            </w:r>
            <w:r w:rsidR="004727F8" w:rsidRPr="00E85CA6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="004727F8" w:rsidRPr="00E85CA6">
              <w:rPr>
                <w:rFonts w:ascii="inherit" w:hAnsi="inherit"/>
                <w:sz w:val="16"/>
                <w:szCs w:val="16"/>
              </w:rPr>
              <w:t>(</w:t>
            </w:r>
            <w:r w:rsidR="002E4155" w:rsidRPr="00E85CA6">
              <w:rPr>
                <w:rFonts w:ascii="inherit" w:hAnsi="inherit"/>
                <w:sz w:val="16"/>
                <w:szCs w:val="16"/>
                <w:vertAlign w:val="superscript"/>
              </w:rPr>
              <w:t>7</w:t>
            </w:r>
            <w:r w:rsidR="004727F8"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AC4FC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08AD" w:rsidRPr="00AC4FCD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ml · m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-3</w:t>
            </w:r>
          </w:p>
          <w:p w:rsidR="00A669BC" w:rsidRPr="00AC4FCD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(ppm)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4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sz w:val="16"/>
                <w:szCs w:val="16"/>
              </w:rPr>
              <w:t>mg</w:t>
            </w:r>
            <w:r w:rsidR="00E908AD"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sz w:val="16"/>
                <w:szCs w:val="16"/>
              </w:rPr>
              <w:t>·</w:t>
            </w:r>
            <w:r w:rsidR="00E908AD"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sz w:val="16"/>
                <w:szCs w:val="16"/>
              </w:rPr>
              <w:t>m</w:t>
            </w:r>
            <w:r w:rsidRPr="00AC4FCD">
              <w:rPr>
                <w:sz w:val="16"/>
                <w:szCs w:val="16"/>
                <w:vertAlign w:val="superscript"/>
              </w:rPr>
              <w:t>-3</w:t>
            </w:r>
            <w:r w:rsidR="00E908AD" w:rsidRPr="00AC4FCD">
              <w:rPr>
                <w:sz w:val="16"/>
                <w:szCs w:val="16"/>
                <w:vertAlign w:val="superscript"/>
              </w:rPr>
              <w:t xml:space="preserve"> </w:t>
            </w:r>
            <w:r w:rsidRPr="00AC4FCD">
              <w:rPr>
                <w:sz w:val="16"/>
                <w:szCs w:val="16"/>
                <w:vertAlign w:val="superscript"/>
              </w:rPr>
              <w:t>5</w:t>
            </w:r>
            <w:r w:rsidRPr="00AC4FC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E85CA6" w:rsidTr="004963C1">
        <w:trPr>
          <w:gridBefore w:val="1"/>
          <w:wBefore w:w="108" w:type="dxa"/>
          <w:trHeight w:val="7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3B6986" w:rsidP="00FC3D2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Kadmium a jeho anorganické zlúčeniny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3B6986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0,001(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11</w:t>
            </w:r>
            <w:r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 xml:space="preserve">Limitná hodnota 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 xml:space="preserve">0,004 </w:t>
            </w:r>
            <w:r w:rsidRPr="00E85CA6">
              <w:rPr>
                <w:rFonts w:ascii="inherit" w:hAnsi="inherit"/>
                <w:sz w:val="16"/>
                <w:szCs w:val="16"/>
              </w:rPr>
              <w:t>mg/m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E85CA6">
              <w:rPr>
                <w:rFonts w:ascii="inherit" w:hAnsi="inherit"/>
                <w:sz w:val="16"/>
                <w:szCs w:val="16"/>
              </w:rPr>
              <w:t xml:space="preserve"> 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(</w:t>
            </w:r>
            <w:r w:rsidR="003B6986" w:rsidRPr="00E85CA6">
              <w:rPr>
                <w:rFonts w:ascii="inherit" w:hAnsi="inherit"/>
                <w:sz w:val="16"/>
                <w:szCs w:val="16"/>
                <w:vertAlign w:val="superscript"/>
              </w:rPr>
              <w:t>12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 xml:space="preserve">) </w:t>
            </w:r>
            <w:r w:rsidRPr="00E85CA6">
              <w:rPr>
                <w:rFonts w:ascii="inherit" w:hAnsi="inherit"/>
                <w:sz w:val="16"/>
                <w:szCs w:val="16"/>
              </w:rPr>
              <w:t>do 1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1</w:t>
            </w:r>
            <w:r w:rsidRPr="00E85CA6">
              <w:rPr>
                <w:rFonts w:ascii="inherit" w:hAnsi="inherit"/>
                <w:sz w:val="16"/>
                <w:szCs w:val="16"/>
              </w:rPr>
              <w:t>. j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úla</w:t>
            </w:r>
            <w:r w:rsidRPr="00E85CA6">
              <w:rPr>
                <w:rFonts w:ascii="inherit" w:hAnsi="inherit"/>
                <w:sz w:val="16"/>
                <w:szCs w:val="16"/>
              </w:rPr>
              <w:t xml:space="preserve"> 202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7.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FC3D2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28</w:t>
            </w:r>
            <w:r w:rsidR="00A669BC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3D2D" w:rsidRPr="00AC4FCD" w:rsidRDefault="00FC3D2D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Kadmium a anorganické zlúčeniny kadmia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="00357E78"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0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FC3D2D" w:rsidRPr="00AC4FCD" w:rsidRDefault="00FC3D2D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(ako Cd)</w:t>
            </w:r>
          </w:p>
          <w:p w:rsidR="00A669BC" w:rsidRPr="00AC4FCD" w:rsidRDefault="00A669BC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inhalovateľná frakcia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A2B" w:rsidRPr="00AC4FCD" w:rsidRDefault="00BF5A2B" w:rsidP="00BF5A2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0,001</w:t>
            </w:r>
          </w:p>
          <w:p w:rsidR="00197F81" w:rsidRPr="00AC4FCD" w:rsidRDefault="00197F81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97F81" w:rsidRPr="00AC4FCD" w:rsidRDefault="00197F81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BF5A2B" w:rsidRPr="00AC4FCD" w:rsidRDefault="00BF5A2B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AC4FCD" w:rsidRDefault="00BF5A2B" w:rsidP="00BF5A2B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AC4FCD">
              <w:rPr>
                <w:rFonts w:ascii="inherit" w:hAnsi="inherit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="00BF5A2B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B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97F81" w:rsidRPr="00AC4FCD" w:rsidRDefault="00197F81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97F81" w:rsidRPr="00AC4FCD" w:rsidRDefault="00197F81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537D9" w:rsidRPr="00AC4FCD" w:rsidRDefault="00A537D9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BF5A2B" w:rsidRPr="00AC4FCD" w:rsidRDefault="00A537D9" w:rsidP="00FC3D2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3 druhý bod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TSH do 1</w:t>
            </w:r>
            <w:r w:rsidR="00BF5A2B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  <w:r w:rsidR="00BF5A2B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7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.202</w:t>
            </w:r>
            <w:r w:rsidR="00BF5A2B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7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E85CA6" w:rsidTr="004963C1">
        <w:trPr>
          <w:gridBefore w:val="1"/>
          <w:wBefore w:w="108" w:type="dxa"/>
          <w:trHeight w:val="14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3B6986" w:rsidP="00FC3D2D">
            <w:pPr>
              <w:spacing w:before="0" w:after="50"/>
              <w:jc w:val="left"/>
              <w:rPr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Berýlium a anorganické zlúčeniny berýlia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0,00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02 (</w:t>
            </w:r>
            <w:r w:rsidR="003B6986" w:rsidRPr="00E85CA6">
              <w:rPr>
                <w:rFonts w:ascii="inherit" w:hAnsi="inherit"/>
                <w:sz w:val="16"/>
                <w:szCs w:val="16"/>
                <w:vertAlign w:val="superscript"/>
              </w:rPr>
              <w:t>11</w:t>
            </w:r>
            <w:r w:rsidR="003B6986"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E85CA6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6986" w:rsidRPr="00E85CA6" w:rsidRDefault="003B6986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dermálna a respiračná</w:t>
            </w:r>
          </w:p>
          <w:p w:rsidR="00A669BC" w:rsidRPr="00E85CA6" w:rsidRDefault="003B6986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senzibili-zácia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13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FC3D2D">
            <w:pPr>
              <w:spacing w:before="0" w:after="50"/>
              <w:jc w:val="left"/>
              <w:rPr>
                <w:sz w:val="16"/>
                <w:szCs w:val="16"/>
              </w:rPr>
            </w:pPr>
            <w:r w:rsidRPr="00E85CA6">
              <w:rPr>
                <w:sz w:val="16"/>
                <w:szCs w:val="16"/>
              </w:rPr>
              <w:t>Limitná hodnota 0,00</w:t>
            </w:r>
            <w:r w:rsidR="003B6986" w:rsidRPr="00E85CA6">
              <w:rPr>
                <w:sz w:val="16"/>
                <w:szCs w:val="16"/>
              </w:rPr>
              <w:t>06</w:t>
            </w:r>
            <w:r w:rsidRPr="00E85CA6">
              <w:rPr>
                <w:sz w:val="16"/>
                <w:szCs w:val="16"/>
              </w:rPr>
              <w:t> mg/m</w:t>
            </w:r>
            <w:r w:rsidRPr="00E85CA6">
              <w:rPr>
                <w:sz w:val="16"/>
                <w:szCs w:val="16"/>
                <w:vertAlign w:val="superscript"/>
              </w:rPr>
              <w:t>3</w:t>
            </w:r>
            <w:r w:rsidRPr="00E85CA6">
              <w:rPr>
                <w:sz w:val="16"/>
                <w:szCs w:val="16"/>
              </w:rPr>
              <w:t xml:space="preserve"> do 1</w:t>
            </w:r>
            <w:r w:rsidR="00BF5A2B" w:rsidRPr="00E85CA6">
              <w:rPr>
                <w:sz w:val="16"/>
                <w:szCs w:val="16"/>
              </w:rPr>
              <w:t>1</w:t>
            </w:r>
            <w:r w:rsidRPr="00E85CA6">
              <w:rPr>
                <w:sz w:val="16"/>
                <w:szCs w:val="16"/>
              </w:rPr>
              <w:t>. j</w:t>
            </w:r>
            <w:r w:rsidR="003B6986" w:rsidRPr="00E85CA6">
              <w:rPr>
                <w:sz w:val="16"/>
                <w:szCs w:val="16"/>
              </w:rPr>
              <w:t>úla</w:t>
            </w:r>
            <w:r w:rsidRPr="00E85CA6">
              <w:rPr>
                <w:sz w:val="16"/>
                <w:szCs w:val="16"/>
              </w:rPr>
              <w:t xml:space="preserve"> 202</w:t>
            </w:r>
            <w:r w:rsidR="003B6986" w:rsidRPr="00E85CA6">
              <w:rPr>
                <w:sz w:val="16"/>
                <w:szCs w:val="16"/>
              </w:rPr>
              <w:t>6.</w:t>
            </w:r>
          </w:p>
          <w:p w:rsidR="00A669BC" w:rsidRPr="00E85CA6" w:rsidRDefault="00A669BC" w:rsidP="00FC3D2D">
            <w:pPr>
              <w:spacing w:before="0" w:after="50"/>
              <w:jc w:val="lef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E85CA6" w:rsidRDefault="00BF5A2B" w:rsidP="00BF5A2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9</w:t>
            </w:r>
            <w:r w:rsidR="00A669BC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A2B" w:rsidRPr="00AC4FCD" w:rsidRDefault="00BF5A2B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Berýlium a anorganické zlúčeniny berýlia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14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BF5A2B" w:rsidRPr="00AC4FCD" w:rsidRDefault="00A669BC" w:rsidP="00FC3D2D">
            <w:pPr>
              <w:spacing w:before="0"/>
              <w:jc w:val="left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(ako  </w:t>
            </w:r>
            <w:r w:rsidR="00BF5A2B" w:rsidRPr="00AC4FCD">
              <w:rPr>
                <w:sz w:val="16"/>
                <w:szCs w:val="16"/>
              </w:rPr>
              <w:t>Be</w:t>
            </w:r>
            <w:r w:rsidRPr="00AC4FCD">
              <w:rPr>
                <w:sz w:val="16"/>
                <w:szCs w:val="16"/>
              </w:rPr>
              <w:t>)</w:t>
            </w:r>
          </w:p>
          <w:p w:rsidR="00A669BC" w:rsidRPr="00AC4FCD" w:rsidRDefault="00A669BC" w:rsidP="00FC3D2D">
            <w:pPr>
              <w:spacing w:before="0"/>
              <w:jc w:val="left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inhalovateľná frakcia</w:t>
            </w:r>
          </w:p>
          <w:p w:rsidR="00CA5517" w:rsidRPr="00AC4FCD" w:rsidRDefault="00CA5517" w:rsidP="00FC3D2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</w:p>
          <w:p w:rsidR="00A669BC" w:rsidRPr="00AC4FCD" w:rsidRDefault="00A669BC" w:rsidP="00FC3D2D">
            <w:pPr>
              <w:spacing w:before="0"/>
              <w:jc w:val="left"/>
              <w:rPr>
                <w:i/>
                <w:sz w:val="16"/>
                <w:szCs w:val="16"/>
              </w:rPr>
            </w:pPr>
          </w:p>
          <w:p w:rsidR="00A669BC" w:rsidRPr="00AC4FCD" w:rsidRDefault="00A669BC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BF5A2B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BF5A2B" w:rsidRPr="00AC4FCD" w:rsidRDefault="00BF5A2B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AC4FCD">
              <w:rPr>
                <w:rFonts w:ascii="inherit" w:hAnsi="inherit"/>
                <w:sz w:val="16"/>
                <w:szCs w:val="16"/>
              </w:rPr>
              <w:t>0,00</w:t>
            </w:r>
            <w:r w:rsidR="00BF5A2B" w:rsidRPr="00AC4FCD">
              <w:rPr>
                <w:rFonts w:ascii="inherit" w:hAnsi="inherit"/>
                <w:sz w:val="16"/>
                <w:szCs w:val="16"/>
              </w:rPr>
              <w:t>02</w:t>
            </w:r>
          </w:p>
          <w:p w:rsidR="00E908AD" w:rsidRPr="00AC4FCD" w:rsidRDefault="00E908A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B54008" w:rsidRPr="00AC4FCD" w:rsidRDefault="00B54008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B54008" w:rsidRPr="00AC4FCD" w:rsidRDefault="00B54008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B54008" w:rsidRPr="00AC4FCD" w:rsidRDefault="00B54008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AC4FCD">
              <w:rPr>
                <w:rFonts w:ascii="inherit" w:hAnsi="inherit"/>
                <w:sz w:val="16"/>
                <w:szCs w:val="16"/>
              </w:rPr>
              <w:t>0,00</w:t>
            </w:r>
            <w:r w:rsidR="00BF5A2B" w:rsidRPr="00AC4FCD">
              <w:rPr>
                <w:rFonts w:ascii="inherit" w:hAnsi="inherit"/>
                <w:sz w:val="16"/>
                <w:szCs w:val="16"/>
              </w:rPr>
              <w:t>06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CA5517" w:rsidRPr="00AC4FCD" w:rsidRDefault="00CA5517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AC4FCD" w:rsidRDefault="00A669BC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="00BF5A2B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B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BF5A2B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S</w:t>
            </w:r>
            <w:r w:rsidR="00BF5A2B"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15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E908AD" w:rsidRPr="00AC4FCD" w:rsidRDefault="00E908A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B54008" w:rsidRPr="00AC4FCD" w:rsidRDefault="00B54008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B54008" w:rsidRPr="00AC4FCD" w:rsidRDefault="00B54008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537D9" w:rsidRPr="00AC4FCD" w:rsidRDefault="00A537D9" w:rsidP="00A537D9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B54008" w:rsidRPr="00AC4FCD" w:rsidRDefault="00A537D9" w:rsidP="00A537D9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3 prvý bod</w:t>
            </w: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TSH do 1</w:t>
            </w:r>
            <w:r w:rsidR="00B54008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  <w:r w:rsidR="00B54008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7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.202</w:t>
            </w:r>
            <w:r w:rsidR="00B54008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6</w:t>
            </w:r>
          </w:p>
          <w:p w:rsidR="00CA5517" w:rsidRPr="00AC4FCD" w:rsidRDefault="00CA5517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AC4FCD" w:rsidRDefault="00A669BC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E85CA6" w:rsidTr="004963C1">
        <w:trPr>
          <w:gridBefore w:val="1"/>
          <w:wBefore w:w="108" w:type="dxa"/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883BD6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Kyselina arzeničná a jej soli, ako aj </w:t>
            </w:r>
            <w:r w:rsidR="003B6986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anorganické zlúčeniny a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rzénu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E85CA6" w:rsidRDefault="00883BD6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0,01 </w:t>
            </w:r>
            <w:r w:rsidRPr="00E85CA6">
              <w:rPr>
                <w:rFonts w:ascii="inherit" w:hAnsi="inherit"/>
                <w:sz w:val="16"/>
                <w:szCs w:val="16"/>
              </w:rPr>
              <w:t>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11</w:t>
            </w:r>
            <w:r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E85CA6" w:rsidRDefault="00883BD6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BD6" w:rsidRPr="00E85CA6" w:rsidRDefault="00883BD6" w:rsidP="00883BD6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V sektore tavenia medi sa l</w:t>
            </w:r>
            <w:r w:rsidRPr="00E85CA6">
              <w:rPr>
                <w:sz w:val="16"/>
                <w:szCs w:val="16"/>
              </w:rPr>
              <w:t>imitná hodnota uplatňuje   11. júla 2023.</w:t>
            </w:r>
          </w:p>
          <w:p w:rsidR="00A669BC" w:rsidRPr="00E85CA6" w:rsidRDefault="00A669BC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E85CA6" w:rsidRDefault="00A669BC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008" w:rsidRPr="00E85CA6" w:rsidRDefault="00B54008" w:rsidP="00B54008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Arzén a anorganické zlúčeniny arzénu</w:t>
            </w:r>
          </w:p>
          <w:p w:rsidR="00B54008" w:rsidRPr="00E85CA6" w:rsidRDefault="00B54008" w:rsidP="00B54008">
            <w:pPr>
              <w:spacing w:before="0"/>
              <w:jc w:val="left"/>
              <w:rPr>
                <w:sz w:val="16"/>
                <w:szCs w:val="16"/>
              </w:rPr>
            </w:pPr>
            <w:r w:rsidRPr="00E85CA6">
              <w:rPr>
                <w:sz w:val="16"/>
                <w:szCs w:val="16"/>
              </w:rPr>
              <w:t>(ako  As),</w:t>
            </w:r>
          </w:p>
          <w:p w:rsidR="00B54008" w:rsidRPr="00E85CA6" w:rsidRDefault="00B54008" w:rsidP="00B54008">
            <w:pPr>
              <w:spacing w:before="0"/>
              <w:jc w:val="left"/>
              <w:rPr>
                <w:sz w:val="16"/>
                <w:szCs w:val="16"/>
              </w:rPr>
            </w:pPr>
            <w:r w:rsidRPr="00E85CA6">
              <w:rPr>
                <w:sz w:val="16"/>
                <w:szCs w:val="16"/>
              </w:rPr>
              <w:t>kyselina arzeničná a jej soli</w:t>
            </w:r>
            <w:r w:rsidRPr="00E85CA6">
              <w:rPr>
                <w:sz w:val="16"/>
                <w:szCs w:val="16"/>
                <w:vertAlign w:val="superscript"/>
              </w:rPr>
              <w:t>10</w:t>
            </w:r>
            <w:r w:rsidRPr="00E85CA6">
              <w:rPr>
                <w:sz w:val="16"/>
                <w:szCs w:val="16"/>
              </w:rPr>
              <w:t>)</w:t>
            </w:r>
          </w:p>
          <w:p w:rsidR="00B54008" w:rsidRPr="00E85CA6" w:rsidRDefault="00B54008" w:rsidP="00B54008">
            <w:pPr>
              <w:spacing w:before="0"/>
              <w:jc w:val="left"/>
              <w:rPr>
                <w:sz w:val="16"/>
                <w:szCs w:val="16"/>
              </w:rPr>
            </w:pPr>
            <w:r w:rsidRPr="00E85CA6">
              <w:rPr>
                <w:sz w:val="16"/>
                <w:szCs w:val="16"/>
              </w:rPr>
              <w:t>inhalovateľná frakcia</w:t>
            </w:r>
            <w:r w:rsidRPr="00E85CA6">
              <w:rPr>
                <w:sz w:val="16"/>
                <w:szCs w:val="16"/>
                <w:vertAlign w:val="superscript"/>
              </w:rPr>
              <w:t>11</w:t>
            </w:r>
            <w:r w:rsidRPr="00E85CA6">
              <w:rPr>
                <w:sz w:val="16"/>
                <w:szCs w:val="16"/>
              </w:rPr>
              <w:t>)</w:t>
            </w:r>
          </w:p>
          <w:p w:rsidR="00A669BC" w:rsidRPr="00E85CA6" w:rsidRDefault="00A669BC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E85CA6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B54008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="00B54008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C4FC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37D9" w:rsidRPr="00AC4FCD" w:rsidRDefault="00A537D9" w:rsidP="00A537D9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3 štvrtý bod</w:t>
            </w:r>
          </w:p>
          <w:p w:rsidR="00B54008" w:rsidRPr="00AC4FCD" w:rsidRDefault="00B54008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Pri tavení medi </w:t>
            </w:r>
            <w:r w:rsidR="00A537D9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sa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TSH </w:t>
            </w:r>
            <w:r w:rsidR="00A537D9"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uplatňuje 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od 11.7.2023</w:t>
            </w:r>
          </w:p>
        </w:tc>
      </w:tr>
      <w:tr w:rsidR="00621540" w:rsidRPr="00E85CA6" w:rsidTr="004963C1">
        <w:trPr>
          <w:gridBefore w:val="1"/>
          <w:wBefore w:w="108" w:type="dxa"/>
          <w:trHeight w:val="20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Formaldehyd</w:t>
            </w:r>
          </w:p>
          <w:p w:rsidR="00621540" w:rsidRPr="00E85CA6" w:rsidRDefault="0062154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krátkodobá expozícia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4</w:t>
            </w:r>
            <w:r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200-001-8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50-00-0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0,37</w:t>
            </w:r>
          </w:p>
          <w:p w:rsidR="00621540" w:rsidRPr="00E85CA6" w:rsidRDefault="00621540" w:rsidP="00883BD6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  <w:p w:rsidR="00621540" w:rsidRPr="00E85CA6" w:rsidRDefault="0062154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0,6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dermálna </w:t>
            </w:r>
          </w:p>
          <w:p w:rsidR="00621540" w:rsidRPr="00E85CA6" w:rsidRDefault="00621540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senzibili-zácia 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14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883BD6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E85CA6">
              <w:rPr>
                <w:sz w:val="16"/>
                <w:szCs w:val="16"/>
              </w:rPr>
              <w:t>Limitná hodnota 0,62 mg/m</w:t>
            </w:r>
            <w:r w:rsidRPr="00E85CA6">
              <w:rPr>
                <w:sz w:val="16"/>
                <w:szCs w:val="16"/>
                <w:vertAlign w:val="superscript"/>
              </w:rPr>
              <w:t xml:space="preserve">3 </w:t>
            </w:r>
            <w:r w:rsidRPr="00E85CA6">
              <w:rPr>
                <w:sz w:val="16"/>
                <w:szCs w:val="16"/>
              </w:rPr>
              <w:t>alebo 0,5  ppm (</w:t>
            </w:r>
            <w:r w:rsidRPr="00E85CA6">
              <w:rPr>
                <w:sz w:val="16"/>
                <w:szCs w:val="16"/>
                <w:vertAlign w:val="superscript"/>
              </w:rPr>
              <w:t>3</w:t>
            </w:r>
            <w:r w:rsidRPr="00E85CA6">
              <w:rPr>
                <w:sz w:val="16"/>
                <w:szCs w:val="16"/>
              </w:rPr>
              <w:t>) pre sektory zdravotnej starostlivosti , pohrebných služieb a služieb balzamovania do 11. júla 2024.</w:t>
            </w:r>
          </w:p>
          <w:p w:rsidR="00621540" w:rsidRPr="00E85CA6" w:rsidRDefault="0062154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B5400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2AEF" w:rsidRDefault="00912AEF" w:rsidP="00B5400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912AEF" w:rsidRDefault="00912AEF" w:rsidP="00B5400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912AEF" w:rsidRDefault="00912AEF" w:rsidP="00B5400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621540" w:rsidRPr="00E85CA6" w:rsidRDefault="00621540" w:rsidP="00B5400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Formaldehyd</w:t>
            </w:r>
          </w:p>
          <w:p w:rsidR="00A537D9" w:rsidRDefault="00A537D9" w:rsidP="00357E7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A537D9" w:rsidRDefault="00A537D9" w:rsidP="00357E78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621540" w:rsidRPr="00E85CA6" w:rsidRDefault="00621540" w:rsidP="00357E78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krátkodobá expozícia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</w:rPr>
              <w:t>1</w:t>
            </w:r>
            <w:r w:rsidR="00357E78" w:rsidRPr="00E85CA6">
              <w:rPr>
                <w:rFonts w:ascii="inherit" w:hAnsi="inherit"/>
                <w:sz w:val="16"/>
                <w:szCs w:val="16"/>
                <w:vertAlign w:val="superscript"/>
              </w:rPr>
              <w:t>7</w:t>
            </w:r>
            <w:r w:rsidRPr="00E85CA6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40" w:rsidRPr="00E85CA6" w:rsidRDefault="00621540" w:rsidP="00A537D9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200-001-8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50-00-0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912AEF" w:rsidRPr="00AC4FCD" w:rsidRDefault="00912AEF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912AEF" w:rsidRPr="00AC4FCD" w:rsidRDefault="00912AEF" w:rsidP="00912AEF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  <w:p w:rsidR="00912AEF" w:rsidRPr="00AC4FCD" w:rsidRDefault="00912AEF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912AEF" w:rsidRPr="00AC4FCD" w:rsidRDefault="00912AEF" w:rsidP="00912AEF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0,6</w:t>
            </w:r>
            <w:r w:rsidR="00912AEF" w:rsidRPr="00AC4FCD">
              <w:rPr>
                <w:rFonts w:ascii="inherit" w:hAnsi="inherit"/>
                <w:sz w:val="16"/>
                <w:szCs w:val="16"/>
                <w:vertAlign w:val="superscript"/>
              </w:rPr>
              <w:t>17</w:t>
            </w:r>
            <w:r w:rsidR="00912AEF" w:rsidRPr="00AC4FCD">
              <w:rPr>
                <w:rFonts w:ascii="inherit" w:hAnsi="inherit"/>
                <w:sz w:val="16"/>
                <w:szCs w:val="16"/>
              </w:rPr>
              <w:t>)</w:t>
            </w: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trike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540" w:rsidRPr="00AC4FCD" w:rsidRDefault="00621540" w:rsidP="00C266FD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912AEF" w:rsidRPr="00AC4FCD" w:rsidRDefault="00912AEF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AC4FCD">
              <w:rPr>
                <w:rFonts w:ascii="inherit" w:hAnsi="inherit"/>
                <w:sz w:val="16"/>
                <w:szCs w:val="16"/>
              </w:rPr>
              <w:t>0,37</w:t>
            </w:r>
          </w:p>
          <w:p w:rsidR="00912AEF" w:rsidRPr="00AC4FCD" w:rsidRDefault="00912AEF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912AEF" w:rsidRPr="00AC4FCD" w:rsidRDefault="00912AEF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AC4FCD">
              <w:rPr>
                <w:rFonts w:ascii="inherit" w:hAnsi="inherit"/>
                <w:sz w:val="16"/>
                <w:szCs w:val="16"/>
              </w:rPr>
              <w:t>0,74</w:t>
            </w:r>
            <w:r w:rsidR="00912AEF" w:rsidRPr="00AC4FCD">
              <w:rPr>
                <w:rFonts w:ascii="inherit" w:hAnsi="inherit"/>
                <w:sz w:val="16"/>
                <w:szCs w:val="16"/>
                <w:vertAlign w:val="superscript"/>
              </w:rPr>
              <w:t>17</w:t>
            </w:r>
            <w:r w:rsidR="00912AEF" w:rsidRPr="00AC4FCD">
              <w:rPr>
                <w:rFonts w:ascii="inherit" w:hAnsi="inherit"/>
                <w:sz w:val="16"/>
                <w:szCs w:val="16"/>
              </w:rPr>
              <w:t>)</w:t>
            </w: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trike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AC4FCD" w:rsidRDefault="00621540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045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="00357E78" w:rsidRPr="00AC4FC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</w:t>
            </w: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621540" w:rsidRPr="00AC4FCD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621540" w:rsidRPr="00AC4FCD" w:rsidRDefault="000456FD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AC4FCD">
              <w:rPr>
                <w:rFonts w:ascii="inherit" w:hAnsi="inherit"/>
                <w:sz w:val="16"/>
                <w:szCs w:val="16"/>
                <w:lang w:val="en-US" w:eastAsia="en-US"/>
              </w:rPr>
              <w:t>Prechodné obdobie pre TSH sa v Slovenskej republike neuplatňuje.</w:t>
            </w:r>
          </w:p>
          <w:p w:rsidR="00621540" w:rsidRPr="00AC4FCD" w:rsidRDefault="00621540" w:rsidP="00045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FC3D2D" w:rsidRPr="00E85CA6" w:rsidTr="004963C1">
        <w:trPr>
          <w:gridBefore w:val="1"/>
          <w:wBefore w:w="108" w:type="dxa"/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FC3D2D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4,4´-metylénbis</w:t>
            </w:r>
          </w:p>
          <w:p w:rsidR="00FC3D2D" w:rsidRPr="00E85CA6" w:rsidRDefault="00FC3D2D" w:rsidP="007C414F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 xml:space="preserve">(2-chlóranilín)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202-918-9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101-14-4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FC3D2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0,01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4727F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621540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29</w:t>
            </w:r>
            <w:r w:rsidR="00FC3D2D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540" w:rsidRPr="00E85CA6" w:rsidRDefault="00621540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4,4´-metylénbis</w:t>
            </w:r>
          </w:p>
          <w:p w:rsidR="00621540" w:rsidRPr="00E85CA6" w:rsidRDefault="00621540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(2-chlóranilín)</w:t>
            </w:r>
          </w:p>
          <w:p w:rsidR="00621540" w:rsidRPr="00E85CA6" w:rsidRDefault="00621540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(2,2´-dichlór-4,4´-metyléndianilín)</w:t>
            </w:r>
          </w:p>
          <w:p w:rsidR="00621540" w:rsidRPr="00E85CA6" w:rsidRDefault="00621540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(4,4´-diamino-3,3´-dichlórdifenylmetán)</w:t>
            </w:r>
          </w:p>
          <w:p w:rsidR="00FC3D2D" w:rsidRPr="00E85CA6" w:rsidRDefault="00621540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 xml:space="preserve"> (MOCA)</w:t>
            </w:r>
          </w:p>
          <w:p w:rsidR="007152DA" w:rsidRPr="00E85CA6" w:rsidRDefault="007152DA" w:rsidP="00621540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62154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20</w:t>
            </w:r>
            <w:r w:rsidR="00621540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-</w:t>
            </w:r>
            <w:r w:rsidR="00621540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918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-</w:t>
            </w:r>
            <w:r w:rsidR="00621540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7152DA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101-14-4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7152DA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7152DA" w:rsidP="007152DA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0</w:t>
            </w:r>
            <w:r w:rsidR="00FC3D2D" w:rsidRPr="00E85CA6">
              <w:rPr>
                <w:rFonts w:ascii="inherit" w:hAnsi="inherit"/>
                <w:sz w:val="16"/>
                <w:szCs w:val="16"/>
              </w:rPr>
              <w:t>,</w:t>
            </w:r>
            <w:r w:rsidRPr="00E85CA6">
              <w:rPr>
                <w:rFonts w:ascii="inherit" w:hAnsi="inherit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7152DA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="007152DA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7152DA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D2D" w:rsidRPr="00E85CA6" w:rsidRDefault="00FC3D2D" w:rsidP="007152DA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7495E" w:rsidRPr="0017495E" w:rsidTr="00496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5" w:type="dxa"/>
          <w:trHeight w:val="2241"/>
        </w:trPr>
        <w:tc>
          <w:tcPr>
            <w:tcW w:w="7655" w:type="dxa"/>
            <w:gridSpan w:val="9"/>
          </w:tcPr>
          <w:p w:rsidR="007C5AD5" w:rsidRPr="00E85CA6" w:rsidRDefault="007C5AD5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E85CA6" w:rsidRDefault="007152DA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="00F1449A"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>(</w:t>
            </w:r>
            <w:r w:rsidR="00C266FD" w:rsidRPr="00E85CA6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1</w:t>
            </w:r>
            <w:r w:rsidRPr="00E85CA6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1</w:t>
            </w:r>
            <w:r w:rsidR="00F1449A"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>)</w:t>
            </w:r>
            <w:r w:rsidR="00C266FD"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Pr="00E85CA6">
              <w:rPr>
                <w:rFonts w:ascii="inherit" w:hAnsi="inherit"/>
                <w:sz w:val="16"/>
                <w:szCs w:val="16"/>
              </w:rPr>
              <w:t>Inhalovateľná frakcia</w:t>
            </w:r>
            <w:r w:rsidR="007C5AD5" w:rsidRPr="00E85CA6">
              <w:rPr>
                <w:rFonts w:ascii="inherit" w:hAnsi="inherit"/>
                <w:sz w:val="16"/>
                <w:szCs w:val="16"/>
              </w:rPr>
              <w:t>.</w:t>
            </w:r>
            <w:r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</w:p>
          <w:p w:rsidR="007C5AD5" w:rsidRPr="00E85CA6" w:rsidRDefault="007C5AD5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7152DA" w:rsidRPr="00E85CA6" w:rsidRDefault="004727F8" w:rsidP="007152DA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>(</w:t>
            </w:r>
            <w:r w:rsidR="007152DA" w:rsidRPr="00E85CA6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12</w:t>
            </w:r>
            <w:r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>)</w:t>
            </w:r>
            <w:r w:rsidR="00C266FD"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="007152DA" w:rsidRPr="00E85CA6">
              <w:rPr>
                <w:rFonts w:ascii="inherit" w:hAnsi="inherit"/>
                <w:sz w:val="16"/>
                <w:szCs w:val="16"/>
              </w:rPr>
              <w:t xml:space="preserve">Inhalovateľná frakcia. </w:t>
            </w:r>
            <w:r w:rsidR="007152DA" w:rsidRPr="00E85CA6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="007152DA" w:rsidRPr="00E85CA6">
              <w:rPr>
                <w:rFonts w:ascii="inherit" w:hAnsi="inherit"/>
                <w:sz w:val="16"/>
                <w:szCs w:val="16"/>
              </w:rPr>
              <w:t>Respirabilná frakcia v tých členských štátoch</w:t>
            </w:r>
            <w:r w:rsidR="007C5AD5" w:rsidRPr="00E85CA6">
              <w:rPr>
                <w:rFonts w:ascii="inherit" w:hAnsi="inherit"/>
                <w:sz w:val="16"/>
                <w:szCs w:val="16"/>
              </w:rPr>
              <w:t>, ktoré k dátumu nadobudnutia účinnosti tejto smernice vykonávajú biomonitorovací systém s biologickou limitnou hodnotou nepresahujúcou 0,002 mg Cd/g kreatinínu v moči.</w:t>
            </w:r>
          </w:p>
          <w:p w:rsidR="00C266FD" w:rsidRPr="00E85CA6" w:rsidRDefault="00C266FD" w:rsidP="007C5AD5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E85CA6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7C5AD5" w:rsidRPr="00E85CA6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13</w:t>
            </w:r>
            <w:r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7C5AD5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Látka môže spôsobiť senzibilizáciu kože a dýchacích ciest</w:t>
            </w:r>
            <w:r w:rsidR="00C266FD" w:rsidRPr="00E85CA6">
              <w:rPr>
                <w:rFonts w:ascii="inherit" w:hAnsi="inherit"/>
                <w:sz w:val="16"/>
                <w:szCs w:val="16"/>
              </w:rPr>
              <w:t>.</w:t>
            </w:r>
          </w:p>
          <w:p w:rsidR="00F1449A" w:rsidRPr="00E85CA6" w:rsidRDefault="00F1449A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</w:p>
          <w:p w:rsidR="00F1449A" w:rsidRPr="00E85CA6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E85CA6">
              <w:rPr>
                <w:rFonts w:ascii="inherit" w:hAnsi="inherit"/>
                <w:sz w:val="16"/>
                <w:szCs w:val="16"/>
              </w:rPr>
              <w:t>(</w:t>
            </w:r>
            <w:r w:rsidR="007C5AD5" w:rsidRPr="00E85CA6">
              <w:rPr>
                <w:rFonts w:ascii="inherit" w:hAnsi="inherit"/>
                <w:sz w:val="16"/>
                <w:szCs w:val="16"/>
                <w:vertAlign w:val="superscript"/>
              </w:rPr>
              <w:t>14</w:t>
            </w:r>
            <w:r w:rsidRPr="00E85CA6">
              <w:rPr>
                <w:rFonts w:ascii="inherit" w:hAnsi="inherit"/>
                <w:sz w:val="16"/>
                <w:szCs w:val="16"/>
              </w:rPr>
              <w:t>)</w:t>
            </w:r>
            <w:r w:rsidR="00F1449A" w:rsidRPr="00E85CA6">
              <w:rPr>
                <w:rFonts w:ascii="inherit" w:hAnsi="inherit"/>
                <w:sz w:val="16"/>
                <w:szCs w:val="16"/>
              </w:rPr>
              <w:t xml:space="preserve"> </w:t>
            </w:r>
            <w:r w:rsidR="007C5AD5" w:rsidRPr="00E85CA6">
              <w:rPr>
                <w:rFonts w:ascii="inherit" w:hAnsi="inherit"/>
                <w:sz w:val="16"/>
                <w:szCs w:val="16"/>
                <w:lang w:val="en-US" w:eastAsia="en-US"/>
              </w:rPr>
              <w:t>Látka môže spôsobiť senzibilizáciu kože</w:t>
            </w:r>
            <w:r w:rsidR="00F1449A" w:rsidRPr="00E85CA6">
              <w:rPr>
                <w:rFonts w:ascii="inherit" w:hAnsi="inherit"/>
                <w:sz w:val="16"/>
                <w:szCs w:val="16"/>
              </w:rPr>
              <w:t>.</w:t>
            </w:r>
          </w:p>
          <w:p w:rsidR="00C266FD" w:rsidRPr="00E85CA6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FB7E9E" w:rsidRPr="00E85CA6" w:rsidRDefault="00FB7E9E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E85CA6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E85CA6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938" w:type="dxa"/>
            <w:gridSpan w:val="10"/>
          </w:tcPr>
          <w:p w:rsidR="005659F8" w:rsidRPr="00E85CA6" w:rsidRDefault="005659F8" w:rsidP="00D81B17">
            <w:pPr>
              <w:pStyle w:val="Zkladntext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FC63FA" w:rsidRDefault="00FC63FA" w:rsidP="00FC63FA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EINECS číslo</w:t>
            </w:r>
          </w:p>
          <w:p w:rsidR="00FC63FA" w:rsidRPr="00AC4FCD" w:rsidRDefault="00FC63FA" w:rsidP="00FC63FA">
            <w:pPr>
              <w:pStyle w:val="Zkladntext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Číslo priradené chemickej látke, ktorá sa nachádza v Európskom zozname existujúcich komerčných chemických látok. </w:t>
            </w:r>
            <w:r w:rsidRPr="00AC4FCD">
              <w:rPr>
                <w:sz w:val="16"/>
                <w:szCs w:val="16"/>
                <w:lang w:val="fr-FR" w:eastAsia="en-US"/>
              </w:rPr>
              <w:t>Číslo EC, t. j. EINECS, ELINCS alebo NLP je oficiálnym číslom látky používaným v Európskej únii, podľa vymedzenia v časti 1 oddiele 1.1.1.2. prílohy VI nariadenia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</w:t>
            </w:r>
          </w:p>
          <w:p w:rsidR="00FC63FA" w:rsidRPr="00AC4FCD" w:rsidRDefault="00FC63FA" w:rsidP="00FC63FA">
            <w:pPr>
              <w:pStyle w:val="Zkladntext"/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rPr>
                <w:b/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AC4FCD">
              <w:rPr>
                <w:b/>
                <w:bCs/>
                <w:sz w:val="16"/>
                <w:szCs w:val="16"/>
              </w:rPr>
              <w:t>)</w:t>
            </w:r>
            <w:r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b/>
                <w:sz w:val="16"/>
                <w:szCs w:val="16"/>
              </w:rPr>
              <w:t xml:space="preserve">CAS číslo </w:t>
            </w:r>
          </w:p>
          <w:p w:rsidR="00FC63FA" w:rsidRPr="00AC4FCD" w:rsidRDefault="00FC63FA" w:rsidP="00FC63FA">
            <w:pPr>
              <w:pStyle w:val="Zkladntext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 Medzinárodne ustanovené číslo priradené danej chemickej látke na účely jej presnej identifikácie za predpokladu, že údaje boli publikované v odbornej literatúre.</w:t>
            </w:r>
          </w:p>
          <w:p w:rsidR="00FC63FA" w:rsidRPr="00AC4FCD" w:rsidRDefault="00FC63FA" w:rsidP="00FC63FA">
            <w:pPr>
              <w:pStyle w:val="Zkladntext"/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AC4FCD">
              <w:rPr>
                <w:b/>
                <w:bCs/>
                <w:sz w:val="16"/>
                <w:szCs w:val="16"/>
              </w:rPr>
              <w:t>)</w:t>
            </w:r>
            <w:r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b/>
                <w:sz w:val="16"/>
                <w:szCs w:val="16"/>
              </w:rPr>
              <w:t xml:space="preserve">Technická smerná hodnota (TSH) 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Ustanovuje sa len pre karcinogény a mutagény zaradené do kategórie 1A a kategórie 1B, pre ktoré nemôžu byť v súčasnosti ustanovené najvyššie prípustné expozičné limity vzhľadom na ich predpokladané bezprahové účinky. Sú to minimálne hodnoty zistiteľné v pracovnom ovzduší dostupnými analytickými metódami a  možno ich dodržať technickými opatreniami. Pri väčšine  karcinogénov v súčasnosti nie je možné vedecky určiť úrovne, pod ktorými by expozícia neviedla k nepriaznivým následkom na zdravie. Ustanovením technickej smernej hodnoty sa reziduálne riziká úplne neodstránia, ale ich ustanovenie prispeje k výraznému zníženiu rizika vyplývajúceho z tejto expozície. Dodržiavaním technických smerných hodnôt sa znižuje pravdepodobnosť škodlivých účinkov na zdravie, ale nemožno ich úplne vylúčiť. Sú základom pre preventívne a ochranné opatrenia.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TSH znamenajú časovo vážený priemer koncentrácie plynov, pár a aerosólov vrátane minerálnych vlákien za 8-hodinovú zmenu a 40-hodinový pracovný týždeň.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Na obmedzenie nadmernej expozície pri kolísaní hodnôt nad priemernú TSH  platia tieto pravidlá:</w:t>
            </w:r>
          </w:p>
          <w:p w:rsidR="00FC63FA" w:rsidRPr="00AC4FCD" w:rsidRDefault="00FC63FA" w:rsidP="00FC63FA">
            <w:pPr>
              <w:pStyle w:val="Zkladntext"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krátkodobá hodnota expozície maximálne    5 x TSH,</w:t>
            </w:r>
          </w:p>
          <w:p w:rsidR="00FC63FA" w:rsidRPr="00AC4FCD" w:rsidRDefault="00FC63FA" w:rsidP="00FC63FA">
            <w:pPr>
              <w:pStyle w:val="Zkladntext"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krátkodobé trvanie expozície                        15 minút,</w:t>
            </w:r>
          </w:p>
          <w:p w:rsidR="00FC63FA" w:rsidRPr="00AC4FCD" w:rsidRDefault="00FC63FA" w:rsidP="00FC63FA">
            <w:pPr>
              <w:pStyle w:val="Zkladntext"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frekvencia za zmenu                                      5 x,</w:t>
            </w:r>
          </w:p>
          <w:p w:rsidR="00FC63FA" w:rsidRPr="00AC4FCD" w:rsidRDefault="00FC63FA" w:rsidP="00FC63FA">
            <w:pPr>
              <w:pStyle w:val="Zkladntext"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interval medzi expozíciou                             1 hodina. 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V týchto prípadoch musí byť vždy dodržaná priemerná TSH za 8-hodinovú zmenu.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Vyjadrujú sa v:</w:t>
            </w:r>
          </w:p>
          <w:p w:rsidR="00FC63FA" w:rsidRPr="00AC4FCD" w:rsidRDefault="00FC63FA" w:rsidP="00FC63FA">
            <w:pPr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AC4FCD">
              <w:rPr>
                <w:b/>
                <w:bCs/>
                <w:sz w:val="16"/>
                <w:szCs w:val="16"/>
              </w:rPr>
              <w:t>)</w:t>
            </w:r>
            <w:r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b/>
                <w:sz w:val="16"/>
                <w:szCs w:val="16"/>
              </w:rPr>
              <w:t>ppm</w:t>
            </w:r>
            <w:r w:rsidRPr="00AC4FCD">
              <w:rPr>
                <w:sz w:val="16"/>
                <w:szCs w:val="16"/>
              </w:rPr>
              <w:t xml:space="preserve">        -  počet objemových častí chemickej látky na milión objemových častí vzduchu </w:t>
            </w:r>
          </w:p>
          <w:p w:rsidR="00FC63FA" w:rsidRPr="00AC4FCD" w:rsidRDefault="00FC63FA" w:rsidP="00FC63FA">
            <w:pPr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                     (ml · m</w:t>
            </w:r>
            <w:r w:rsidRPr="00AC4FCD">
              <w:rPr>
                <w:sz w:val="16"/>
                <w:szCs w:val="16"/>
                <w:vertAlign w:val="superscript"/>
              </w:rPr>
              <w:t>-3</w:t>
            </w:r>
            <w:r w:rsidRPr="00AC4FCD">
              <w:rPr>
                <w:sz w:val="16"/>
                <w:szCs w:val="16"/>
              </w:rPr>
              <w:t>),</w:t>
            </w:r>
          </w:p>
          <w:p w:rsidR="00FC63FA" w:rsidRPr="00AC4FCD" w:rsidRDefault="00FC63FA" w:rsidP="00FC63FA">
            <w:pPr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AC4FCD">
              <w:rPr>
                <w:b/>
                <w:bCs/>
                <w:sz w:val="16"/>
                <w:szCs w:val="16"/>
              </w:rPr>
              <w:t xml:space="preserve">) </w:t>
            </w:r>
            <w:r w:rsidRPr="00AC4FCD">
              <w:rPr>
                <w:b/>
                <w:sz w:val="16"/>
                <w:szCs w:val="16"/>
              </w:rPr>
              <w:t xml:space="preserve">mg </w:t>
            </w:r>
            <w:r w:rsidRPr="00AC4FCD">
              <w:rPr>
                <w:sz w:val="16"/>
                <w:szCs w:val="16"/>
              </w:rPr>
              <w:t xml:space="preserve">· </w:t>
            </w:r>
            <w:r w:rsidRPr="00AC4FCD">
              <w:rPr>
                <w:b/>
                <w:sz w:val="16"/>
                <w:szCs w:val="16"/>
              </w:rPr>
              <w:t>m</w:t>
            </w:r>
            <w:r w:rsidRPr="00AC4FCD">
              <w:rPr>
                <w:b/>
                <w:sz w:val="16"/>
                <w:szCs w:val="16"/>
                <w:vertAlign w:val="superscript"/>
              </w:rPr>
              <w:t>-3</w:t>
            </w:r>
            <w:r w:rsidRPr="00AC4FCD">
              <w:rPr>
                <w:sz w:val="16"/>
                <w:szCs w:val="16"/>
                <w:vertAlign w:val="superscript"/>
              </w:rPr>
              <w:t xml:space="preserve"> </w:t>
            </w:r>
            <w:r w:rsidRPr="00AC4FCD">
              <w:rPr>
                <w:sz w:val="16"/>
                <w:szCs w:val="16"/>
              </w:rPr>
              <w:t>-  miligramy na meter kubický vzduchu pri teplote 20</w:t>
            </w:r>
            <w:r w:rsidRPr="00AC4FCD">
              <w:rPr>
                <w:sz w:val="16"/>
                <w:szCs w:val="16"/>
                <w:vertAlign w:val="superscript"/>
              </w:rPr>
              <w:t>o</w:t>
            </w:r>
            <w:r w:rsidRPr="00AC4FCD">
              <w:rPr>
                <w:sz w:val="16"/>
                <w:szCs w:val="16"/>
              </w:rPr>
              <w:t>C a tlaku 101,3 kPa.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6</w:t>
            </w:r>
            <w:r w:rsidRPr="00AC4FCD">
              <w:rPr>
                <w:b/>
                <w:bCs/>
                <w:sz w:val="16"/>
                <w:szCs w:val="16"/>
              </w:rPr>
              <w:t>) Kategórie karcinogénov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kategória 1A - dokázaný karcinogén pre ľudí,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kategória 1B - pravdepodobný karcinogén,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kategória 2   - podozrivý karcinogén.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  <w:tab w:val="left" w:pos="1134"/>
              </w:tabs>
              <w:rPr>
                <w:b/>
                <w:bCs/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7</w:t>
            </w:r>
            <w:r w:rsidRPr="00AC4FCD">
              <w:rPr>
                <w:b/>
                <w:bCs/>
                <w:sz w:val="16"/>
                <w:szCs w:val="16"/>
              </w:rPr>
              <w:t>) Kategórie mutagénov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kategória 1A - mutagén ľudských zárodočných buniek,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 xml:space="preserve">kategória 1B - mutagén cicavčích zárodočných buniek, 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</w:rPr>
              <w:t>kategória 2    - podozrivý mutagén.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Pr="00AC4FCD">
              <w:rPr>
                <w:b/>
                <w:bCs/>
                <w:sz w:val="16"/>
                <w:szCs w:val="16"/>
              </w:rPr>
              <w:t>) K - prienik cez kožu:</w:t>
            </w:r>
            <w:r w:rsidRPr="00AC4FCD">
              <w:rPr>
                <w:sz w:val="16"/>
                <w:szCs w:val="16"/>
              </w:rPr>
              <w:t xml:space="preserve"> K celkovému zaťaženiu organizmu môže významne prispieť expozícia cez kožu.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9</w:t>
            </w:r>
            <w:r w:rsidRPr="00AC4FCD">
              <w:rPr>
                <w:b/>
                <w:bCs/>
                <w:sz w:val="16"/>
                <w:szCs w:val="16"/>
              </w:rPr>
              <w:t>) S - senzibilizujúce účinky</w:t>
            </w:r>
            <w:r w:rsidRPr="00AC4FCD">
              <w:rPr>
                <w:sz w:val="16"/>
                <w:szCs w:val="16"/>
              </w:rPr>
      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      </w:r>
          </w:p>
          <w:p w:rsidR="00FC63FA" w:rsidRPr="00AC4FCD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suppressAutoHyphens w:val="0"/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10</w:t>
            </w:r>
            <w:r w:rsidRPr="00AC4FCD">
              <w:rPr>
                <w:b/>
                <w:bCs/>
                <w:sz w:val="16"/>
                <w:szCs w:val="16"/>
              </w:rPr>
              <w:t>) TSH pre arzén a jeho anorganické zlúčeniny a pre kyselinu arzeničnú a jej soli</w:t>
            </w:r>
            <w:r w:rsidRPr="00AC4FCD">
              <w:rPr>
                <w:bCs/>
                <w:sz w:val="16"/>
                <w:szCs w:val="16"/>
              </w:rPr>
              <w:t xml:space="preserve"> </w:t>
            </w:r>
            <w:r w:rsidRPr="00AC4FCD">
              <w:rPr>
                <w:b/>
                <w:sz w:val="16"/>
                <w:szCs w:val="16"/>
              </w:rPr>
              <w:t>(č. 3)</w:t>
            </w:r>
            <w:r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bCs/>
                <w:sz w:val="16"/>
                <w:szCs w:val="16"/>
              </w:rPr>
              <w:t xml:space="preserve"> sa pri tavení medi uplatňuje </w:t>
            </w:r>
            <w:r w:rsidRPr="00AC4FCD">
              <w:rPr>
                <w:sz w:val="16"/>
                <w:szCs w:val="16"/>
              </w:rPr>
              <w:t>od 11. júla 2023.</w:t>
            </w:r>
          </w:p>
          <w:p w:rsidR="00FC63FA" w:rsidRPr="00AC4FCD" w:rsidRDefault="00FC63FA" w:rsidP="00FC63FA">
            <w:pPr>
              <w:pStyle w:val="Zkladntext"/>
              <w:suppressAutoHyphens w:val="0"/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suppressAutoHyphens w:val="0"/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11</w:t>
            </w:r>
            <w:r w:rsidRPr="00AC4FCD">
              <w:rPr>
                <w:b/>
                <w:bCs/>
                <w:sz w:val="16"/>
                <w:szCs w:val="16"/>
              </w:rPr>
              <w:t>) I</w:t>
            </w:r>
            <w:r w:rsidRPr="00AC4FCD">
              <w:rPr>
                <w:b/>
                <w:sz w:val="16"/>
                <w:szCs w:val="16"/>
              </w:rPr>
              <w:t>nhalovateľná frakcia</w:t>
            </w:r>
            <w:r w:rsidRPr="00AC4FCD">
              <w:rPr>
                <w:sz w:val="16"/>
                <w:szCs w:val="16"/>
              </w:rPr>
              <w:t xml:space="preserve"> aerosólu znamená, že expozícia je meraná ako inhalovateľná zložka aerosólu (celková koncentrácia), ktorá môže byť vdýchnutá do dýchacích ciest a pre ktorú je ustanovená technická smerná hodnota.</w:t>
            </w:r>
          </w:p>
          <w:p w:rsidR="00FC63FA" w:rsidRPr="00AC4FCD" w:rsidRDefault="00FC63FA" w:rsidP="00FC63FA">
            <w:pPr>
              <w:rPr>
                <w:bCs/>
                <w:sz w:val="16"/>
                <w:szCs w:val="16"/>
              </w:rPr>
            </w:pPr>
            <w:r w:rsidRPr="00AC4FCD">
              <w:rPr>
                <w:b/>
                <w:sz w:val="16"/>
                <w:szCs w:val="16"/>
                <w:vertAlign w:val="superscript"/>
              </w:rPr>
              <w:t>12</w:t>
            </w:r>
            <w:r w:rsidRPr="00AC4FCD">
              <w:rPr>
                <w:b/>
                <w:sz w:val="16"/>
                <w:szCs w:val="16"/>
              </w:rPr>
              <w:t>)</w:t>
            </w:r>
            <w:r w:rsidRPr="00AC4FCD">
              <w:rPr>
                <w:b/>
                <w:bCs/>
                <w:sz w:val="16"/>
                <w:szCs w:val="16"/>
              </w:rPr>
              <w:t xml:space="preserve"> Auramín a jeho soli</w:t>
            </w:r>
            <w:r w:rsidRPr="00AC4FCD">
              <w:rPr>
                <w:bCs/>
                <w:sz w:val="16"/>
                <w:szCs w:val="16"/>
              </w:rPr>
              <w:t xml:space="preserve"> sú zaradené </w:t>
            </w:r>
            <w:r w:rsidRPr="00AC4FCD">
              <w:rPr>
                <w:b/>
                <w:bCs/>
                <w:sz w:val="16"/>
                <w:szCs w:val="16"/>
              </w:rPr>
              <w:t xml:space="preserve"> </w:t>
            </w:r>
            <w:r w:rsidRPr="00AC4FCD">
              <w:rPr>
                <w:bCs/>
                <w:sz w:val="16"/>
                <w:szCs w:val="16"/>
              </w:rPr>
              <w:t>podľa § 2 písm. a) druhého bodu medzi látky, zmesi a pracovné procesy s rizikom chemickej karcinogenity uvedené v prílohe č. 1.</w:t>
            </w:r>
          </w:p>
          <w:p w:rsidR="00FC63FA" w:rsidRPr="00AC4FCD" w:rsidRDefault="00FC63FA" w:rsidP="00FC63FA">
            <w:pPr>
              <w:rPr>
                <w:sz w:val="16"/>
                <w:szCs w:val="16"/>
              </w:rPr>
            </w:pPr>
            <w:r w:rsidRPr="00AC4FCD">
              <w:rPr>
                <w:b/>
                <w:bCs/>
                <w:sz w:val="16"/>
                <w:szCs w:val="16"/>
                <w:vertAlign w:val="superscript"/>
              </w:rPr>
              <w:t>13</w:t>
            </w:r>
            <w:r w:rsidRPr="00AC4FCD">
              <w:rPr>
                <w:b/>
                <w:bCs/>
                <w:sz w:val="16"/>
                <w:szCs w:val="16"/>
              </w:rPr>
              <w:t>)</w:t>
            </w:r>
            <w:r w:rsidRPr="00AC4FCD">
              <w:rPr>
                <w:sz w:val="16"/>
                <w:szCs w:val="16"/>
              </w:rPr>
              <w:t xml:space="preserve"> </w:t>
            </w:r>
            <w:r w:rsidRPr="00AC4FCD">
              <w:rPr>
                <w:b/>
                <w:sz w:val="16"/>
                <w:szCs w:val="16"/>
              </w:rPr>
              <w:t xml:space="preserve">vl </w:t>
            </w:r>
            <w:r w:rsidRPr="00AC4FCD">
              <w:rPr>
                <w:sz w:val="16"/>
                <w:szCs w:val="16"/>
              </w:rPr>
              <w:t xml:space="preserve">· </w:t>
            </w:r>
            <w:r w:rsidRPr="00AC4FCD">
              <w:rPr>
                <w:b/>
                <w:sz w:val="16"/>
                <w:szCs w:val="16"/>
              </w:rPr>
              <w:t>cm</w:t>
            </w:r>
            <w:r w:rsidRPr="00AC4FCD">
              <w:rPr>
                <w:b/>
                <w:sz w:val="16"/>
                <w:szCs w:val="16"/>
                <w:vertAlign w:val="superscript"/>
              </w:rPr>
              <w:t>–3</w:t>
            </w:r>
            <w:r w:rsidRPr="00AC4FCD">
              <w:rPr>
                <w:sz w:val="16"/>
                <w:szCs w:val="16"/>
                <w:vertAlign w:val="superscript"/>
              </w:rPr>
              <w:t xml:space="preserve">   </w:t>
            </w:r>
            <w:r w:rsidRPr="00AC4FCD">
              <w:rPr>
                <w:b/>
                <w:sz w:val="16"/>
                <w:szCs w:val="16"/>
              </w:rPr>
              <w:t xml:space="preserve">- </w:t>
            </w:r>
            <w:r w:rsidRPr="00AC4FCD">
              <w:rPr>
                <w:sz w:val="16"/>
                <w:szCs w:val="16"/>
              </w:rPr>
              <w:t xml:space="preserve"> vlákno na centimeter kubický vzduchu,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  <w:vertAlign w:val="superscript"/>
              </w:rPr>
            </w:pPr>
            <w:r w:rsidRPr="00AC4FCD">
              <w:rPr>
                <w:sz w:val="16"/>
                <w:szCs w:val="16"/>
              </w:rPr>
              <w:t xml:space="preserve">    vl · cm</w:t>
            </w:r>
            <w:r w:rsidRPr="00AC4FCD">
              <w:rPr>
                <w:sz w:val="16"/>
                <w:szCs w:val="16"/>
                <w:vertAlign w:val="superscript"/>
              </w:rPr>
              <w:t xml:space="preserve">–3  </w:t>
            </w:r>
            <w:r w:rsidRPr="00AC4FCD">
              <w:rPr>
                <w:sz w:val="16"/>
                <w:szCs w:val="16"/>
              </w:rPr>
              <w:t>=</w:t>
            </w:r>
            <w:r w:rsidRPr="00AC4FCD">
              <w:rPr>
                <w:sz w:val="16"/>
                <w:szCs w:val="16"/>
                <w:vertAlign w:val="superscript"/>
              </w:rPr>
              <w:t xml:space="preserve">  </w:t>
            </w:r>
            <w:r w:rsidRPr="00AC4FCD">
              <w:rPr>
                <w:sz w:val="16"/>
                <w:szCs w:val="16"/>
              </w:rPr>
              <w:t>vl · ml,</w:t>
            </w:r>
            <w:r w:rsidRPr="00AC4FCD">
              <w:rPr>
                <w:sz w:val="16"/>
                <w:szCs w:val="16"/>
                <w:vertAlign w:val="superscript"/>
              </w:rPr>
              <w:t xml:space="preserve">   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b/>
                <w:sz w:val="16"/>
                <w:szCs w:val="16"/>
              </w:rPr>
              <w:t xml:space="preserve">    </w:t>
            </w:r>
            <w:r w:rsidRPr="00AC4FCD">
              <w:rPr>
                <w:sz w:val="16"/>
                <w:szCs w:val="16"/>
              </w:rPr>
              <w:t>vl · ml</w:t>
            </w:r>
            <w:r w:rsidRPr="00AC4FCD">
              <w:rPr>
                <w:sz w:val="16"/>
                <w:szCs w:val="16"/>
                <w:vertAlign w:val="superscript"/>
              </w:rPr>
              <w:t xml:space="preserve">   </w:t>
            </w:r>
            <w:r w:rsidRPr="00AC4FCD">
              <w:rPr>
                <w:b/>
                <w:sz w:val="16"/>
                <w:szCs w:val="16"/>
              </w:rPr>
              <w:t xml:space="preserve">- </w:t>
            </w:r>
            <w:r w:rsidRPr="00AC4FCD">
              <w:rPr>
                <w:sz w:val="16"/>
                <w:szCs w:val="16"/>
              </w:rPr>
              <w:t xml:space="preserve"> vlákno na mililiter.</w:t>
            </w:r>
          </w:p>
          <w:p w:rsidR="00FC63FA" w:rsidRPr="00AC4FCD" w:rsidRDefault="00FC63FA" w:rsidP="00FC63FA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 w:rsidRPr="00AC4FCD">
              <w:rPr>
                <w:sz w:val="16"/>
                <w:szCs w:val="16"/>
                <w:vertAlign w:val="superscript"/>
              </w:rPr>
              <w:t>14</w:t>
            </w:r>
            <w:r w:rsidRPr="00AC4FCD">
              <w:rPr>
                <w:sz w:val="16"/>
                <w:szCs w:val="16"/>
              </w:rPr>
              <w:t xml:space="preserve">) </w:t>
            </w:r>
            <w:r w:rsidRPr="00AC4FCD">
              <w:rPr>
                <w:b/>
                <w:sz w:val="16"/>
                <w:szCs w:val="16"/>
              </w:rPr>
              <w:t>TSH pre berýlium a jeho anorganické zlúčeniny (č. 9)</w:t>
            </w:r>
            <w:r w:rsidRPr="00AC4FCD">
              <w:rPr>
                <w:sz w:val="16"/>
                <w:szCs w:val="16"/>
              </w:rPr>
              <w:t xml:space="preserve">  má prechodné obdobie do 11. júla 2026.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  <w:vertAlign w:val="superscript"/>
              </w:rPr>
              <w:t>15</w:t>
            </w:r>
            <w:r w:rsidRPr="00AC4FCD">
              <w:rPr>
                <w:sz w:val="16"/>
                <w:szCs w:val="16"/>
              </w:rPr>
              <w:t>) Látka môže spôsobiť senzibilizáciu kože a dýchacích ciest.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FC63FA" w:rsidRPr="00AC4FCD" w:rsidRDefault="00FC63FA" w:rsidP="00FC63FA">
            <w:pPr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  <w:vertAlign w:val="superscript"/>
              </w:rPr>
              <w:t>16</w:t>
            </w:r>
            <w:r w:rsidRPr="00AC4FCD">
              <w:rPr>
                <w:sz w:val="16"/>
                <w:szCs w:val="16"/>
              </w:rPr>
              <w:t>) Látka môže spôsobiť senzibilizáciu kože.</w:t>
            </w:r>
          </w:p>
          <w:p w:rsidR="00FC63FA" w:rsidRPr="00AC4FCD" w:rsidRDefault="00FC63FA" w:rsidP="00FC63FA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AC4FCD">
              <w:rPr>
                <w:sz w:val="16"/>
                <w:szCs w:val="16"/>
                <w:vertAlign w:val="superscript"/>
              </w:rPr>
              <w:t>17</w:t>
            </w:r>
            <w:r w:rsidRPr="00AC4FCD">
              <w:rPr>
                <w:sz w:val="16"/>
                <w:szCs w:val="16"/>
              </w:rPr>
              <w:t xml:space="preserve">) </w:t>
            </w:r>
            <w:r w:rsidRPr="00AC4FCD">
              <w:rPr>
                <w:b/>
                <w:sz w:val="16"/>
                <w:szCs w:val="16"/>
              </w:rPr>
              <w:t>TSH krátkodobej expozície</w:t>
            </w:r>
            <w:r w:rsidRPr="00AC4FCD">
              <w:rPr>
                <w:sz w:val="16"/>
                <w:szCs w:val="16"/>
              </w:rPr>
              <w:t>, kto</w:t>
            </w:r>
            <w:r>
              <w:rPr>
                <w:sz w:val="16"/>
                <w:szCs w:val="16"/>
              </w:rPr>
              <w:t xml:space="preserve">rá nemá byť prekročená a ktorá sa vzťahuje na 15-minútový referenčný čas, ak nie je stanovené inak. </w:t>
            </w:r>
          </w:p>
          <w:p w:rsidR="00FC63FA" w:rsidRDefault="00FC63FA" w:rsidP="00FC63FA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TSH pre zlúčeniny šesťmocného chrómu (č. 27)</w:t>
            </w:r>
            <w:r>
              <w:rPr>
                <w:sz w:val="16"/>
                <w:szCs w:val="16"/>
              </w:rPr>
              <w:t xml:space="preserve">  má prechodné obdobie do 17. januára 2025.</w:t>
            </w:r>
          </w:p>
          <w:p w:rsidR="00FC63FA" w:rsidRDefault="00FC63FA" w:rsidP="00FC63F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19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TSH pre zlúčeniny šesťmocného chrómu (č. 27), ktoré vznikajú pri zváraní alebo rezaní plazmou</w:t>
            </w:r>
            <w:r>
              <w:rPr>
                <w:sz w:val="16"/>
                <w:szCs w:val="16"/>
              </w:rPr>
              <w:t xml:space="preserve"> alebo pri  obdobných pracovných procesoch, pri ktorých vznikajú výpary,  má prechodné obdobie  do 17. januára 2025.</w:t>
            </w:r>
          </w:p>
          <w:p w:rsidR="00FC63FA" w:rsidRDefault="00FC63FA" w:rsidP="00FC63FA">
            <w:pPr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TSH pre k</w:t>
            </w:r>
            <w:r>
              <w:rPr>
                <w:b/>
                <w:sz w:val="16"/>
                <w:szCs w:val="16"/>
              </w:rPr>
              <w:t xml:space="preserve">admium a jeho anorganické zlúčeniny (č. 28) </w:t>
            </w:r>
            <w:r>
              <w:rPr>
                <w:sz w:val="16"/>
                <w:szCs w:val="16"/>
              </w:rPr>
              <w:t>má prechodné obdobie do 11. júla 2027, ktoré sa  uplatní v prípade, ak sa vykonáva aj biologické monitorovanie expozície kadmiu, pri ktorom  sa sleduje koncentrácia kadmia v moči, pričom nepresiahne biologickú medznú hodnotu 0,002 mg kadmia · g</w:t>
            </w:r>
            <w:r>
              <w:rPr>
                <w:sz w:val="16"/>
                <w:szCs w:val="16"/>
                <w:vertAlign w:val="superscript"/>
              </w:rPr>
              <w:t xml:space="preserve">-1 </w:t>
            </w:r>
            <w:r>
              <w:rPr>
                <w:sz w:val="16"/>
                <w:szCs w:val="16"/>
              </w:rPr>
              <w:t>kreatinínu v moči (príloha č. 2 k nariadeniu vlády  Slovenskej republiky č. 355/2006 Z. z. o ochrane zamestnancov pred rizikami súvisiacimi s expozíciou chemickým faktorom pri práci v znení neskorších predpisov).</w:t>
            </w:r>
          </w:p>
          <w:p w:rsidR="00FC63FA" w:rsidRDefault="00FC63FA" w:rsidP="00FC63FA">
            <w:pPr>
              <w:pStyle w:val="Zkladntext"/>
              <w:suppressAutoHyphens w:val="0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FC63FA" w:rsidRDefault="00FC63FA" w:rsidP="00FC63FA">
            <w:pPr>
              <w:pStyle w:val="Zkladntext"/>
              <w:suppressAutoHyphens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21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espirabilná frakcia</w:t>
            </w:r>
            <w:r>
              <w:rPr>
                <w:sz w:val="16"/>
                <w:szCs w:val="16"/>
              </w:rPr>
              <w:t xml:space="preserve"> aerosólu znamená, že expozícia je meraná ako respirabilná zložka aerosólu, ktorá môže preniknúť až do pľúcnych alveol a pre ktorú je ustanovená technická smerná hodnota.</w:t>
            </w:r>
          </w:p>
          <w:p w:rsidR="00FC63FA" w:rsidRDefault="00FC63FA" w:rsidP="00FC63FA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22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TSH pre prach z tvrdého dreva (č. 35)</w:t>
            </w:r>
            <w:r>
              <w:rPr>
                <w:sz w:val="16"/>
                <w:szCs w:val="16"/>
              </w:rPr>
              <w:t xml:space="preserve">  má prechodné obdobie do 17. januára 2023.</w:t>
            </w:r>
          </w:p>
          <w:p w:rsidR="00FC63FA" w:rsidRDefault="00FC63FA" w:rsidP="00FC63FA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23</w:t>
            </w:r>
            <w:r>
              <w:rPr>
                <w:b/>
                <w:bCs/>
                <w:sz w:val="16"/>
                <w:szCs w:val="16"/>
              </w:rPr>
              <w:t>) Us</w:t>
            </w:r>
            <w:r>
              <w:rPr>
                <w:b/>
                <w:sz w:val="16"/>
                <w:szCs w:val="16"/>
              </w:rPr>
              <w:t>tanovuje sa ako inhalovateľná frakcia:</w:t>
            </w:r>
            <w:r>
              <w:rPr>
                <w:sz w:val="16"/>
                <w:szCs w:val="16"/>
              </w:rPr>
              <w:t xml:space="preserve"> ak sa prach z tvrdého dreva zmieša s iným drevným prachom (mäkké drevo), pre všetky druhy prachu z dreva, ktoré sú prítomné v zmesi, sa uplatňuje technická smerná hodnota pre prach z tvrdého dreva.</w:t>
            </w: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TSH pre výfukové emisie zo vznetových naftových motorov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(č. 39)</w:t>
            </w:r>
            <w:r>
              <w:rPr>
                <w:sz w:val="16"/>
                <w:szCs w:val="16"/>
              </w:rPr>
              <w:t xml:space="preserve"> sa uplatňuje od 21. februára 2023. V prípade podzemnej ťažby a výstavby tunelov sa TSH uplatňuje od 21. februára 2026.</w:t>
            </w: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rFonts w:ascii="inherit" w:hAnsi="inherit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25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rFonts w:ascii="inherit" w:hAnsi="inherit"/>
                <w:sz w:val="16"/>
                <w:szCs w:val="16"/>
              </w:rPr>
              <w:t>Výfukové emisie zo vznetových naftových motorov a minerálne oleje, ktoré boli predtým použité v motoroch s vnútorným spaľovaním na mazanie a chladenie pohyblivých častí vo vnútri motora nepodliehajú klasifikácii  v súlade s nariadením (ES) č. 1272/2008 v platnom znení.</w:t>
            </w:r>
            <w:r>
              <w:rPr>
                <w:rFonts w:ascii="inherit" w:hAnsi="inherit"/>
                <w:b/>
                <w:bCs/>
                <w:sz w:val="16"/>
                <w:szCs w:val="16"/>
              </w:rPr>
              <w:t xml:space="preserve">     </w:t>
            </w: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  <w:r>
              <w:rPr>
                <w:sz w:val="16"/>
                <w:szCs w:val="16"/>
              </w:rPr>
              <w:t>) Merané ako elementárny uhlík.</w:t>
            </w: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C63FA" w:rsidRDefault="00FC63FA" w:rsidP="00FC63FA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27</w:t>
            </w:r>
            <w:r>
              <w:rPr>
                <w:sz w:val="16"/>
                <w:szCs w:val="16"/>
              </w:rPr>
              <w:t xml:space="preserve">)Biologická medzná hodnota pre </w:t>
            </w:r>
            <w:r>
              <w:rPr>
                <w:b/>
                <w:sz w:val="16"/>
                <w:szCs w:val="16"/>
              </w:rPr>
              <w:t>biologické monitorovanie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expozície</w:t>
            </w:r>
            <w:r>
              <w:rPr>
                <w:sz w:val="16"/>
                <w:szCs w:val="16"/>
              </w:rPr>
              <w:t xml:space="preserve"> je uvedená v prílohe č. 2 k nariadeniu vlády  Slovenskej republiky č. 355/2006 Z. z. o ochrane zamestnancov pred rizikami súvisiacimi s expozíciou chemickým faktorom pri práci v znení neskorších predpisov.</w:t>
            </w:r>
          </w:p>
          <w:p w:rsidR="00FB7E9E" w:rsidRPr="0017495E" w:rsidRDefault="00FB7E9E" w:rsidP="00EA468F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</w:tc>
      </w:tr>
    </w:tbl>
    <w:p w:rsidR="00FB7E9E" w:rsidRPr="0017495E" w:rsidRDefault="00FB7E9E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sectPr w:rsidR="00A956F6" w:rsidRPr="0017495E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12" w:rsidRDefault="00F57D12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57D12" w:rsidRDefault="00F57D12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6E" w:rsidRPr="00E3203D" w:rsidRDefault="00084285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FB636E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AC4FCD">
      <w:rPr>
        <w:noProof/>
        <w:sz w:val="20"/>
        <w:szCs w:val="20"/>
      </w:rPr>
      <w:t>3</w:t>
    </w:r>
    <w:r w:rsidRPr="00E3203D">
      <w:rPr>
        <w:sz w:val="20"/>
        <w:szCs w:val="20"/>
      </w:rPr>
      <w:fldChar w:fldCharType="end"/>
    </w:r>
  </w:p>
  <w:p w:rsidR="00FB636E" w:rsidRDefault="00FB636E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12" w:rsidRDefault="00F57D12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57D12" w:rsidRDefault="00F57D12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328469AE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C0D5F46"/>
    <w:multiLevelType w:val="hybridMultilevel"/>
    <w:tmpl w:val="52BA1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FA2DCD"/>
    <w:multiLevelType w:val="hybridMultilevel"/>
    <w:tmpl w:val="B3E28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 w15:restartNumberingAfterBreak="0">
    <w:nsid w:val="422B3566"/>
    <w:multiLevelType w:val="hybridMultilevel"/>
    <w:tmpl w:val="60A286E4"/>
    <w:lvl w:ilvl="0" w:tplc="E07ED0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C4B728D"/>
    <w:multiLevelType w:val="hybridMultilevel"/>
    <w:tmpl w:val="C1C8CB28"/>
    <w:lvl w:ilvl="0" w:tplc="73364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A4159C7"/>
    <w:multiLevelType w:val="hybridMultilevel"/>
    <w:tmpl w:val="572ED4F8"/>
    <w:lvl w:ilvl="0" w:tplc="032C26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6062CC"/>
    <w:multiLevelType w:val="singleLevel"/>
    <w:tmpl w:val="ED36EBD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9"/>
  </w:num>
  <w:num w:numId="38">
    <w:abstractNumId w:val="27"/>
  </w:num>
  <w:num w:numId="39">
    <w:abstractNumId w:val="42"/>
  </w:num>
  <w:num w:numId="40">
    <w:abstractNumId w:val="43"/>
  </w:num>
  <w:num w:numId="41">
    <w:abstractNumId w:val="33"/>
  </w:num>
  <w:num w:numId="42">
    <w:abstractNumId w:val="34"/>
  </w:num>
  <w:num w:numId="43">
    <w:abstractNumId w:val="31"/>
  </w:num>
  <w:num w:numId="44">
    <w:abstractNumId w:val="35"/>
  </w:num>
  <w:num w:numId="45">
    <w:abstractNumId w:val="38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85177"/>
    <w:rsid w:val="000003AA"/>
    <w:rsid w:val="00000E02"/>
    <w:rsid w:val="00001980"/>
    <w:rsid w:val="00004F05"/>
    <w:rsid w:val="00010EC8"/>
    <w:rsid w:val="000125ED"/>
    <w:rsid w:val="00024FAD"/>
    <w:rsid w:val="00025D08"/>
    <w:rsid w:val="000370BD"/>
    <w:rsid w:val="000456FD"/>
    <w:rsid w:val="00046FD8"/>
    <w:rsid w:val="00051C15"/>
    <w:rsid w:val="00057AC4"/>
    <w:rsid w:val="00057AC7"/>
    <w:rsid w:val="00060F83"/>
    <w:rsid w:val="000638EA"/>
    <w:rsid w:val="00070430"/>
    <w:rsid w:val="00070ADE"/>
    <w:rsid w:val="00076507"/>
    <w:rsid w:val="000778FA"/>
    <w:rsid w:val="00080FF9"/>
    <w:rsid w:val="00084285"/>
    <w:rsid w:val="00086BCC"/>
    <w:rsid w:val="00087D85"/>
    <w:rsid w:val="000A16F8"/>
    <w:rsid w:val="000A1922"/>
    <w:rsid w:val="000A3DF0"/>
    <w:rsid w:val="000B091F"/>
    <w:rsid w:val="000B5715"/>
    <w:rsid w:val="000B6F99"/>
    <w:rsid w:val="000B70D6"/>
    <w:rsid w:val="000C2515"/>
    <w:rsid w:val="000C4227"/>
    <w:rsid w:val="000C4F12"/>
    <w:rsid w:val="000C7D99"/>
    <w:rsid w:val="000E305C"/>
    <w:rsid w:val="000E5EB2"/>
    <w:rsid w:val="000E7D33"/>
    <w:rsid w:val="000F15A0"/>
    <w:rsid w:val="000F6D90"/>
    <w:rsid w:val="0010402E"/>
    <w:rsid w:val="0010525B"/>
    <w:rsid w:val="001056C4"/>
    <w:rsid w:val="00110345"/>
    <w:rsid w:val="0011060C"/>
    <w:rsid w:val="0013104C"/>
    <w:rsid w:val="00132637"/>
    <w:rsid w:val="00132C84"/>
    <w:rsid w:val="00134B13"/>
    <w:rsid w:val="00136AA3"/>
    <w:rsid w:val="00137868"/>
    <w:rsid w:val="0014306D"/>
    <w:rsid w:val="0014484F"/>
    <w:rsid w:val="001449F4"/>
    <w:rsid w:val="0015238C"/>
    <w:rsid w:val="00152FDB"/>
    <w:rsid w:val="00160DEE"/>
    <w:rsid w:val="001622B2"/>
    <w:rsid w:val="00165E85"/>
    <w:rsid w:val="0017495E"/>
    <w:rsid w:val="001758EB"/>
    <w:rsid w:val="00181E34"/>
    <w:rsid w:val="00182EE3"/>
    <w:rsid w:val="00190E1F"/>
    <w:rsid w:val="00191F30"/>
    <w:rsid w:val="00195D7C"/>
    <w:rsid w:val="001977E6"/>
    <w:rsid w:val="00197F81"/>
    <w:rsid w:val="001A33B9"/>
    <w:rsid w:val="001A6D0A"/>
    <w:rsid w:val="001B3D17"/>
    <w:rsid w:val="001B7FBB"/>
    <w:rsid w:val="001C1757"/>
    <w:rsid w:val="001C3268"/>
    <w:rsid w:val="001C4509"/>
    <w:rsid w:val="001D53A9"/>
    <w:rsid w:val="001D54B1"/>
    <w:rsid w:val="001E5515"/>
    <w:rsid w:val="001E7EE0"/>
    <w:rsid w:val="001F4998"/>
    <w:rsid w:val="001F4E2C"/>
    <w:rsid w:val="001F5557"/>
    <w:rsid w:val="00207216"/>
    <w:rsid w:val="002139C5"/>
    <w:rsid w:val="00215166"/>
    <w:rsid w:val="00217D8A"/>
    <w:rsid w:val="0022478B"/>
    <w:rsid w:val="00224B13"/>
    <w:rsid w:val="00234EFC"/>
    <w:rsid w:val="00235465"/>
    <w:rsid w:val="002407F9"/>
    <w:rsid w:val="002417E7"/>
    <w:rsid w:val="00244B43"/>
    <w:rsid w:val="00251258"/>
    <w:rsid w:val="0025274F"/>
    <w:rsid w:val="00254392"/>
    <w:rsid w:val="00254CCC"/>
    <w:rsid w:val="00255932"/>
    <w:rsid w:val="002607DD"/>
    <w:rsid w:val="002655D2"/>
    <w:rsid w:val="00265AC9"/>
    <w:rsid w:val="0026602C"/>
    <w:rsid w:val="00267861"/>
    <w:rsid w:val="00271A9D"/>
    <w:rsid w:val="00275F6C"/>
    <w:rsid w:val="00282C74"/>
    <w:rsid w:val="00286EAC"/>
    <w:rsid w:val="00294589"/>
    <w:rsid w:val="002A0753"/>
    <w:rsid w:val="002A4125"/>
    <w:rsid w:val="002B0C77"/>
    <w:rsid w:val="002B265F"/>
    <w:rsid w:val="002B2D23"/>
    <w:rsid w:val="002B5DFE"/>
    <w:rsid w:val="002B7F24"/>
    <w:rsid w:val="002C2321"/>
    <w:rsid w:val="002D2D4D"/>
    <w:rsid w:val="002E1954"/>
    <w:rsid w:val="002E4155"/>
    <w:rsid w:val="002E551C"/>
    <w:rsid w:val="002F05C4"/>
    <w:rsid w:val="002F15FC"/>
    <w:rsid w:val="002F3159"/>
    <w:rsid w:val="0030022E"/>
    <w:rsid w:val="00303C53"/>
    <w:rsid w:val="0030421D"/>
    <w:rsid w:val="003055FA"/>
    <w:rsid w:val="00305906"/>
    <w:rsid w:val="00310ACB"/>
    <w:rsid w:val="00311495"/>
    <w:rsid w:val="003144D4"/>
    <w:rsid w:val="003247FF"/>
    <w:rsid w:val="00324E2B"/>
    <w:rsid w:val="0033140E"/>
    <w:rsid w:val="003336DF"/>
    <w:rsid w:val="00334B53"/>
    <w:rsid w:val="00337A90"/>
    <w:rsid w:val="00341005"/>
    <w:rsid w:val="00342721"/>
    <w:rsid w:val="003435A8"/>
    <w:rsid w:val="00350939"/>
    <w:rsid w:val="00356CFF"/>
    <w:rsid w:val="00357E78"/>
    <w:rsid w:val="003645A9"/>
    <w:rsid w:val="00365434"/>
    <w:rsid w:val="003675B7"/>
    <w:rsid w:val="00372AA4"/>
    <w:rsid w:val="003754BF"/>
    <w:rsid w:val="00381F8E"/>
    <w:rsid w:val="0039048C"/>
    <w:rsid w:val="00394F12"/>
    <w:rsid w:val="003A2868"/>
    <w:rsid w:val="003A3386"/>
    <w:rsid w:val="003A506F"/>
    <w:rsid w:val="003B1736"/>
    <w:rsid w:val="003B6986"/>
    <w:rsid w:val="003C1325"/>
    <w:rsid w:val="003D1FCA"/>
    <w:rsid w:val="003D3C57"/>
    <w:rsid w:val="003D582D"/>
    <w:rsid w:val="003D593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37E6"/>
    <w:rsid w:val="00434B45"/>
    <w:rsid w:val="004363F4"/>
    <w:rsid w:val="00444CDB"/>
    <w:rsid w:val="00446046"/>
    <w:rsid w:val="0044666D"/>
    <w:rsid w:val="00453C11"/>
    <w:rsid w:val="004546DA"/>
    <w:rsid w:val="00454F2D"/>
    <w:rsid w:val="00457A77"/>
    <w:rsid w:val="004640D2"/>
    <w:rsid w:val="00464BFA"/>
    <w:rsid w:val="004651FD"/>
    <w:rsid w:val="004658E4"/>
    <w:rsid w:val="004722A4"/>
    <w:rsid w:val="004727F8"/>
    <w:rsid w:val="004772FE"/>
    <w:rsid w:val="0048412A"/>
    <w:rsid w:val="004963C1"/>
    <w:rsid w:val="00497818"/>
    <w:rsid w:val="004A2845"/>
    <w:rsid w:val="004A4DA9"/>
    <w:rsid w:val="004A69FF"/>
    <w:rsid w:val="004B21B7"/>
    <w:rsid w:val="004B37B7"/>
    <w:rsid w:val="004B5F3D"/>
    <w:rsid w:val="004B7847"/>
    <w:rsid w:val="004C0E6D"/>
    <w:rsid w:val="004D479F"/>
    <w:rsid w:val="004E0D26"/>
    <w:rsid w:val="004E26F1"/>
    <w:rsid w:val="004E69E1"/>
    <w:rsid w:val="004F2BA7"/>
    <w:rsid w:val="004F4933"/>
    <w:rsid w:val="004F68B5"/>
    <w:rsid w:val="00500CC5"/>
    <w:rsid w:val="0050577D"/>
    <w:rsid w:val="00506D52"/>
    <w:rsid w:val="00511EBC"/>
    <w:rsid w:val="00512991"/>
    <w:rsid w:val="00523904"/>
    <w:rsid w:val="00527079"/>
    <w:rsid w:val="005332B9"/>
    <w:rsid w:val="00534BA1"/>
    <w:rsid w:val="005354F9"/>
    <w:rsid w:val="0053656B"/>
    <w:rsid w:val="00540EE2"/>
    <w:rsid w:val="0054112E"/>
    <w:rsid w:val="00543418"/>
    <w:rsid w:val="0055311F"/>
    <w:rsid w:val="005659F8"/>
    <w:rsid w:val="00566866"/>
    <w:rsid w:val="00567225"/>
    <w:rsid w:val="00571600"/>
    <w:rsid w:val="0057185C"/>
    <w:rsid w:val="00574232"/>
    <w:rsid w:val="00574925"/>
    <w:rsid w:val="00585360"/>
    <w:rsid w:val="00593372"/>
    <w:rsid w:val="0059562C"/>
    <w:rsid w:val="0059596A"/>
    <w:rsid w:val="00595BE4"/>
    <w:rsid w:val="0059687F"/>
    <w:rsid w:val="00597BF7"/>
    <w:rsid w:val="005A4197"/>
    <w:rsid w:val="005A5A39"/>
    <w:rsid w:val="005A75D1"/>
    <w:rsid w:val="005B0306"/>
    <w:rsid w:val="005B1961"/>
    <w:rsid w:val="005B26EB"/>
    <w:rsid w:val="005B31EA"/>
    <w:rsid w:val="005B4551"/>
    <w:rsid w:val="005B4C2A"/>
    <w:rsid w:val="005B6A3A"/>
    <w:rsid w:val="005B716B"/>
    <w:rsid w:val="005B7D56"/>
    <w:rsid w:val="005C482D"/>
    <w:rsid w:val="005C56CD"/>
    <w:rsid w:val="005C56EC"/>
    <w:rsid w:val="005C6DFC"/>
    <w:rsid w:val="005D38E9"/>
    <w:rsid w:val="005D3AF2"/>
    <w:rsid w:val="005D5352"/>
    <w:rsid w:val="005D6A6E"/>
    <w:rsid w:val="005E092E"/>
    <w:rsid w:val="005E4858"/>
    <w:rsid w:val="005E4A03"/>
    <w:rsid w:val="005E5C42"/>
    <w:rsid w:val="005E72E0"/>
    <w:rsid w:val="005F0B44"/>
    <w:rsid w:val="005F3BDE"/>
    <w:rsid w:val="006056A8"/>
    <w:rsid w:val="00610C8F"/>
    <w:rsid w:val="0061273B"/>
    <w:rsid w:val="00612FF8"/>
    <w:rsid w:val="00613C64"/>
    <w:rsid w:val="00621540"/>
    <w:rsid w:val="006240BE"/>
    <w:rsid w:val="006305DD"/>
    <w:rsid w:val="006358C7"/>
    <w:rsid w:val="00644D3C"/>
    <w:rsid w:val="0064503B"/>
    <w:rsid w:val="00660AE2"/>
    <w:rsid w:val="0066401C"/>
    <w:rsid w:val="006720A8"/>
    <w:rsid w:val="00674C41"/>
    <w:rsid w:val="00687468"/>
    <w:rsid w:val="00691159"/>
    <w:rsid w:val="00693768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42B"/>
    <w:rsid w:val="006D5A4E"/>
    <w:rsid w:val="006E3197"/>
    <w:rsid w:val="006F0EDE"/>
    <w:rsid w:val="006F231D"/>
    <w:rsid w:val="006F24E0"/>
    <w:rsid w:val="006F2B09"/>
    <w:rsid w:val="006F4566"/>
    <w:rsid w:val="006F7B3B"/>
    <w:rsid w:val="007034F6"/>
    <w:rsid w:val="00703782"/>
    <w:rsid w:val="00703D44"/>
    <w:rsid w:val="0070763B"/>
    <w:rsid w:val="007152DA"/>
    <w:rsid w:val="00717AD9"/>
    <w:rsid w:val="00721E72"/>
    <w:rsid w:val="0072207E"/>
    <w:rsid w:val="00723233"/>
    <w:rsid w:val="00723554"/>
    <w:rsid w:val="00723A17"/>
    <w:rsid w:val="00726756"/>
    <w:rsid w:val="00727EC9"/>
    <w:rsid w:val="0073402D"/>
    <w:rsid w:val="007371EB"/>
    <w:rsid w:val="007404F8"/>
    <w:rsid w:val="007406A0"/>
    <w:rsid w:val="00742631"/>
    <w:rsid w:val="00742CDC"/>
    <w:rsid w:val="0074584E"/>
    <w:rsid w:val="00747AB8"/>
    <w:rsid w:val="007513AF"/>
    <w:rsid w:val="00755972"/>
    <w:rsid w:val="0076113D"/>
    <w:rsid w:val="00761AA1"/>
    <w:rsid w:val="00762697"/>
    <w:rsid w:val="007663C3"/>
    <w:rsid w:val="007726FE"/>
    <w:rsid w:val="0077315C"/>
    <w:rsid w:val="00774F08"/>
    <w:rsid w:val="00777500"/>
    <w:rsid w:val="00777CCB"/>
    <w:rsid w:val="00780941"/>
    <w:rsid w:val="0078095D"/>
    <w:rsid w:val="007821D5"/>
    <w:rsid w:val="00784E6F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414F"/>
    <w:rsid w:val="007C50FD"/>
    <w:rsid w:val="007C5AD5"/>
    <w:rsid w:val="007C76F8"/>
    <w:rsid w:val="007D099D"/>
    <w:rsid w:val="007E0D84"/>
    <w:rsid w:val="007E3514"/>
    <w:rsid w:val="007E493F"/>
    <w:rsid w:val="007E550B"/>
    <w:rsid w:val="007F32FE"/>
    <w:rsid w:val="007F4A3A"/>
    <w:rsid w:val="007F687C"/>
    <w:rsid w:val="008054EE"/>
    <w:rsid w:val="00812210"/>
    <w:rsid w:val="0081224B"/>
    <w:rsid w:val="00814FAB"/>
    <w:rsid w:val="008203E4"/>
    <w:rsid w:val="00831230"/>
    <w:rsid w:val="00835CC7"/>
    <w:rsid w:val="00841654"/>
    <w:rsid w:val="00843657"/>
    <w:rsid w:val="00845987"/>
    <w:rsid w:val="008547BD"/>
    <w:rsid w:val="00861BEB"/>
    <w:rsid w:val="008628CE"/>
    <w:rsid w:val="00865B68"/>
    <w:rsid w:val="00867003"/>
    <w:rsid w:val="00867D28"/>
    <w:rsid w:val="008724F5"/>
    <w:rsid w:val="00874892"/>
    <w:rsid w:val="00877493"/>
    <w:rsid w:val="00883BD6"/>
    <w:rsid w:val="00884E82"/>
    <w:rsid w:val="00885A8C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D2A7B"/>
    <w:rsid w:val="008E1F09"/>
    <w:rsid w:val="008F1B6E"/>
    <w:rsid w:val="00901D70"/>
    <w:rsid w:val="009066AC"/>
    <w:rsid w:val="00910578"/>
    <w:rsid w:val="00912AEF"/>
    <w:rsid w:val="00914A18"/>
    <w:rsid w:val="0092303F"/>
    <w:rsid w:val="0092336E"/>
    <w:rsid w:val="0092648B"/>
    <w:rsid w:val="00926A11"/>
    <w:rsid w:val="00930E3E"/>
    <w:rsid w:val="009313E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437"/>
    <w:rsid w:val="00973402"/>
    <w:rsid w:val="00980DCC"/>
    <w:rsid w:val="0098274B"/>
    <w:rsid w:val="0098579C"/>
    <w:rsid w:val="009905A5"/>
    <w:rsid w:val="009906F1"/>
    <w:rsid w:val="00994BCE"/>
    <w:rsid w:val="00995229"/>
    <w:rsid w:val="00996843"/>
    <w:rsid w:val="009A35AE"/>
    <w:rsid w:val="009A37FE"/>
    <w:rsid w:val="009A3B49"/>
    <w:rsid w:val="009A53EF"/>
    <w:rsid w:val="009A6041"/>
    <w:rsid w:val="009A6F85"/>
    <w:rsid w:val="009B16E9"/>
    <w:rsid w:val="009B1CD9"/>
    <w:rsid w:val="009B42CA"/>
    <w:rsid w:val="009C6388"/>
    <w:rsid w:val="009C6983"/>
    <w:rsid w:val="009C6C14"/>
    <w:rsid w:val="009D30E4"/>
    <w:rsid w:val="009D653E"/>
    <w:rsid w:val="009D7332"/>
    <w:rsid w:val="009E14AA"/>
    <w:rsid w:val="009E40B0"/>
    <w:rsid w:val="009F3C4B"/>
    <w:rsid w:val="009F70DE"/>
    <w:rsid w:val="009F749C"/>
    <w:rsid w:val="00A007E4"/>
    <w:rsid w:val="00A02E50"/>
    <w:rsid w:val="00A03027"/>
    <w:rsid w:val="00A10F26"/>
    <w:rsid w:val="00A110F3"/>
    <w:rsid w:val="00A11A3F"/>
    <w:rsid w:val="00A1227F"/>
    <w:rsid w:val="00A20AB2"/>
    <w:rsid w:val="00A22ED4"/>
    <w:rsid w:val="00A27017"/>
    <w:rsid w:val="00A47D54"/>
    <w:rsid w:val="00A51175"/>
    <w:rsid w:val="00A53180"/>
    <w:rsid w:val="00A537D9"/>
    <w:rsid w:val="00A54C0A"/>
    <w:rsid w:val="00A57D95"/>
    <w:rsid w:val="00A64200"/>
    <w:rsid w:val="00A66272"/>
    <w:rsid w:val="00A669BC"/>
    <w:rsid w:val="00A6717C"/>
    <w:rsid w:val="00A70D03"/>
    <w:rsid w:val="00A70F14"/>
    <w:rsid w:val="00A732C3"/>
    <w:rsid w:val="00A76740"/>
    <w:rsid w:val="00A806AC"/>
    <w:rsid w:val="00A81FD4"/>
    <w:rsid w:val="00A8461A"/>
    <w:rsid w:val="00A900A0"/>
    <w:rsid w:val="00A91027"/>
    <w:rsid w:val="00A910FE"/>
    <w:rsid w:val="00A956F6"/>
    <w:rsid w:val="00AA7740"/>
    <w:rsid w:val="00AB48D9"/>
    <w:rsid w:val="00AC02EA"/>
    <w:rsid w:val="00AC1AB6"/>
    <w:rsid w:val="00AC29EF"/>
    <w:rsid w:val="00AC4FCD"/>
    <w:rsid w:val="00AC5BF9"/>
    <w:rsid w:val="00AD12C9"/>
    <w:rsid w:val="00AD1831"/>
    <w:rsid w:val="00AD2C6C"/>
    <w:rsid w:val="00AD433F"/>
    <w:rsid w:val="00AE1638"/>
    <w:rsid w:val="00AE2C33"/>
    <w:rsid w:val="00AE3392"/>
    <w:rsid w:val="00AE413B"/>
    <w:rsid w:val="00AE6171"/>
    <w:rsid w:val="00AF005F"/>
    <w:rsid w:val="00AF0D82"/>
    <w:rsid w:val="00AF1803"/>
    <w:rsid w:val="00AF24A7"/>
    <w:rsid w:val="00AF619D"/>
    <w:rsid w:val="00B009A4"/>
    <w:rsid w:val="00B02E75"/>
    <w:rsid w:val="00B04712"/>
    <w:rsid w:val="00B04EA7"/>
    <w:rsid w:val="00B07621"/>
    <w:rsid w:val="00B14F3C"/>
    <w:rsid w:val="00B16B7C"/>
    <w:rsid w:val="00B22F0F"/>
    <w:rsid w:val="00B2335C"/>
    <w:rsid w:val="00B24797"/>
    <w:rsid w:val="00B24CFA"/>
    <w:rsid w:val="00B25789"/>
    <w:rsid w:val="00B27195"/>
    <w:rsid w:val="00B31352"/>
    <w:rsid w:val="00B33606"/>
    <w:rsid w:val="00B35122"/>
    <w:rsid w:val="00B36D9A"/>
    <w:rsid w:val="00B40A99"/>
    <w:rsid w:val="00B4413A"/>
    <w:rsid w:val="00B4511C"/>
    <w:rsid w:val="00B46A18"/>
    <w:rsid w:val="00B52DB1"/>
    <w:rsid w:val="00B54008"/>
    <w:rsid w:val="00B55508"/>
    <w:rsid w:val="00B56E99"/>
    <w:rsid w:val="00B65B4B"/>
    <w:rsid w:val="00B708E8"/>
    <w:rsid w:val="00B70EC1"/>
    <w:rsid w:val="00B731EF"/>
    <w:rsid w:val="00B73811"/>
    <w:rsid w:val="00B751BD"/>
    <w:rsid w:val="00B756F0"/>
    <w:rsid w:val="00B76034"/>
    <w:rsid w:val="00B7689D"/>
    <w:rsid w:val="00B773E5"/>
    <w:rsid w:val="00B818D7"/>
    <w:rsid w:val="00B86AEA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6C90"/>
    <w:rsid w:val="00BE08A4"/>
    <w:rsid w:val="00BE57FD"/>
    <w:rsid w:val="00BF579A"/>
    <w:rsid w:val="00BF5A2B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1C4D"/>
    <w:rsid w:val="00C2350F"/>
    <w:rsid w:val="00C23AFA"/>
    <w:rsid w:val="00C241E9"/>
    <w:rsid w:val="00C24F83"/>
    <w:rsid w:val="00C25643"/>
    <w:rsid w:val="00C263F2"/>
    <w:rsid w:val="00C266D7"/>
    <w:rsid w:val="00C266FD"/>
    <w:rsid w:val="00C3320F"/>
    <w:rsid w:val="00C3726F"/>
    <w:rsid w:val="00C37D65"/>
    <w:rsid w:val="00C464FC"/>
    <w:rsid w:val="00C55E60"/>
    <w:rsid w:val="00C56198"/>
    <w:rsid w:val="00C56F74"/>
    <w:rsid w:val="00C60B85"/>
    <w:rsid w:val="00C61DBD"/>
    <w:rsid w:val="00C6210B"/>
    <w:rsid w:val="00C63D4C"/>
    <w:rsid w:val="00C63EAF"/>
    <w:rsid w:val="00C659F5"/>
    <w:rsid w:val="00C72C2C"/>
    <w:rsid w:val="00C734C0"/>
    <w:rsid w:val="00C73E7B"/>
    <w:rsid w:val="00C76137"/>
    <w:rsid w:val="00C76A7E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2245"/>
    <w:rsid w:val="00CA2638"/>
    <w:rsid w:val="00CA4FC4"/>
    <w:rsid w:val="00CA5412"/>
    <w:rsid w:val="00CA5517"/>
    <w:rsid w:val="00CA5811"/>
    <w:rsid w:val="00CA63BA"/>
    <w:rsid w:val="00CB7930"/>
    <w:rsid w:val="00CC1F5C"/>
    <w:rsid w:val="00CC22DB"/>
    <w:rsid w:val="00CC34F5"/>
    <w:rsid w:val="00CD1DB6"/>
    <w:rsid w:val="00CD45AA"/>
    <w:rsid w:val="00CD6293"/>
    <w:rsid w:val="00CD6A45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1C8"/>
    <w:rsid w:val="00D372D1"/>
    <w:rsid w:val="00D37813"/>
    <w:rsid w:val="00D41E00"/>
    <w:rsid w:val="00D4337B"/>
    <w:rsid w:val="00D43FA3"/>
    <w:rsid w:val="00D45DD8"/>
    <w:rsid w:val="00D47B4F"/>
    <w:rsid w:val="00D526C7"/>
    <w:rsid w:val="00D53327"/>
    <w:rsid w:val="00D557F2"/>
    <w:rsid w:val="00D55C95"/>
    <w:rsid w:val="00D5713A"/>
    <w:rsid w:val="00D71DE4"/>
    <w:rsid w:val="00D7551C"/>
    <w:rsid w:val="00D81B17"/>
    <w:rsid w:val="00D9006C"/>
    <w:rsid w:val="00D91B5C"/>
    <w:rsid w:val="00DA245C"/>
    <w:rsid w:val="00DA2E9F"/>
    <w:rsid w:val="00DA5A4E"/>
    <w:rsid w:val="00DB0DE9"/>
    <w:rsid w:val="00DB4458"/>
    <w:rsid w:val="00DB79CF"/>
    <w:rsid w:val="00DB7C0E"/>
    <w:rsid w:val="00DC032A"/>
    <w:rsid w:val="00DC070F"/>
    <w:rsid w:val="00DC6018"/>
    <w:rsid w:val="00DD4487"/>
    <w:rsid w:val="00DD5135"/>
    <w:rsid w:val="00DD5591"/>
    <w:rsid w:val="00DD5B72"/>
    <w:rsid w:val="00DE00A4"/>
    <w:rsid w:val="00DE3D08"/>
    <w:rsid w:val="00DE6409"/>
    <w:rsid w:val="00DE6C3B"/>
    <w:rsid w:val="00DF03EA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6A5C"/>
    <w:rsid w:val="00E46C9E"/>
    <w:rsid w:val="00E65934"/>
    <w:rsid w:val="00E66D35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85CA6"/>
    <w:rsid w:val="00E87090"/>
    <w:rsid w:val="00E872E2"/>
    <w:rsid w:val="00E874B1"/>
    <w:rsid w:val="00E908AD"/>
    <w:rsid w:val="00E92074"/>
    <w:rsid w:val="00E93173"/>
    <w:rsid w:val="00E96B27"/>
    <w:rsid w:val="00EA468F"/>
    <w:rsid w:val="00EA5565"/>
    <w:rsid w:val="00EA592D"/>
    <w:rsid w:val="00EA5D2A"/>
    <w:rsid w:val="00EC0324"/>
    <w:rsid w:val="00ED0E97"/>
    <w:rsid w:val="00ED11E5"/>
    <w:rsid w:val="00ED194C"/>
    <w:rsid w:val="00ED1E1E"/>
    <w:rsid w:val="00ED264B"/>
    <w:rsid w:val="00ED499B"/>
    <w:rsid w:val="00ED5A0D"/>
    <w:rsid w:val="00EE1FD0"/>
    <w:rsid w:val="00EE2DB5"/>
    <w:rsid w:val="00EE2E72"/>
    <w:rsid w:val="00EE49AC"/>
    <w:rsid w:val="00EE6188"/>
    <w:rsid w:val="00EE6694"/>
    <w:rsid w:val="00EE6AE8"/>
    <w:rsid w:val="00EF14E6"/>
    <w:rsid w:val="00EF27AD"/>
    <w:rsid w:val="00EF6637"/>
    <w:rsid w:val="00EF781F"/>
    <w:rsid w:val="00F03299"/>
    <w:rsid w:val="00F03F25"/>
    <w:rsid w:val="00F1449A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47C1E"/>
    <w:rsid w:val="00F52227"/>
    <w:rsid w:val="00F52965"/>
    <w:rsid w:val="00F52C04"/>
    <w:rsid w:val="00F56C4C"/>
    <w:rsid w:val="00F57D12"/>
    <w:rsid w:val="00F73CAE"/>
    <w:rsid w:val="00F77930"/>
    <w:rsid w:val="00F83E2B"/>
    <w:rsid w:val="00F952CB"/>
    <w:rsid w:val="00FA0C2F"/>
    <w:rsid w:val="00FA12DE"/>
    <w:rsid w:val="00FA74D1"/>
    <w:rsid w:val="00FB0F5E"/>
    <w:rsid w:val="00FB636E"/>
    <w:rsid w:val="00FB7E9E"/>
    <w:rsid w:val="00FC24E9"/>
    <w:rsid w:val="00FC343A"/>
    <w:rsid w:val="00FC3D2D"/>
    <w:rsid w:val="00FC459C"/>
    <w:rsid w:val="00FC63FA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628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08A90-1B82-4FA3-96E4-0957DA9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3BDE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09A4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009A4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009A4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B009A4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B009A4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009A4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009A4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009A4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009A4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009A4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009A4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009A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009A4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009A4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009A4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009A4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009A4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009A4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B009A4"/>
    <w:pPr>
      <w:autoSpaceDE w:val="0"/>
      <w:autoSpaceDN w:val="0"/>
      <w:spacing w:before="0" w:line="240" w:lineRule="atLeast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009A4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B009A4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009A4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B009A4"/>
    <w:pPr>
      <w:autoSpaceDE w:val="0"/>
      <w:autoSpaceDN w:val="0"/>
      <w:spacing w:befor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009A4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B009A4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09A4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</w:style>
  <w:style w:type="paragraph" w:customStyle="1" w:styleId="PARA">
    <w:name w:val="PARA"/>
    <w:basedOn w:val="Normlny"/>
    <w:next w:val="Normlny"/>
    <w:uiPriority w:val="99"/>
    <w:rsid w:val="00B009A4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B009A4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009A4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009A4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B009A4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009A4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B009A4"/>
    <w:rPr>
      <w:vertAlign w:val="superscript"/>
    </w:rPr>
  </w:style>
  <w:style w:type="character" w:customStyle="1" w:styleId="Znakyprepoznmkupodiarou">
    <w:name w:val="Znaky pre poznámku pod čiarou"/>
    <w:uiPriority w:val="99"/>
    <w:rsid w:val="00B009A4"/>
    <w:rPr>
      <w:vertAlign w:val="superscript"/>
    </w:rPr>
  </w:style>
  <w:style w:type="character" w:customStyle="1" w:styleId="WW8Num7z0">
    <w:name w:val="WW8Num7z0"/>
    <w:uiPriority w:val="99"/>
    <w:rsid w:val="00B009A4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B009A4"/>
  </w:style>
  <w:style w:type="character" w:customStyle="1" w:styleId="WW8Num3z0">
    <w:name w:val="WW8Num3z0"/>
    <w:uiPriority w:val="99"/>
    <w:rsid w:val="00B009A4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B009A4"/>
    <w:pPr>
      <w:suppressAutoHyphens/>
      <w:autoSpaceDE w:val="0"/>
      <w:autoSpaceDN w:val="0"/>
      <w:spacing w:before="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009A4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B009A4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B009A4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B009A4"/>
    <w:pPr>
      <w:suppressAutoHyphens/>
      <w:autoSpaceDE w:val="0"/>
      <w:autoSpaceDN w:val="0"/>
      <w:spacing w:before="0"/>
    </w:pPr>
  </w:style>
  <w:style w:type="character" w:customStyle="1" w:styleId="WW8Num25z0">
    <w:name w:val="WW8Num25z0"/>
    <w:uiPriority w:val="99"/>
    <w:rsid w:val="00B009A4"/>
  </w:style>
  <w:style w:type="character" w:customStyle="1" w:styleId="WW8Num27z0">
    <w:name w:val="WW8Num27z0"/>
    <w:uiPriority w:val="99"/>
    <w:rsid w:val="00B009A4"/>
    <w:rPr>
      <w:rFonts w:ascii="Symbol" w:hAnsi="Symbol"/>
    </w:rPr>
  </w:style>
  <w:style w:type="character" w:customStyle="1" w:styleId="WW8Num29z0">
    <w:name w:val="WW8Num29z0"/>
    <w:uiPriority w:val="99"/>
    <w:rsid w:val="00B009A4"/>
    <w:rPr>
      <w:rFonts w:ascii="Symbol" w:hAnsi="Symbol"/>
    </w:rPr>
  </w:style>
  <w:style w:type="character" w:customStyle="1" w:styleId="WW8Num35z0">
    <w:name w:val="WW8Num35z0"/>
    <w:uiPriority w:val="99"/>
    <w:rsid w:val="00B009A4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B009A4"/>
    <w:pPr>
      <w:autoSpaceDE w:val="0"/>
      <w:autoSpaceDN w:val="0"/>
      <w:spacing w:before="0"/>
      <w:ind w:firstLine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009A4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B009A4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B009A4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B009A4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B009A4"/>
    <w:pPr>
      <w:autoSpaceDE w:val="0"/>
      <w:autoSpaceDN w:val="0"/>
      <w:spacing w:before="0"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009A4"/>
    <w:rPr>
      <w:rFonts w:cs="Times New Roman"/>
      <w:sz w:val="16"/>
    </w:rPr>
  </w:style>
  <w:style w:type="paragraph" w:styleId="Oznaitext">
    <w:name w:val="Block Text"/>
    <w:basedOn w:val="Normlny"/>
    <w:uiPriority w:val="99"/>
    <w:rsid w:val="00B009A4"/>
    <w:pPr>
      <w:autoSpaceDE w:val="0"/>
      <w:autoSpaceDN w:val="0"/>
      <w:spacing w:before="0"/>
      <w:ind w:left="113" w:right="113"/>
      <w:jc w:val="center"/>
    </w:pPr>
    <w:rPr>
      <w:b/>
      <w:bCs/>
      <w:sz w:val="20"/>
      <w:szCs w:val="20"/>
    </w:rPr>
  </w:style>
  <w:style w:type="character" w:customStyle="1" w:styleId="WW8Num25z3">
    <w:name w:val="WW8Num25z3"/>
    <w:uiPriority w:val="99"/>
    <w:rsid w:val="00B009A4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B009A4"/>
    <w:pPr>
      <w:suppressAutoHyphens/>
      <w:autoSpaceDE w:val="0"/>
      <w:autoSpaceDN w:val="0"/>
      <w:spacing w:after="120"/>
    </w:p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rFonts w:ascii="inherit" w:hAnsi="inherit"/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rFonts w:ascii="inherit" w:hAnsi="inherit"/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  <w:rPr>
      <w:rFonts w:ascii="inherit" w:hAnsi="inherit"/>
    </w:r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rFonts w:ascii="inherit" w:hAnsi="inherit"/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ti-art">
    <w:name w:val="ti-art"/>
    <w:basedOn w:val="Normlny"/>
    <w:rsid w:val="00777CCB"/>
    <w:pPr>
      <w:spacing w:before="360" w:after="120"/>
      <w:jc w:val="center"/>
    </w:pPr>
    <w:rPr>
      <w:i/>
      <w:iCs/>
    </w:rPr>
  </w:style>
  <w:style w:type="paragraph" w:customStyle="1" w:styleId="sti-art">
    <w:name w:val="sti-art"/>
    <w:basedOn w:val="Normlny"/>
    <w:rsid w:val="00777CCB"/>
    <w:pPr>
      <w:spacing w:before="60" w:after="120"/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A110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6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9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2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5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tabulka_zhody-2019-983"/>
    <f:field ref="objsubject" par="" edit="true" text=""/>
    <f:field ref="objcreatedby" par="" text="Mazancová, Tatiana, JUDr."/>
    <f:field ref="objcreatedat" par="" text="5.5.2020 16:23:56"/>
    <f:field ref="objchangedby" par="" text="Administrator, System"/>
    <f:field ref="objmodifiedat" par="" text="5.5.2020 16:23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0148BB-595D-4A9C-BF02-431D25E55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7F9E3-02AC-4A9E-ACB5-4DA580D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Monika Zámečníková</cp:lastModifiedBy>
  <cp:revision>53</cp:revision>
  <cp:lastPrinted>2020-01-17T12:17:00Z</cp:lastPrinted>
  <dcterms:created xsi:type="dcterms:W3CDTF">2019-01-30T08:55:00Z</dcterms:created>
  <dcterms:modified xsi:type="dcterms:W3CDTF">2020-06-02T12:10:00Z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S09488-2020-OL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LP/2020/141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Zmluve o fungovaní Európskej únie v článku 168</vt:lpwstr>
  </property>
  <property fmtid="{D5CDD505-2E9C-101B-9397-08002B2CF9AE}" pid="4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</vt:lpwstr>
  </property>
  <property fmtid="{D5CDD505-2E9C-101B-9397-08002B2CF9AE}" pid="5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18. 3. 2020</vt:lpwstr>
  </property>
  <property fmtid="{D5CDD505-2E9C-101B-9397-08002B2CF9AE}" pid="59" name="FSC#SKEDITIONSLOVLEX@103.510:AttrDateDocPropUkonceniePKK">
    <vt:lpwstr>31. 3. 2020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6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50" name="FSC#SKEDITIONSLOVLEX@103.510:vytvorenedna">
    <vt:lpwstr>5. 5. 2020</vt:lpwstr>
  </property>
  <property fmtid="{D5CDD505-2E9C-101B-9397-08002B2CF9AE}" pid="151" name="FSC#COOSYSTEM@1.1:Container">
    <vt:lpwstr>COO.2145.1000.3.3859253</vt:lpwstr>
  </property>
  <property fmtid="{D5CDD505-2E9C-101B-9397-08002B2CF9AE}" pid="152" name="FSC#FSCFOLIO@1.1001:docpropproject">
    <vt:lpwstr/>
  </property>
</Properties>
</file>