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D1" w:rsidRPr="005700E8" w:rsidRDefault="00A23FD1" w:rsidP="008D26FA">
      <w:pPr>
        <w:jc w:val="right"/>
        <w:rPr>
          <w:sz w:val="24"/>
          <w:szCs w:val="24"/>
        </w:rPr>
      </w:pP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00E8" w:rsidRPr="005700E8" w:rsidTr="008D26FA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8D26FA" w:rsidRPr="005700E8" w:rsidRDefault="008D26FA" w:rsidP="008D26FA">
            <w:pPr>
              <w:jc w:val="center"/>
              <w:rPr>
                <w:b/>
                <w:sz w:val="24"/>
              </w:rPr>
            </w:pPr>
            <w:r w:rsidRPr="005700E8">
              <w:rPr>
                <w:b/>
                <w:sz w:val="28"/>
              </w:rPr>
              <w:t xml:space="preserve">Analýza vplyvov na podnikateľské prostredie </w:t>
            </w:r>
          </w:p>
          <w:p w:rsidR="008D26FA" w:rsidRPr="005700E8" w:rsidRDefault="008D26FA" w:rsidP="008D26FA">
            <w:pPr>
              <w:jc w:val="center"/>
              <w:rPr>
                <w:b/>
              </w:rPr>
            </w:pPr>
            <w:r w:rsidRPr="005700E8">
              <w:rPr>
                <w:b/>
                <w:sz w:val="24"/>
              </w:rPr>
              <w:t>(vrátane testu MSP)</w:t>
            </w:r>
          </w:p>
        </w:tc>
      </w:tr>
      <w:tr w:rsidR="005700E8" w:rsidRPr="005700E8" w:rsidTr="008D26FA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8D26FA" w:rsidRPr="005700E8" w:rsidRDefault="008D26FA" w:rsidP="008D26FA">
            <w:pPr>
              <w:rPr>
                <w:b/>
                <w:sz w:val="24"/>
              </w:rPr>
            </w:pPr>
            <w:r w:rsidRPr="005700E8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5700E8" w:rsidRPr="005700E8" w:rsidTr="008D26FA">
        <w:trPr>
          <w:trHeight w:val="567"/>
        </w:trPr>
        <w:tc>
          <w:tcPr>
            <w:tcW w:w="9212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5700E8" w:rsidRPr="005700E8" w:rsidTr="008D26FA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26FA" w:rsidRPr="005700E8" w:rsidRDefault="008D26FA" w:rsidP="008D26FA">
                  <w:pPr>
                    <w:jc w:val="center"/>
                  </w:pPr>
                  <w:r w:rsidRPr="005700E8"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26FA" w:rsidRPr="005700E8" w:rsidRDefault="008D26FA" w:rsidP="008D26FA">
                  <w:pPr>
                    <w:rPr>
                      <w:b/>
                    </w:rPr>
                  </w:pPr>
                  <w:r w:rsidRPr="005700E8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5700E8" w:rsidRPr="005700E8" w:rsidTr="008D26FA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26FA" w:rsidRPr="005700E8" w:rsidRDefault="008D26FA" w:rsidP="008D26FA">
                  <w:pPr>
                    <w:jc w:val="center"/>
                  </w:pPr>
                  <w:r w:rsidRPr="005700E8">
                    <w:rPr>
                      <w:rFonts w:ascii="Segoe UI Symbol" w:eastAsia="MS Mincho" w:hAnsi="Segoe UI Symbol" w:cs="Segoe UI Symbol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26FA" w:rsidRPr="005700E8" w:rsidRDefault="008D26FA" w:rsidP="008D26FA">
                  <w:pPr>
                    <w:rPr>
                      <w:b/>
                    </w:rPr>
                  </w:pPr>
                  <w:r w:rsidRPr="005700E8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5700E8" w:rsidRPr="005700E8" w:rsidTr="008D26FA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26FA" w:rsidRPr="005700E8" w:rsidRDefault="008D26FA" w:rsidP="008D26FA">
                  <w:pPr>
                    <w:jc w:val="center"/>
                  </w:pPr>
                  <w:r w:rsidRPr="005700E8">
                    <w:rPr>
                      <w:rFonts w:ascii="MS Gothic" w:eastAsia="MS Gothic" w:hAnsi="MS Gothic" w:hint="eastAsia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26FA" w:rsidRPr="005700E8" w:rsidRDefault="008D26FA" w:rsidP="008D26FA">
                  <w:r w:rsidRPr="005700E8">
                    <w:rPr>
                      <w:b/>
                    </w:rPr>
                    <w:t>na všetky kategórie podnikov</w:t>
                  </w:r>
                </w:p>
              </w:tc>
            </w:tr>
          </w:tbl>
          <w:p w:rsidR="008D26FA" w:rsidRPr="005700E8" w:rsidRDefault="008D26FA" w:rsidP="008D26FA">
            <w:pPr>
              <w:rPr>
                <w:b/>
              </w:rPr>
            </w:pPr>
          </w:p>
        </w:tc>
      </w:tr>
      <w:tr w:rsidR="005700E8" w:rsidRPr="005700E8" w:rsidTr="008D26FA">
        <w:tc>
          <w:tcPr>
            <w:tcW w:w="9212" w:type="dxa"/>
            <w:shd w:val="clear" w:color="auto" w:fill="D9D9D9" w:themeFill="background1" w:themeFillShade="D9"/>
          </w:tcPr>
          <w:p w:rsidR="008D26FA" w:rsidRPr="005700E8" w:rsidRDefault="008D26FA" w:rsidP="008D26FA">
            <w:pPr>
              <w:rPr>
                <w:b/>
                <w:sz w:val="24"/>
              </w:rPr>
            </w:pPr>
            <w:r w:rsidRPr="005700E8">
              <w:rPr>
                <w:b/>
                <w:sz w:val="24"/>
              </w:rPr>
              <w:t>3.1 Dotknuté podnikateľské subjekty</w:t>
            </w:r>
          </w:p>
          <w:p w:rsidR="008D26FA" w:rsidRPr="005700E8" w:rsidRDefault="008D26FA" w:rsidP="008D26FA">
            <w:pPr>
              <w:ind w:left="284"/>
              <w:rPr>
                <w:b/>
              </w:rPr>
            </w:pPr>
            <w:r w:rsidRPr="005700E8">
              <w:rPr>
                <w:sz w:val="24"/>
              </w:rPr>
              <w:t xml:space="preserve"> - </w:t>
            </w:r>
            <w:r w:rsidRPr="005700E8">
              <w:rPr>
                <w:b/>
                <w:sz w:val="24"/>
              </w:rPr>
              <w:t>z toho MSP</w:t>
            </w:r>
          </w:p>
        </w:tc>
      </w:tr>
      <w:tr w:rsidR="005700E8" w:rsidRPr="005700E8" w:rsidTr="008D26FA">
        <w:tc>
          <w:tcPr>
            <w:tcW w:w="9212" w:type="dxa"/>
          </w:tcPr>
          <w:p w:rsidR="008D26FA" w:rsidRPr="005700E8" w:rsidRDefault="008D26FA" w:rsidP="008D26FA">
            <w:pPr>
              <w:rPr>
                <w:i/>
              </w:rPr>
            </w:pPr>
          </w:p>
        </w:tc>
      </w:tr>
      <w:tr w:rsidR="005700E8" w:rsidRPr="005700E8" w:rsidTr="008D26FA">
        <w:trPr>
          <w:trHeight w:val="1440"/>
        </w:trPr>
        <w:tc>
          <w:tcPr>
            <w:tcW w:w="9212" w:type="dxa"/>
          </w:tcPr>
          <w:p w:rsidR="00215B37" w:rsidRPr="005700E8" w:rsidRDefault="00215B37" w:rsidP="00215B37">
            <w:pPr>
              <w:jc w:val="both"/>
              <w:rPr>
                <w:sz w:val="22"/>
                <w:szCs w:val="22"/>
              </w:rPr>
            </w:pPr>
            <w:r w:rsidRPr="005700E8">
              <w:rPr>
                <w:sz w:val="22"/>
                <w:szCs w:val="22"/>
              </w:rPr>
              <w:t xml:space="preserve">Zamestnávatelia, ktorých zamestnanci na pracovisku manipulujú (výroba, spracovanie, skladovanie, preprava, zneškodňovanie) s karcinogénmi, ktorých TSH sú predmetom novely nariadenia vlády. </w:t>
            </w:r>
            <w:r w:rsidR="00BA6F42" w:rsidRPr="005700E8">
              <w:rPr>
                <w:sz w:val="22"/>
                <w:szCs w:val="22"/>
              </w:rPr>
              <w:t>Ide najmä o firmy sklárskeho priemyslu, konzervovania kože, elektronický a chemický priemysel, jadrovú energetiku, a iné uvedené v závere doložky vybraných vplyvov v tabuľke č. 1.</w:t>
            </w:r>
          </w:p>
          <w:p w:rsidR="00E56741" w:rsidRPr="005700E8" w:rsidRDefault="00241FC9" w:rsidP="00215B37">
            <w:pPr>
              <w:jc w:val="both"/>
              <w:rPr>
                <w:sz w:val="22"/>
                <w:szCs w:val="22"/>
              </w:rPr>
            </w:pPr>
            <w:r w:rsidRPr="005700E8">
              <w:rPr>
                <w:sz w:val="22"/>
                <w:szCs w:val="22"/>
              </w:rPr>
              <w:t>Predkladateľ nemá informácie o počte zamestnávateľov, ktorí zamestnávajú zamestnancov exponovaných chemickým karcinogénom a mutagénom, ktorých technické smerné hodnoty sú predmetom návrhu nariadenia vlády.</w:t>
            </w:r>
          </w:p>
          <w:p w:rsidR="00E56741" w:rsidRPr="005700E8" w:rsidRDefault="00E56741" w:rsidP="00241FC9">
            <w:pPr>
              <w:jc w:val="both"/>
              <w:rPr>
                <w:sz w:val="22"/>
                <w:szCs w:val="22"/>
                <w:highlight w:val="magenta"/>
              </w:rPr>
            </w:pPr>
            <w:r w:rsidRPr="005700E8">
              <w:rPr>
                <w:sz w:val="22"/>
                <w:szCs w:val="22"/>
              </w:rPr>
              <w:t>V doložke vplyvov uvádzame najčastejšie využitie uvedených látok podľa dostupných internetových zdrojov.</w:t>
            </w:r>
          </w:p>
        </w:tc>
      </w:tr>
      <w:tr w:rsidR="005700E8" w:rsidRPr="005700E8" w:rsidTr="008D26FA">
        <w:trPr>
          <w:trHeight w:val="339"/>
        </w:trPr>
        <w:tc>
          <w:tcPr>
            <w:tcW w:w="9212" w:type="dxa"/>
            <w:shd w:val="clear" w:color="auto" w:fill="D9D9D9" w:themeFill="background1" w:themeFillShade="D9"/>
          </w:tcPr>
          <w:p w:rsidR="008D26FA" w:rsidRPr="005700E8" w:rsidRDefault="008D26FA" w:rsidP="008D26FA">
            <w:pPr>
              <w:rPr>
                <w:b/>
                <w:sz w:val="24"/>
              </w:rPr>
            </w:pPr>
            <w:r w:rsidRPr="005700E8">
              <w:rPr>
                <w:b/>
                <w:sz w:val="24"/>
              </w:rPr>
              <w:t>3.2 Vyhodnotenie konzultácií</w:t>
            </w:r>
          </w:p>
          <w:p w:rsidR="008D26FA" w:rsidRPr="005700E8" w:rsidRDefault="008D26FA" w:rsidP="008D26FA">
            <w:pPr>
              <w:rPr>
                <w:b/>
              </w:rPr>
            </w:pPr>
            <w:r w:rsidRPr="005700E8">
              <w:rPr>
                <w:sz w:val="24"/>
              </w:rPr>
              <w:t xml:space="preserve">       - </w:t>
            </w:r>
            <w:r w:rsidRPr="005700E8">
              <w:rPr>
                <w:b/>
                <w:sz w:val="24"/>
              </w:rPr>
              <w:t>z toho MSP</w:t>
            </w:r>
          </w:p>
        </w:tc>
      </w:tr>
      <w:tr w:rsidR="005700E8" w:rsidRPr="005700E8" w:rsidTr="00D30BC1">
        <w:trPr>
          <w:trHeight w:val="301"/>
        </w:trPr>
        <w:tc>
          <w:tcPr>
            <w:tcW w:w="9212" w:type="dxa"/>
          </w:tcPr>
          <w:p w:rsidR="008D26FA" w:rsidRPr="005700E8" w:rsidRDefault="008D26FA" w:rsidP="008D26FA">
            <w:pPr>
              <w:rPr>
                <w:i/>
              </w:rPr>
            </w:pPr>
            <w:r w:rsidRPr="005700E8">
              <w:rPr>
                <w:i/>
              </w:rPr>
              <w:t xml:space="preserve"> </w:t>
            </w:r>
          </w:p>
        </w:tc>
      </w:tr>
      <w:tr w:rsidR="005700E8" w:rsidRPr="005700E8" w:rsidTr="008D26FA">
        <w:trPr>
          <w:trHeight w:val="1440"/>
        </w:trPr>
        <w:tc>
          <w:tcPr>
            <w:tcW w:w="9212" w:type="dxa"/>
          </w:tcPr>
          <w:p w:rsidR="00977934" w:rsidRPr="005700E8" w:rsidRDefault="00977934" w:rsidP="00977934">
            <w:pPr>
              <w:jc w:val="both"/>
              <w:rPr>
                <w:sz w:val="22"/>
                <w:szCs w:val="22"/>
                <w:highlight w:val="yellow"/>
              </w:rPr>
            </w:pPr>
            <w:r w:rsidRPr="005700E8">
              <w:rPr>
                <w:sz w:val="22"/>
                <w:szCs w:val="22"/>
              </w:rPr>
              <w:t xml:space="preserve">Ministerstvo zdravotníctva SR uverejnilo na portáli Slov-Lex predbežnú informáciu k návrhu nariadenia vlády Slovenskej republiky, ktorým sa mení a dopĺňa nariadenie vlády Slovenskej republiky č. 356/2006 Z. z. o ochrane zdravia zamestnancov pred rizikami súvisiacimi s expozíciou karcinogénnym a mutagénnym faktorom pri práci v znení neskorších predpisov, číslo </w:t>
            </w:r>
            <w:r w:rsidR="00F55001" w:rsidRPr="005700E8">
              <w:rPr>
                <w:sz w:val="22"/>
                <w:szCs w:val="22"/>
              </w:rPr>
              <w:t>predbežnej informácie</w:t>
            </w:r>
            <w:r w:rsidRPr="005700E8">
              <w:rPr>
                <w:sz w:val="22"/>
                <w:szCs w:val="22"/>
              </w:rPr>
              <w:t xml:space="preserve"> PI/20</w:t>
            </w:r>
            <w:r w:rsidR="00F55001" w:rsidRPr="005700E8">
              <w:rPr>
                <w:sz w:val="22"/>
                <w:szCs w:val="22"/>
              </w:rPr>
              <w:t>20</w:t>
            </w:r>
            <w:r w:rsidRPr="005700E8">
              <w:rPr>
                <w:sz w:val="22"/>
                <w:szCs w:val="22"/>
              </w:rPr>
              <w:t>/</w:t>
            </w:r>
            <w:r w:rsidR="00F55001" w:rsidRPr="005700E8">
              <w:rPr>
                <w:sz w:val="22"/>
                <w:szCs w:val="22"/>
              </w:rPr>
              <w:t>7</w:t>
            </w:r>
            <w:r w:rsidRPr="005700E8">
              <w:rPr>
                <w:sz w:val="22"/>
                <w:szCs w:val="22"/>
              </w:rPr>
              <w:t xml:space="preserve">, dátum začiatku PK: </w:t>
            </w:r>
            <w:r w:rsidR="00F55001" w:rsidRPr="005700E8">
              <w:rPr>
                <w:sz w:val="22"/>
                <w:szCs w:val="22"/>
              </w:rPr>
              <w:t>2</w:t>
            </w:r>
            <w:r w:rsidRPr="005700E8">
              <w:rPr>
                <w:sz w:val="22"/>
                <w:szCs w:val="22"/>
              </w:rPr>
              <w:t>1.0</w:t>
            </w:r>
            <w:r w:rsidR="00F55001" w:rsidRPr="005700E8">
              <w:rPr>
                <w:sz w:val="22"/>
                <w:szCs w:val="22"/>
              </w:rPr>
              <w:t>1</w:t>
            </w:r>
            <w:r w:rsidRPr="005700E8">
              <w:rPr>
                <w:sz w:val="22"/>
                <w:szCs w:val="22"/>
              </w:rPr>
              <w:t>.20</w:t>
            </w:r>
            <w:r w:rsidR="00F55001" w:rsidRPr="005700E8">
              <w:rPr>
                <w:sz w:val="22"/>
                <w:szCs w:val="22"/>
              </w:rPr>
              <w:t>20</w:t>
            </w:r>
            <w:r w:rsidRPr="005700E8">
              <w:rPr>
                <w:sz w:val="22"/>
                <w:szCs w:val="22"/>
              </w:rPr>
              <w:t xml:space="preserve">, dátum konca PK: </w:t>
            </w:r>
            <w:r w:rsidR="00F55001" w:rsidRPr="005700E8">
              <w:rPr>
                <w:sz w:val="22"/>
                <w:szCs w:val="22"/>
              </w:rPr>
              <w:t>17</w:t>
            </w:r>
            <w:r w:rsidRPr="005700E8">
              <w:rPr>
                <w:sz w:val="22"/>
                <w:szCs w:val="22"/>
              </w:rPr>
              <w:t>.0</w:t>
            </w:r>
            <w:r w:rsidR="00F55001" w:rsidRPr="005700E8">
              <w:rPr>
                <w:sz w:val="22"/>
                <w:szCs w:val="22"/>
              </w:rPr>
              <w:t>2</w:t>
            </w:r>
            <w:r w:rsidRPr="005700E8">
              <w:rPr>
                <w:sz w:val="22"/>
                <w:szCs w:val="22"/>
              </w:rPr>
              <w:t>.20</w:t>
            </w:r>
            <w:r w:rsidR="00F55001" w:rsidRPr="005700E8">
              <w:rPr>
                <w:sz w:val="22"/>
                <w:szCs w:val="22"/>
              </w:rPr>
              <w:t>20</w:t>
            </w:r>
            <w:r w:rsidRPr="005700E8">
              <w:rPr>
                <w:sz w:val="22"/>
                <w:szCs w:val="22"/>
              </w:rPr>
              <w:t xml:space="preserve">. </w:t>
            </w:r>
          </w:p>
          <w:p w:rsidR="00977934" w:rsidRPr="005700E8" w:rsidRDefault="00977934" w:rsidP="00977934">
            <w:pPr>
              <w:jc w:val="both"/>
              <w:rPr>
                <w:sz w:val="22"/>
                <w:szCs w:val="22"/>
              </w:rPr>
            </w:pPr>
            <w:r w:rsidRPr="005700E8">
              <w:rPr>
                <w:sz w:val="22"/>
                <w:szCs w:val="22"/>
              </w:rPr>
              <w:t xml:space="preserve">Predbežná informácia bola súbežne </w:t>
            </w:r>
            <w:r w:rsidR="00F85082" w:rsidRPr="005700E8">
              <w:rPr>
                <w:sz w:val="22"/>
                <w:szCs w:val="22"/>
              </w:rPr>
              <w:t xml:space="preserve">elektronicky </w:t>
            </w:r>
            <w:r w:rsidRPr="005700E8">
              <w:rPr>
                <w:sz w:val="22"/>
                <w:szCs w:val="22"/>
              </w:rPr>
              <w:t xml:space="preserve">zaslaná dňa </w:t>
            </w:r>
            <w:r w:rsidR="00C40612" w:rsidRPr="005700E8">
              <w:rPr>
                <w:sz w:val="22"/>
                <w:szCs w:val="22"/>
              </w:rPr>
              <w:t>20</w:t>
            </w:r>
            <w:r w:rsidRPr="005700E8">
              <w:rPr>
                <w:sz w:val="22"/>
                <w:szCs w:val="22"/>
              </w:rPr>
              <w:t>.0</w:t>
            </w:r>
            <w:r w:rsidR="00C40612" w:rsidRPr="005700E8">
              <w:rPr>
                <w:sz w:val="22"/>
                <w:szCs w:val="22"/>
              </w:rPr>
              <w:t>1</w:t>
            </w:r>
            <w:r w:rsidRPr="005700E8">
              <w:rPr>
                <w:sz w:val="22"/>
                <w:szCs w:val="22"/>
              </w:rPr>
              <w:t>.20</w:t>
            </w:r>
            <w:r w:rsidR="00C40612" w:rsidRPr="005700E8">
              <w:rPr>
                <w:sz w:val="22"/>
                <w:szCs w:val="22"/>
              </w:rPr>
              <w:t>20</w:t>
            </w:r>
            <w:r w:rsidRPr="005700E8">
              <w:rPr>
                <w:sz w:val="22"/>
                <w:szCs w:val="22"/>
              </w:rPr>
              <w:t xml:space="preserve"> na Ministerstvo hospodárstva SR s požiadavkou na zabezpečenie konzultácií v zmysle Jednotnej metodiky na posudzovanie vybraných vplyvov</w:t>
            </w:r>
            <w:r w:rsidR="00C40612" w:rsidRPr="005700E8">
              <w:rPr>
                <w:sz w:val="22"/>
                <w:szCs w:val="22"/>
              </w:rPr>
              <w:t xml:space="preserve"> </w:t>
            </w:r>
            <w:r w:rsidRPr="005700E8">
              <w:rPr>
                <w:sz w:val="22"/>
                <w:szCs w:val="22"/>
              </w:rPr>
              <w:t>v termíne do 1</w:t>
            </w:r>
            <w:r w:rsidR="00C40612" w:rsidRPr="005700E8">
              <w:rPr>
                <w:sz w:val="22"/>
                <w:szCs w:val="22"/>
              </w:rPr>
              <w:t>7</w:t>
            </w:r>
            <w:r w:rsidRPr="005700E8">
              <w:rPr>
                <w:sz w:val="22"/>
                <w:szCs w:val="22"/>
              </w:rPr>
              <w:t>.0</w:t>
            </w:r>
            <w:r w:rsidR="00C40612" w:rsidRPr="005700E8">
              <w:rPr>
                <w:sz w:val="22"/>
                <w:szCs w:val="22"/>
              </w:rPr>
              <w:t>2</w:t>
            </w:r>
            <w:r w:rsidRPr="005700E8">
              <w:rPr>
                <w:sz w:val="22"/>
                <w:szCs w:val="22"/>
              </w:rPr>
              <w:t>.20</w:t>
            </w:r>
            <w:r w:rsidR="00C40612" w:rsidRPr="005700E8">
              <w:rPr>
                <w:sz w:val="22"/>
                <w:szCs w:val="22"/>
              </w:rPr>
              <w:t>20</w:t>
            </w:r>
            <w:r w:rsidRPr="005700E8">
              <w:rPr>
                <w:sz w:val="22"/>
                <w:szCs w:val="22"/>
              </w:rPr>
              <w:t xml:space="preserve">. </w:t>
            </w:r>
          </w:p>
          <w:p w:rsidR="007C7563" w:rsidRPr="005700E8" w:rsidRDefault="00474DEA" w:rsidP="00474DEA">
            <w:pPr>
              <w:jc w:val="both"/>
              <w:rPr>
                <w:sz w:val="22"/>
                <w:szCs w:val="22"/>
              </w:rPr>
            </w:pPr>
            <w:r w:rsidRPr="005700E8">
              <w:rPr>
                <w:sz w:val="22"/>
                <w:szCs w:val="22"/>
              </w:rPr>
              <w:t xml:space="preserve">Ani jeden oslovený subjekt si nevyžiadal </w:t>
            </w:r>
            <w:r w:rsidR="00977934" w:rsidRPr="005700E8">
              <w:rPr>
                <w:sz w:val="22"/>
                <w:szCs w:val="22"/>
              </w:rPr>
              <w:t>podrobnejšie informácie o pripravovanom návrhu nariadenia vlády</w:t>
            </w:r>
            <w:r w:rsidRPr="005700E8">
              <w:rPr>
                <w:sz w:val="22"/>
                <w:szCs w:val="22"/>
              </w:rPr>
              <w:t xml:space="preserve"> a </w:t>
            </w:r>
            <w:r w:rsidR="007C7563" w:rsidRPr="005700E8">
              <w:rPr>
                <w:sz w:val="22"/>
                <w:szCs w:val="22"/>
              </w:rPr>
              <w:t>nepredložil ani jednu pripomienku k návrhu nariadenia vlády.</w:t>
            </w:r>
          </w:p>
        </w:tc>
      </w:tr>
      <w:tr w:rsidR="005700E8" w:rsidRPr="005700E8" w:rsidTr="008D26FA">
        <w:tc>
          <w:tcPr>
            <w:tcW w:w="9212" w:type="dxa"/>
            <w:shd w:val="clear" w:color="auto" w:fill="D9D9D9" w:themeFill="background1" w:themeFillShade="D9"/>
          </w:tcPr>
          <w:p w:rsidR="008D26FA" w:rsidRPr="005700E8" w:rsidRDefault="008D26FA" w:rsidP="008D26FA">
            <w:pPr>
              <w:rPr>
                <w:b/>
                <w:sz w:val="24"/>
              </w:rPr>
            </w:pPr>
            <w:r w:rsidRPr="005700E8">
              <w:rPr>
                <w:b/>
                <w:sz w:val="24"/>
              </w:rPr>
              <w:t>3.3 Náklady regulácie</w:t>
            </w:r>
          </w:p>
          <w:p w:rsidR="008D26FA" w:rsidRPr="005700E8" w:rsidRDefault="008D26FA" w:rsidP="008D26FA">
            <w:pPr>
              <w:rPr>
                <w:b/>
              </w:rPr>
            </w:pPr>
            <w:r w:rsidRPr="005700E8">
              <w:rPr>
                <w:sz w:val="24"/>
              </w:rPr>
              <w:t xml:space="preserve">      - </w:t>
            </w:r>
            <w:r w:rsidRPr="005700E8">
              <w:rPr>
                <w:b/>
                <w:sz w:val="24"/>
              </w:rPr>
              <w:t>z toho MSP</w:t>
            </w:r>
          </w:p>
        </w:tc>
      </w:tr>
      <w:tr w:rsidR="005700E8" w:rsidRPr="005700E8" w:rsidTr="008D26FA">
        <w:tc>
          <w:tcPr>
            <w:tcW w:w="9212" w:type="dxa"/>
          </w:tcPr>
          <w:p w:rsidR="008D26FA" w:rsidRPr="005700E8" w:rsidRDefault="008D26FA" w:rsidP="008D26FA">
            <w:pPr>
              <w:rPr>
                <w:b/>
                <w:i/>
              </w:rPr>
            </w:pPr>
            <w:r w:rsidRPr="005700E8">
              <w:rPr>
                <w:b/>
                <w:i/>
              </w:rPr>
              <w:t>3.3.1 Priame finančné náklady</w:t>
            </w:r>
          </w:p>
          <w:p w:rsidR="008D26FA" w:rsidRPr="005700E8" w:rsidRDefault="008D26FA" w:rsidP="008D26FA">
            <w:pPr>
              <w:rPr>
                <w:i/>
              </w:rPr>
            </w:pPr>
          </w:p>
        </w:tc>
      </w:tr>
      <w:tr w:rsidR="005700E8" w:rsidRPr="005700E8" w:rsidTr="008D26FA">
        <w:tc>
          <w:tcPr>
            <w:tcW w:w="9212" w:type="dxa"/>
          </w:tcPr>
          <w:p w:rsidR="00B64812" w:rsidRPr="005700E8" w:rsidRDefault="00B64812" w:rsidP="00D30BC1">
            <w:pPr>
              <w:jc w:val="both"/>
              <w:rPr>
                <w:sz w:val="22"/>
                <w:szCs w:val="22"/>
                <w:u w:val="single"/>
              </w:rPr>
            </w:pPr>
          </w:p>
          <w:p w:rsidR="00D30BC1" w:rsidRPr="005700E8" w:rsidRDefault="00D30BC1" w:rsidP="00D30BC1">
            <w:pPr>
              <w:jc w:val="both"/>
              <w:rPr>
                <w:sz w:val="22"/>
                <w:szCs w:val="22"/>
                <w:u w:val="single"/>
              </w:rPr>
            </w:pPr>
            <w:r w:rsidRPr="005700E8">
              <w:rPr>
                <w:sz w:val="22"/>
                <w:szCs w:val="22"/>
                <w:u w:val="single"/>
              </w:rPr>
              <w:t>Negatívny vplyv na podnikateľské prostredie:</w:t>
            </w:r>
          </w:p>
          <w:p w:rsidR="00FB6C6D" w:rsidRPr="005700E8" w:rsidRDefault="00FB6C6D" w:rsidP="00D30BC1">
            <w:pPr>
              <w:jc w:val="both"/>
              <w:rPr>
                <w:sz w:val="22"/>
                <w:szCs w:val="22"/>
              </w:rPr>
            </w:pPr>
          </w:p>
          <w:p w:rsidR="000350CC" w:rsidRPr="005700E8" w:rsidRDefault="00B669D6" w:rsidP="00733F22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5700E8">
              <w:rPr>
                <w:rFonts w:ascii="Times New Roman" w:hAnsi="Times New Roman"/>
              </w:rPr>
              <w:t xml:space="preserve">Je možné predpokladať </w:t>
            </w:r>
            <w:r w:rsidR="008E42B5" w:rsidRPr="005700E8">
              <w:rPr>
                <w:rFonts w:ascii="Times New Roman" w:hAnsi="Times New Roman"/>
              </w:rPr>
              <w:t xml:space="preserve">iba </w:t>
            </w:r>
            <w:r w:rsidR="000350CC" w:rsidRPr="005700E8">
              <w:rPr>
                <w:rFonts w:ascii="Times New Roman" w:hAnsi="Times New Roman"/>
              </w:rPr>
              <w:t xml:space="preserve">mierny </w:t>
            </w:r>
            <w:r w:rsidRPr="005700E8">
              <w:rPr>
                <w:rFonts w:ascii="Times New Roman" w:hAnsi="Times New Roman"/>
              </w:rPr>
              <w:t>nárast počtu rizikových prác vzhľadom na sprísnenie TSH 8 karcinogénov, pričom zmeny počtu osôb vykonávajúcich rizikové práce nie je možné presne určiť.</w:t>
            </w:r>
            <w:r w:rsidR="00241FC9" w:rsidRPr="005700E8">
              <w:rPr>
                <w:rFonts w:ascii="Times New Roman" w:hAnsi="Times New Roman"/>
              </w:rPr>
              <w:t xml:space="preserve"> Predkladateľ nemá informácie o počte zamestnávateľov, ktorí zamestnávajú zamestnancov exponovaných chemickým karcinogénom a mutagénom, ktorých technické smerné hodnoty sú predmetom návrhu nariadenia vlády.</w:t>
            </w:r>
            <w:r w:rsidR="00241FC9" w:rsidRPr="005700E8">
              <w:t xml:space="preserve"> </w:t>
            </w:r>
            <w:r w:rsidR="000350CC" w:rsidRPr="005700E8">
              <w:rPr>
                <w:rFonts w:ascii="Times New Roman" w:hAnsi="Times New Roman"/>
              </w:rPr>
              <w:t>V Slovenskej republike bolo k 30.06.2019 evidovaných cca 500</w:t>
            </w:r>
            <w:r w:rsidR="000350CC" w:rsidRPr="005700E8">
              <w:rPr>
                <w:rStyle w:val="Textzstupnhosymbolu1"/>
                <w:color w:val="auto"/>
              </w:rPr>
              <w:t xml:space="preserve"> zamestnancov exponovaných karcinogénom</w:t>
            </w:r>
            <w:r w:rsidR="00241FC9" w:rsidRPr="005700E8">
              <w:rPr>
                <w:rStyle w:val="Textzstupnhosymbolu1"/>
                <w:color w:val="auto"/>
              </w:rPr>
              <w:t xml:space="preserve"> a mutagénom</w:t>
            </w:r>
            <w:r w:rsidR="000350CC" w:rsidRPr="005700E8">
              <w:rPr>
                <w:rStyle w:val="Textzstupnhosymbolu1"/>
                <w:color w:val="auto"/>
              </w:rPr>
              <w:t xml:space="preserve">, </w:t>
            </w:r>
            <w:r w:rsidR="00241FC9" w:rsidRPr="005700E8">
              <w:rPr>
                <w:rStyle w:val="Textzstupnhosymbolu1"/>
                <w:color w:val="auto"/>
              </w:rPr>
              <w:t xml:space="preserve">ktorí </w:t>
            </w:r>
            <w:r w:rsidR="00960BE1" w:rsidRPr="005700E8">
              <w:rPr>
                <w:rStyle w:val="Textzstupnhosymbolu1"/>
                <w:color w:val="auto"/>
              </w:rPr>
              <w:t xml:space="preserve">už </w:t>
            </w:r>
            <w:r w:rsidR="00241FC9" w:rsidRPr="005700E8">
              <w:rPr>
                <w:rStyle w:val="Textzstupnhosymbolu1"/>
                <w:color w:val="auto"/>
              </w:rPr>
              <w:t xml:space="preserve">vykonávali rizikovú prácu v kategórii 3 alebo 4 z dôvodu expozície </w:t>
            </w:r>
            <w:r w:rsidR="00960BE1" w:rsidRPr="005700E8">
              <w:rPr>
                <w:rStyle w:val="Textzstupnhosymbolu1"/>
                <w:color w:val="auto"/>
              </w:rPr>
              <w:t xml:space="preserve">karcinogénom a mutagénom, </w:t>
            </w:r>
            <w:r w:rsidR="000350CC" w:rsidRPr="005700E8">
              <w:rPr>
                <w:rStyle w:val="Textzstupnhosymbolu1"/>
                <w:color w:val="auto"/>
              </w:rPr>
              <w:t>ktoré sú predmetom návrhu nariadenia vlády.</w:t>
            </w:r>
            <w:r w:rsidR="00A568C2" w:rsidRPr="005700E8">
              <w:rPr>
                <w:rStyle w:val="Textzstupnhosymbolu1"/>
                <w:color w:val="auto"/>
              </w:rPr>
              <w:t xml:space="preserve"> </w:t>
            </w:r>
            <w:r w:rsidR="000350CC" w:rsidRPr="005700E8">
              <w:rPr>
                <w:rStyle w:val="Textzstupnhosymbolu1"/>
                <w:color w:val="auto"/>
              </w:rPr>
              <w:t xml:space="preserve">Vzhľadom na to sa predpokladá iba mierny nárast počtu rizikových prác, </w:t>
            </w:r>
            <w:r w:rsidR="000350CC" w:rsidRPr="005700E8">
              <w:rPr>
                <w:rStyle w:val="Textzstupnhosymbolu1"/>
                <w:color w:val="auto"/>
                <w:u w:val="single"/>
              </w:rPr>
              <w:t xml:space="preserve">keďže je zrejmé, že zamestnanci exponovaní </w:t>
            </w:r>
            <w:r w:rsidR="008E42B5" w:rsidRPr="005700E8">
              <w:rPr>
                <w:rStyle w:val="Textzstupnhosymbolu1"/>
                <w:color w:val="auto"/>
                <w:u w:val="single"/>
              </w:rPr>
              <w:t xml:space="preserve">karcinogénom, ktoré sú predmetom návrhu nariadenia vlády, už </w:t>
            </w:r>
            <w:r w:rsidR="00960BE1" w:rsidRPr="005700E8">
              <w:rPr>
                <w:rStyle w:val="Textzstupnhosymbolu1"/>
                <w:color w:val="auto"/>
                <w:u w:val="single"/>
              </w:rPr>
              <w:t xml:space="preserve">zväčša </w:t>
            </w:r>
            <w:r w:rsidR="008E42B5" w:rsidRPr="005700E8">
              <w:rPr>
                <w:rStyle w:val="Textzstupnhosymbolu1"/>
                <w:color w:val="auto"/>
                <w:u w:val="single"/>
              </w:rPr>
              <w:t>vykonávajú rizikovú prácu</w:t>
            </w:r>
            <w:r w:rsidR="008E42B5" w:rsidRPr="005700E8">
              <w:rPr>
                <w:rStyle w:val="Textzstupnhosymbolu1"/>
                <w:color w:val="auto"/>
              </w:rPr>
              <w:t>.</w:t>
            </w:r>
            <w:r w:rsidR="00960BE1" w:rsidRPr="005700E8">
              <w:rPr>
                <w:rStyle w:val="Textzstupnhosymbolu1"/>
                <w:color w:val="auto"/>
              </w:rPr>
              <w:t xml:space="preserve"> Tento trend nie je možné vyčísliť.</w:t>
            </w:r>
          </w:p>
          <w:p w:rsidR="00B669D6" w:rsidRPr="005700E8" w:rsidRDefault="00733F22" w:rsidP="00733F22">
            <w:pPr>
              <w:pStyle w:val="Odsekzoznamu"/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5700E8">
              <w:rPr>
                <w:rStyle w:val="Siln"/>
                <w:rFonts w:ascii="Times New Roman" w:hAnsi="Times New Roman"/>
                <w:b w:val="0"/>
              </w:rPr>
              <w:t xml:space="preserve">        </w:t>
            </w:r>
            <w:r w:rsidR="00B669D6" w:rsidRPr="005700E8">
              <w:rPr>
                <w:rStyle w:val="Siln"/>
                <w:rFonts w:ascii="Times New Roman" w:hAnsi="Times New Roman"/>
                <w:b w:val="0"/>
              </w:rPr>
              <w:t>Nepredpokladá sa, že bude potrebné určovať rizikové práce u všetkých dotknutých subjektov, ale iba u tých, ktorí nebudú môcť zabezpečiť dostatočné technické alebo technologické opatrenia</w:t>
            </w:r>
            <w:r w:rsidR="00B669D6" w:rsidRPr="005700E8">
              <w:rPr>
                <w:rFonts w:ascii="Times New Roman" w:hAnsi="Times New Roman"/>
              </w:rPr>
              <w:t xml:space="preserve"> na zníženie expozície zamestnancov uvedeným karcinogénom.</w:t>
            </w:r>
          </w:p>
          <w:p w:rsidR="002A50C8" w:rsidRPr="005700E8" w:rsidRDefault="002A50C8" w:rsidP="00733F22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5700E8">
              <w:rPr>
                <w:rFonts w:ascii="Times New Roman" w:hAnsi="Times New Roman"/>
              </w:rPr>
              <w:t>Najvyššie náklady sa predpokladajú v prípade malých a stredných podnikov, v ktorých sú zamestnanci exponovaní berýliu</w:t>
            </w:r>
            <w:r w:rsidR="008E42B5" w:rsidRPr="005700E8">
              <w:rPr>
                <w:rFonts w:ascii="Times New Roman" w:hAnsi="Times New Roman"/>
              </w:rPr>
              <w:t xml:space="preserve"> a kadmiu</w:t>
            </w:r>
            <w:r w:rsidRPr="005700E8">
              <w:rPr>
                <w:rFonts w:ascii="Times New Roman" w:hAnsi="Times New Roman"/>
              </w:rPr>
              <w:t xml:space="preserve">; najmä tie podniky, ktoré ešte nezabezpečili ochranu </w:t>
            </w:r>
            <w:r w:rsidRPr="005700E8">
              <w:rPr>
                <w:rFonts w:ascii="Times New Roman" w:hAnsi="Times New Roman"/>
              </w:rPr>
              <w:lastRenderedPageBreak/>
              <w:t xml:space="preserve">zamestnancov prostredníctvom používania uzavretých systémov alebo nahradením karcinogénov inými, menej nebezpečnými chemickými faktormi. </w:t>
            </w:r>
          </w:p>
          <w:p w:rsidR="00D30BC1" w:rsidRPr="005700E8" w:rsidRDefault="00FB6C6D" w:rsidP="00733F22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5700E8">
              <w:rPr>
                <w:rFonts w:ascii="Times New Roman" w:hAnsi="Times New Roman"/>
              </w:rPr>
              <w:t>Vyčíslenie</w:t>
            </w:r>
            <w:r w:rsidR="008E42B5" w:rsidRPr="005700E8">
              <w:rPr>
                <w:rFonts w:ascii="Times New Roman" w:hAnsi="Times New Roman"/>
              </w:rPr>
              <w:t xml:space="preserve"> nákladov na rizikovú prácu</w:t>
            </w:r>
            <w:r w:rsidRPr="005700E8">
              <w:rPr>
                <w:rFonts w:ascii="Times New Roman" w:hAnsi="Times New Roman"/>
              </w:rPr>
              <w:t>:</w:t>
            </w:r>
          </w:p>
          <w:p w:rsidR="00273926" w:rsidRPr="005700E8" w:rsidRDefault="00273926" w:rsidP="00793D9D">
            <w:pPr>
              <w:ind w:left="426"/>
              <w:jc w:val="both"/>
              <w:rPr>
                <w:sz w:val="22"/>
                <w:szCs w:val="22"/>
              </w:rPr>
            </w:pPr>
            <w:r w:rsidRPr="005700E8">
              <w:rPr>
                <w:sz w:val="22"/>
                <w:szCs w:val="22"/>
              </w:rPr>
              <w:t xml:space="preserve">V súčasnosti nie je možné </w:t>
            </w:r>
            <w:r w:rsidR="008C0DBA" w:rsidRPr="005700E8">
              <w:rPr>
                <w:sz w:val="22"/>
                <w:szCs w:val="22"/>
              </w:rPr>
              <w:t>negatívny</w:t>
            </w:r>
            <w:r w:rsidRPr="005700E8">
              <w:rPr>
                <w:sz w:val="22"/>
                <w:szCs w:val="22"/>
              </w:rPr>
              <w:t xml:space="preserve"> vplyv (pravdepodobné z</w:t>
            </w:r>
            <w:r w:rsidR="008C0DBA" w:rsidRPr="005700E8">
              <w:rPr>
                <w:sz w:val="22"/>
                <w:szCs w:val="22"/>
              </w:rPr>
              <w:t>výšenie</w:t>
            </w:r>
            <w:r w:rsidRPr="005700E8">
              <w:rPr>
                <w:sz w:val="22"/>
                <w:szCs w:val="22"/>
              </w:rPr>
              <w:t xml:space="preserve"> nákladov zamestnávateľov) kvantifikovať konkrétne, iba opisne:</w:t>
            </w:r>
          </w:p>
          <w:p w:rsidR="00273926" w:rsidRPr="005700E8" w:rsidRDefault="002757D7" w:rsidP="00793D9D">
            <w:pPr>
              <w:ind w:left="426"/>
              <w:jc w:val="both"/>
              <w:rPr>
                <w:rFonts w:cs="Calibri"/>
                <w:sz w:val="22"/>
                <w:szCs w:val="22"/>
              </w:rPr>
            </w:pPr>
            <w:r w:rsidRPr="005700E8">
              <w:rPr>
                <w:sz w:val="22"/>
                <w:szCs w:val="22"/>
              </w:rPr>
              <w:t>V prípade vyhlásenia rizikovej práce u 1 zamestnanca sa zvýšenie nákladov zamestnávateľa bude týkať nasledujúcich položiek: mzdovej kompenzácie za sťažený výkon práce, príspevku zamestnávateľa na doplnkové dôchodkové sporenie zamestnanca, ktorý vykonáva prácu zaradenú do kategórie 3 a 4, výkonu lekárskej preventívnej prehliadky vo vzťahu k práci (v prípade vyhlásenia rizikovej práce 3. kategórie je to 1 x za 2 roky a v prípade 4. kategórie je to každý rok) a rekondičného pobytu (1 x za 5 rokov pri práci v kategórii 3 a následne každé štyri roky; 1 x za 4 roky pri práci v kategórii 4 a následne každé tri roky).</w:t>
            </w:r>
          </w:p>
          <w:p w:rsidR="00273926" w:rsidRPr="005700E8" w:rsidRDefault="00273926" w:rsidP="00793D9D">
            <w:pPr>
              <w:ind w:left="426"/>
              <w:jc w:val="both"/>
              <w:rPr>
                <w:rFonts w:cs="Calibri"/>
                <w:sz w:val="22"/>
                <w:szCs w:val="22"/>
              </w:rPr>
            </w:pPr>
            <w:r w:rsidRPr="005700E8">
              <w:rPr>
                <w:rFonts w:cs="Calibri"/>
                <w:sz w:val="22"/>
                <w:szCs w:val="22"/>
              </w:rPr>
              <w:t xml:space="preserve">Mzdová kompenzácia za sťažený výkon práce predstavuje </w:t>
            </w:r>
            <w:r w:rsidRPr="005700E8">
              <w:rPr>
                <w:sz w:val="22"/>
                <w:szCs w:val="22"/>
              </w:rPr>
              <w:t xml:space="preserve"> </w:t>
            </w:r>
            <w:r w:rsidRPr="005700E8">
              <w:rPr>
                <w:rFonts w:cs="Calibri"/>
                <w:sz w:val="22"/>
                <w:szCs w:val="22"/>
              </w:rPr>
              <w:t>najmenej 20 % minimálnej mzdy v eurách za hodinu (§ 124 Zákonníka práce).</w:t>
            </w:r>
            <w:r w:rsidR="00643E65" w:rsidRPr="005700E8">
              <w:rPr>
                <w:rFonts w:cs="Calibri"/>
                <w:sz w:val="22"/>
                <w:szCs w:val="22"/>
              </w:rPr>
              <w:t xml:space="preserve"> </w:t>
            </w:r>
          </w:p>
          <w:p w:rsidR="00643E65" w:rsidRPr="005700E8" w:rsidRDefault="00B64812" w:rsidP="00793D9D">
            <w:pPr>
              <w:ind w:left="426"/>
              <w:jc w:val="both"/>
              <w:rPr>
                <w:rFonts w:cs="Calibri"/>
                <w:sz w:val="22"/>
                <w:szCs w:val="22"/>
              </w:rPr>
            </w:pPr>
            <w:r w:rsidRPr="005700E8">
              <w:rPr>
                <w:rFonts w:ascii="Times" w:hAnsi="Times" w:cs="Times"/>
                <w:sz w:val="22"/>
                <w:szCs w:val="22"/>
              </w:rPr>
              <w:t>Príspevok zamestnávateľa na doplnkové dôchodkové sporenie za zamestnanca, ktorý vykonáva prácu zaradenú do kategórie 3 a 4 je p</w:t>
            </w:r>
            <w:r w:rsidR="007B7171" w:rsidRPr="005700E8">
              <w:rPr>
                <w:rFonts w:ascii="Times" w:hAnsi="Times" w:cs="Times"/>
                <w:sz w:val="22"/>
                <w:szCs w:val="22"/>
              </w:rPr>
              <w:t>odľa § 13 ods. 3 zákona č. 650/2004 Z. z. najmenej 2 % z a) vymeriavacieho základu zamestnanca na platenie poistného na dôchodkové poistenie podľa osobitného predpisu (zákon č. 461/2003 Z. z.), b) príjmu zúčtovaného na výplatu, ak ide o zamestnanca, ktorý nie je povinne dôchodkovo poistený.</w:t>
            </w:r>
          </w:p>
          <w:p w:rsidR="008D26FA" w:rsidRPr="005700E8" w:rsidRDefault="00643E65" w:rsidP="00793D9D">
            <w:pPr>
              <w:ind w:left="426"/>
              <w:jc w:val="both"/>
              <w:rPr>
                <w:rFonts w:cs="Calibri"/>
                <w:sz w:val="22"/>
                <w:szCs w:val="22"/>
              </w:rPr>
            </w:pPr>
            <w:r w:rsidRPr="005700E8">
              <w:rPr>
                <w:rFonts w:cs="Calibri"/>
                <w:sz w:val="22"/>
                <w:szCs w:val="22"/>
              </w:rPr>
              <w:t xml:space="preserve">Predkladateľ </w:t>
            </w:r>
            <w:r w:rsidR="00E7434D" w:rsidRPr="005700E8">
              <w:rPr>
                <w:rFonts w:cs="Calibri"/>
                <w:sz w:val="22"/>
                <w:szCs w:val="22"/>
              </w:rPr>
              <w:t xml:space="preserve">však </w:t>
            </w:r>
            <w:r w:rsidRPr="005700E8">
              <w:rPr>
                <w:rFonts w:cs="Calibri"/>
                <w:sz w:val="22"/>
                <w:szCs w:val="22"/>
              </w:rPr>
              <w:t>nepozná vymeriavacie základy jednotlivých dotknutých zamestnancov</w:t>
            </w:r>
            <w:r w:rsidR="00AF115F" w:rsidRPr="005700E8">
              <w:rPr>
                <w:rFonts w:cs="Calibri"/>
                <w:sz w:val="22"/>
                <w:szCs w:val="22"/>
              </w:rPr>
              <w:t xml:space="preserve"> ani ich počet</w:t>
            </w:r>
            <w:r w:rsidR="00642ED5" w:rsidRPr="005700E8">
              <w:rPr>
                <w:rFonts w:cs="Calibri"/>
                <w:sz w:val="22"/>
                <w:szCs w:val="22"/>
              </w:rPr>
              <w:t>.</w:t>
            </w:r>
          </w:p>
          <w:p w:rsidR="002757D7" w:rsidRPr="005700E8" w:rsidRDefault="002757D7" w:rsidP="002757D7">
            <w:pPr>
              <w:pStyle w:val="Normlnywebov"/>
              <w:spacing w:before="0" w:beforeAutospacing="0" w:after="0" w:afterAutospacing="0"/>
              <w:ind w:left="426"/>
              <w:jc w:val="both"/>
              <w:rPr>
                <w:sz w:val="22"/>
                <w:szCs w:val="22"/>
              </w:rPr>
            </w:pPr>
            <w:r w:rsidRPr="005700E8">
              <w:rPr>
                <w:sz w:val="22"/>
                <w:szCs w:val="22"/>
              </w:rPr>
              <w:t>Nie je možné vyčísliť ani cenu lekárskej preventívnej prehliadky vo vzťahu k práci, nakoľko ich cena nie je regulovaná a závisí od rozsahu vyšetrení na základe odborného uváženia lekára vykonávajúceho uvedenú prehliadku podľa odborného usmernenia MZ SR o náplni lekárskych preventívnych prehliadok vo vzťahu k práci.</w:t>
            </w:r>
          </w:p>
          <w:p w:rsidR="002757D7" w:rsidRPr="005700E8" w:rsidRDefault="002757D7" w:rsidP="002757D7">
            <w:pPr>
              <w:ind w:left="426"/>
              <w:jc w:val="both"/>
              <w:rPr>
                <w:sz w:val="22"/>
                <w:szCs w:val="22"/>
              </w:rPr>
            </w:pPr>
            <w:r w:rsidRPr="005700E8">
              <w:rPr>
                <w:sz w:val="22"/>
                <w:szCs w:val="22"/>
              </w:rPr>
              <w:t>Taktiež predkladateľ nepozná cenu rekondičného pobytu, ktorá je individuálna na základe voľnej cenotvorby.</w:t>
            </w:r>
          </w:p>
          <w:p w:rsidR="00BA6F42" w:rsidRPr="005700E8" w:rsidRDefault="00BA6F42" w:rsidP="002757D7">
            <w:pPr>
              <w:ind w:left="426"/>
              <w:jc w:val="both"/>
              <w:rPr>
                <w:sz w:val="22"/>
                <w:szCs w:val="22"/>
              </w:rPr>
            </w:pPr>
            <w:r w:rsidRPr="005700E8">
              <w:rPr>
                <w:sz w:val="22"/>
                <w:szCs w:val="22"/>
              </w:rPr>
              <w:t>Pri výpočte priamych nákladov na rizikové práce sa vychádzalo z priemernej mzdy v r. 2019 vo výške 1092 EUR a vypočítali sa kompenzácie vo výške 20 % (2621 EUR za rok), príspevky DDS 2% vo výške 262 EUR za rok, náklady na lekársku preventívnu prehliadku vo vzťahu k práci vo výške 60 EUR a cena rekondičného pobytu 500 EUR. Celková cena rizikovej práce na 1 zamestnanca predstavuje výšku 3443 EUR. Keďže je zrejmé, že zamestnanci exponovaní karcinogénom, ktoré sú predmetom návrhu nariadenia vlády, už zväčša vykonávajú rizikovú prácu, odhaduje sa mierny nárast rizikových prác v počte cca 50 zamestnancov, čo predstavuje náklad na rizikové práce 172 150 EUR.</w:t>
            </w:r>
          </w:p>
          <w:p w:rsidR="008A5F2C" w:rsidRPr="005700E8" w:rsidRDefault="008A5F2C" w:rsidP="005C4F0C">
            <w:pPr>
              <w:jc w:val="both"/>
              <w:rPr>
                <w:sz w:val="22"/>
                <w:szCs w:val="22"/>
              </w:rPr>
            </w:pPr>
          </w:p>
          <w:p w:rsidR="00B64812" w:rsidRPr="005700E8" w:rsidRDefault="00B64812" w:rsidP="006F6A9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5700E8">
              <w:rPr>
                <w:rFonts w:ascii="Times New Roman" w:hAnsi="Times New Roman"/>
              </w:rPr>
              <w:t xml:space="preserve">Finančné náklady na meranie karcinogénov v pracovnom ovzduší a na úpravu existujúcich, najmä technických opatrení, alebo na zavedenie nových opatrení v pracovnom prostredí, kde sa vyskytujú karcinogény, ktorých TSH sú revidované. V prípade niektorých karcinogénov bude mať zvolená možnosť vplyv na prevádzkové náklady podnikov, ktoré budú musieť zaviesť dodatočné ochranné a preventívne opatrenia. Z údajov uvedených v štúdii Európskej komisie sa navýšenie finančných nákladov predpokladá u podnikov, v ktorých sú zamestnanci exponovaní najmä trichlóretylénu, minerálnym olejom, ktoré boli predtým použité v motoroch s vnútorným spaľovaním, kadmiu </w:t>
            </w:r>
            <w:r w:rsidR="00A976AB" w:rsidRPr="005700E8">
              <w:rPr>
                <w:rFonts w:ascii="Times New Roman" w:hAnsi="Times New Roman"/>
              </w:rPr>
              <w:t xml:space="preserve">a jeho anorganickým zlúčeninám. </w:t>
            </w:r>
            <w:r w:rsidRPr="005700E8">
              <w:rPr>
                <w:rFonts w:ascii="Times New Roman" w:hAnsi="Times New Roman"/>
              </w:rPr>
              <w:t>Na zmiernenie technických alebo hospodárskych dopadov, ktorým môžu čeliť zamestnávatelia z dôvodu zavedenia revidovaných TSH sa v prípade vybraných karcinogénov uplatňujú prechodné obdobia: (kadmium a jeho anorganické zlúčeniny do 11.07.2027, berýlium a jeho anor</w:t>
            </w:r>
            <w:r w:rsidR="00A976AB" w:rsidRPr="005700E8">
              <w:rPr>
                <w:rFonts w:ascii="Times New Roman" w:hAnsi="Times New Roman"/>
              </w:rPr>
              <w:t>ganické zlúčeniny do 11.07.2026</w:t>
            </w:r>
            <w:r w:rsidRPr="005700E8">
              <w:rPr>
                <w:rFonts w:ascii="Times New Roman" w:hAnsi="Times New Roman"/>
              </w:rPr>
              <w:t xml:space="preserve">). V prípade anorganických zlúčenín arzénu vrátane kyseliny arzeničnej a jej solí sa </w:t>
            </w:r>
            <w:r w:rsidRPr="005700E8">
              <w:rPr>
                <w:rFonts w:ascii="Times New Roman" w:hAnsi="Times New Roman"/>
                <w:bCs/>
              </w:rPr>
              <w:t xml:space="preserve">pri tavení medi </w:t>
            </w:r>
            <w:r w:rsidRPr="005700E8">
              <w:rPr>
                <w:rFonts w:ascii="Times New Roman" w:hAnsi="Times New Roman"/>
              </w:rPr>
              <w:t>revidovaná TSH</w:t>
            </w:r>
            <w:r w:rsidRPr="005700E8">
              <w:rPr>
                <w:rFonts w:ascii="Times New Roman" w:hAnsi="Times New Roman"/>
                <w:bCs/>
              </w:rPr>
              <w:t xml:space="preserve"> uplatňuje </w:t>
            </w:r>
            <w:r w:rsidRPr="005700E8">
              <w:rPr>
                <w:rFonts w:ascii="Times New Roman" w:hAnsi="Times New Roman"/>
              </w:rPr>
              <w:t>od 11. júla 2023.</w:t>
            </w:r>
          </w:p>
          <w:p w:rsidR="00B64812" w:rsidRPr="005700E8" w:rsidRDefault="00B64812" w:rsidP="00B64812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5700E8">
              <w:t xml:space="preserve"> </w:t>
            </w:r>
            <w:r w:rsidRPr="005700E8">
              <w:rPr>
                <w:rFonts w:ascii="Times New Roman" w:hAnsi="Times New Roman"/>
              </w:rPr>
              <w:t>Vyčíslenie:</w:t>
            </w:r>
          </w:p>
          <w:p w:rsidR="00B64812" w:rsidRPr="005700E8" w:rsidRDefault="00B64812" w:rsidP="00B64812">
            <w:pPr>
              <w:ind w:left="426"/>
              <w:jc w:val="both"/>
              <w:rPr>
                <w:sz w:val="22"/>
                <w:szCs w:val="22"/>
              </w:rPr>
            </w:pPr>
            <w:r w:rsidRPr="005700E8">
              <w:rPr>
                <w:sz w:val="22"/>
                <w:szCs w:val="22"/>
              </w:rPr>
              <w:t xml:space="preserve">Nie je možné kvantifikovať konkrétne, nakoľko technické a technologické opatrenia, ktoré si návrh nariadenia vlády vyžiada, sú individuálne a závisia od </w:t>
            </w:r>
            <w:r w:rsidR="00775CDD" w:rsidRPr="005700E8">
              <w:rPr>
                <w:sz w:val="22"/>
                <w:szCs w:val="22"/>
              </w:rPr>
              <w:t xml:space="preserve">druhu výroby a </w:t>
            </w:r>
            <w:r w:rsidRPr="005700E8">
              <w:rPr>
                <w:sz w:val="22"/>
                <w:szCs w:val="22"/>
              </w:rPr>
              <w:t xml:space="preserve">aktuálneho stavu vybavenosti jednotlivých dotknutých podnikov. </w:t>
            </w:r>
          </w:p>
          <w:p w:rsidR="00B64812" w:rsidRPr="005700E8" w:rsidRDefault="00A976AB" w:rsidP="00B64812">
            <w:pPr>
              <w:ind w:left="426"/>
              <w:jc w:val="both"/>
              <w:rPr>
                <w:sz w:val="22"/>
                <w:szCs w:val="22"/>
              </w:rPr>
            </w:pPr>
            <w:r w:rsidRPr="005700E8">
              <w:rPr>
                <w:sz w:val="22"/>
                <w:szCs w:val="22"/>
              </w:rPr>
              <w:t>J</w:t>
            </w:r>
            <w:r w:rsidR="00B64812" w:rsidRPr="005700E8">
              <w:rPr>
                <w:sz w:val="22"/>
                <w:szCs w:val="22"/>
              </w:rPr>
              <w:t>e možné uviesť približné ceny za meranie faktorov v pracovnom ovzduší (cenotvorba nie je regulovaná):</w:t>
            </w:r>
          </w:p>
          <w:p w:rsidR="00B64812" w:rsidRPr="005700E8" w:rsidRDefault="00B64812" w:rsidP="00B64812">
            <w:pPr>
              <w:ind w:left="426"/>
              <w:jc w:val="both"/>
              <w:rPr>
                <w:sz w:val="22"/>
                <w:szCs w:val="22"/>
              </w:rPr>
            </w:pPr>
            <w:r w:rsidRPr="005700E8">
              <w:rPr>
                <w:sz w:val="22"/>
                <w:szCs w:val="22"/>
              </w:rPr>
              <w:t>- odber vzoriek podľa platných noriem a štandardných pracovných postupov     15,00/1 hod. VŠ</w:t>
            </w:r>
          </w:p>
          <w:p w:rsidR="00B64812" w:rsidRPr="005700E8" w:rsidRDefault="00B64812" w:rsidP="00B64812">
            <w:pPr>
              <w:ind w:left="426"/>
              <w:jc w:val="both"/>
              <w:rPr>
                <w:sz w:val="22"/>
                <w:szCs w:val="22"/>
              </w:rPr>
            </w:pPr>
            <w:r w:rsidRPr="005700E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8,00/1 hod. SŠ</w:t>
            </w:r>
          </w:p>
          <w:p w:rsidR="00B64812" w:rsidRPr="005700E8" w:rsidRDefault="00B64812" w:rsidP="00B64812">
            <w:pPr>
              <w:ind w:left="426"/>
              <w:jc w:val="both"/>
              <w:rPr>
                <w:sz w:val="22"/>
                <w:szCs w:val="22"/>
              </w:rPr>
            </w:pPr>
            <w:r w:rsidRPr="005700E8">
              <w:rPr>
                <w:sz w:val="22"/>
                <w:szCs w:val="22"/>
              </w:rPr>
              <w:lastRenderedPageBreak/>
              <w:t>- sadzba za dopravu pri použití dopravného prostriedku                                       0,50/1 km</w:t>
            </w:r>
          </w:p>
          <w:p w:rsidR="00B64812" w:rsidRPr="005700E8" w:rsidRDefault="00B64812" w:rsidP="00B64812">
            <w:pPr>
              <w:ind w:left="426"/>
              <w:jc w:val="both"/>
              <w:rPr>
                <w:sz w:val="22"/>
                <w:szCs w:val="22"/>
              </w:rPr>
            </w:pPr>
            <w:r w:rsidRPr="005700E8">
              <w:rPr>
                <w:sz w:val="22"/>
                <w:szCs w:val="22"/>
              </w:rPr>
              <w:t xml:space="preserve">- spracovanie výsledkov a vyhotovenie protokolu o skúškach                              15,00/1 hod. </w:t>
            </w:r>
          </w:p>
          <w:p w:rsidR="00B64812" w:rsidRPr="005700E8" w:rsidRDefault="00B64812" w:rsidP="00B64812">
            <w:pPr>
              <w:ind w:left="426"/>
              <w:jc w:val="both"/>
              <w:rPr>
                <w:sz w:val="22"/>
                <w:szCs w:val="22"/>
              </w:rPr>
            </w:pPr>
            <w:r w:rsidRPr="005700E8">
              <w:rPr>
                <w:sz w:val="22"/>
                <w:szCs w:val="22"/>
              </w:rPr>
              <w:t>- určenie karcinogénu podľa akreditovanej/štandardizovanej metódy                  10 - 50 Eur/látku</w:t>
            </w:r>
          </w:p>
          <w:p w:rsidR="00E442C7" w:rsidRPr="005700E8" w:rsidRDefault="00E442C7" w:rsidP="00B64812">
            <w:pPr>
              <w:pStyle w:val="Odsekzoznamu"/>
              <w:spacing w:line="240" w:lineRule="auto"/>
              <w:ind w:left="426"/>
              <w:jc w:val="both"/>
              <w:rPr>
                <w:rFonts w:ascii="Times New Roman" w:hAnsi="Times New Roman"/>
              </w:rPr>
            </w:pPr>
          </w:p>
          <w:p w:rsidR="00B64812" w:rsidRPr="005700E8" w:rsidRDefault="00B64812" w:rsidP="00B64812">
            <w:pPr>
              <w:pStyle w:val="Odsekzoznamu"/>
              <w:spacing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5700E8">
              <w:rPr>
                <w:rFonts w:ascii="Times New Roman" w:hAnsi="Times New Roman"/>
              </w:rPr>
              <w:t>Objektivizáciu chemických faktorov</w:t>
            </w:r>
            <w:r w:rsidR="00E442C7" w:rsidRPr="005700E8">
              <w:rPr>
                <w:rFonts w:ascii="Times New Roman" w:hAnsi="Times New Roman"/>
              </w:rPr>
              <w:t xml:space="preserve"> vrátane karcinogénnych a mutagénnych faktorov </w:t>
            </w:r>
            <w:r w:rsidRPr="005700E8">
              <w:rPr>
                <w:rFonts w:ascii="Times New Roman" w:hAnsi="Times New Roman"/>
              </w:rPr>
              <w:t xml:space="preserve">v pracovnom ovzduší vykonávajú odborne spôsobilé osoby na odber vzoriek zo životného prostredia a z pracovného prostredia na účely  kvalitatívneho  a  kvantitatívneho zisťovania faktorov životného prostredia </w:t>
            </w:r>
            <w:r w:rsidR="00E442C7" w:rsidRPr="005700E8">
              <w:rPr>
                <w:rFonts w:ascii="Times New Roman" w:hAnsi="Times New Roman"/>
              </w:rPr>
              <w:t>a pracovného prostredia a odborne spôsobilé osoby na kvalitatívne a kvantitatívne zisťovanie faktorov životného prostredia a pracovného prostredia na účely posudzovania ich možného vplyvu na zdravie</w:t>
            </w:r>
            <w:r w:rsidRPr="005700E8">
              <w:rPr>
                <w:rFonts w:ascii="Times New Roman" w:hAnsi="Times New Roman"/>
              </w:rPr>
              <w:t>; register odborne spôsobilých osôb vedie na internetovej stránke Úrad verejného zdravotníctva SR.</w:t>
            </w:r>
            <w:r w:rsidR="00E442C7" w:rsidRPr="005700E8">
              <w:rPr>
                <w:rFonts w:ascii="Times New Roman" w:hAnsi="Times New Roman"/>
              </w:rPr>
              <w:t xml:space="preserve"> </w:t>
            </w:r>
          </w:p>
          <w:p w:rsidR="00BA6F42" w:rsidRPr="005700E8" w:rsidRDefault="00BA6F42" w:rsidP="00B64812">
            <w:pPr>
              <w:pStyle w:val="Odsekzoznamu"/>
              <w:spacing w:line="240" w:lineRule="auto"/>
              <w:ind w:left="426"/>
              <w:jc w:val="both"/>
              <w:rPr>
                <w:rFonts w:ascii="Times New Roman" w:hAnsi="Times New Roman"/>
                <w:highlight w:val="yellow"/>
              </w:rPr>
            </w:pPr>
            <w:r w:rsidRPr="005700E8">
              <w:rPr>
                <w:rFonts w:ascii="Times New Roman" w:hAnsi="Times New Roman"/>
              </w:rPr>
              <w:t>Náklady na posúdenie zdravotného rizika pri práci a meranie koncentrácie karcinogénov v pracovnom ovzduší nevyčísľujeme, nakoľko nie sú novým nákladom tohto návrhu, keďže všetkých 10 karcinogénov sa už v legislatíve SR nachádza a teda sa s nimi pracuje a bez ohľadu na návrh sa podľa príslušných právnych predpisov vykonáva aj posúdenie zdravotného rizika pri práci aj meranie koncentrácie karcinogénov v pracovnom ovzduší.</w:t>
            </w:r>
          </w:p>
          <w:p w:rsidR="00B64812" w:rsidRPr="005700E8" w:rsidRDefault="00B64812" w:rsidP="00B64812">
            <w:pPr>
              <w:pStyle w:val="Odsekzoznamu"/>
              <w:spacing w:line="240" w:lineRule="auto"/>
              <w:ind w:left="426"/>
              <w:jc w:val="both"/>
            </w:pPr>
          </w:p>
          <w:p w:rsidR="008A5F2C" w:rsidRPr="005700E8" w:rsidRDefault="008A5F2C" w:rsidP="00785F4C">
            <w:pPr>
              <w:pStyle w:val="Odsekzoznamu"/>
              <w:numPr>
                <w:ilvl w:val="0"/>
                <w:numId w:val="9"/>
              </w:numPr>
              <w:spacing w:line="240" w:lineRule="auto"/>
              <w:ind w:left="426" w:hanging="426"/>
              <w:jc w:val="both"/>
            </w:pPr>
            <w:r w:rsidRPr="005700E8">
              <w:rPr>
                <w:rFonts w:ascii="Times New Roman" w:hAnsi="Times New Roman"/>
              </w:rPr>
              <w:t>Malé a stredné podniky nie sú vyňaté spod pôsobnosti smernice</w:t>
            </w:r>
            <w:r w:rsidR="00A74865" w:rsidRPr="005700E8">
              <w:rPr>
                <w:rFonts w:ascii="Times New Roman" w:hAnsi="Times New Roman"/>
              </w:rPr>
              <w:t xml:space="preserve"> a teda ani návrhu nariadenia vlády</w:t>
            </w:r>
            <w:r w:rsidRPr="005700E8">
              <w:rPr>
                <w:rFonts w:ascii="Times New Roman" w:hAnsi="Times New Roman"/>
              </w:rPr>
              <w:t xml:space="preserve">, neplánujú sa žiadne menej prísne režimy, pretože by to mohlo viesť k rôznej úrovni ochrany </w:t>
            </w:r>
            <w:r w:rsidR="00733F22" w:rsidRPr="005700E8">
              <w:rPr>
                <w:rFonts w:ascii="Times New Roman" w:hAnsi="Times New Roman"/>
              </w:rPr>
              <w:t xml:space="preserve">zdravia </w:t>
            </w:r>
            <w:r w:rsidRPr="005700E8">
              <w:rPr>
                <w:rFonts w:ascii="Times New Roman" w:hAnsi="Times New Roman"/>
              </w:rPr>
              <w:t xml:space="preserve">pracovníkov v závislosti od veľkosti podniku. </w:t>
            </w:r>
          </w:p>
        </w:tc>
      </w:tr>
      <w:tr w:rsidR="005700E8" w:rsidRPr="005700E8" w:rsidTr="008D26FA">
        <w:tc>
          <w:tcPr>
            <w:tcW w:w="9212" w:type="dxa"/>
          </w:tcPr>
          <w:p w:rsidR="008D26FA" w:rsidRPr="005700E8" w:rsidRDefault="008D26FA" w:rsidP="008D26FA">
            <w:pPr>
              <w:rPr>
                <w:b/>
                <w:i/>
              </w:rPr>
            </w:pPr>
            <w:r w:rsidRPr="005700E8">
              <w:rPr>
                <w:b/>
                <w:i/>
              </w:rPr>
              <w:lastRenderedPageBreak/>
              <w:t>3.3.2 Nepriame finančné náklady</w:t>
            </w:r>
          </w:p>
          <w:p w:rsidR="008D26FA" w:rsidRPr="005700E8" w:rsidRDefault="008D26FA" w:rsidP="008D26FA">
            <w:pPr>
              <w:rPr>
                <w:i/>
              </w:rPr>
            </w:pPr>
          </w:p>
        </w:tc>
      </w:tr>
      <w:tr w:rsidR="005700E8" w:rsidRPr="005700E8" w:rsidTr="008D26FA">
        <w:tc>
          <w:tcPr>
            <w:tcW w:w="9212" w:type="dxa"/>
          </w:tcPr>
          <w:p w:rsidR="00733F22" w:rsidRPr="005700E8" w:rsidRDefault="00733F22" w:rsidP="00D30BC1">
            <w:pPr>
              <w:jc w:val="both"/>
              <w:rPr>
                <w:sz w:val="22"/>
                <w:szCs w:val="22"/>
              </w:rPr>
            </w:pPr>
          </w:p>
          <w:p w:rsidR="00D30BC1" w:rsidRPr="005700E8" w:rsidRDefault="00D30BC1" w:rsidP="00D30BC1">
            <w:pPr>
              <w:jc w:val="both"/>
              <w:rPr>
                <w:sz w:val="22"/>
                <w:szCs w:val="22"/>
                <w:u w:val="single"/>
              </w:rPr>
            </w:pPr>
            <w:r w:rsidRPr="005700E8">
              <w:rPr>
                <w:sz w:val="22"/>
                <w:szCs w:val="22"/>
                <w:u w:val="single"/>
              </w:rPr>
              <w:t>Pozitívny vplyv na podnikateľské prostredie:</w:t>
            </w:r>
          </w:p>
          <w:p w:rsidR="00733F22" w:rsidRPr="005700E8" w:rsidRDefault="00733F22" w:rsidP="00D30BC1">
            <w:pPr>
              <w:jc w:val="both"/>
              <w:rPr>
                <w:sz w:val="22"/>
                <w:szCs w:val="22"/>
              </w:rPr>
            </w:pPr>
          </w:p>
          <w:p w:rsidR="008A5F2C" w:rsidRPr="005700E8" w:rsidRDefault="00793D9D" w:rsidP="00775CDD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5700E8">
              <w:rPr>
                <w:rFonts w:ascii="Times New Roman" w:hAnsi="Times New Roman"/>
              </w:rPr>
              <w:t>Z</w:t>
            </w:r>
            <w:r w:rsidR="00D30BC1" w:rsidRPr="005700E8">
              <w:rPr>
                <w:rFonts w:ascii="Times New Roman" w:hAnsi="Times New Roman"/>
              </w:rPr>
              <w:t xml:space="preserve">lepšenie ochrany zdravia zamestnancov pri práci zavedením nových </w:t>
            </w:r>
            <w:r w:rsidRPr="005700E8">
              <w:rPr>
                <w:rFonts w:ascii="Times New Roman" w:hAnsi="Times New Roman"/>
              </w:rPr>
              <w:t>TSH</w:t>
            </w:r>
            <w:r w:rsidR="00D30BC1" w:rsidRPr="005700E8">
              <w:rPr>
                <w:rFonts w:ascii="Times New Roman" w:hAnsi="Times New Roman"/>
              </w:rPr>
              <w:t xml:space="preserve"> a revidovaných </w:t>
            </w:r>
            <w:r w:rsidRPr="005700E8">
              <w:rPr>
                <w:rFonts w:ascii="Times New Roman" w:hAnsi="Times New Roman"/>
              </w:rPr>
              <w:t>TSH</w:t>
            </w:r>
            <w:r w:rsidR="00D30BC1" w:rsidRPr="005700E8">
              <w:rPr>
                <w:rFonts w:ascii="Times New Roman" w:hAnsi="Times New Roman"/>
              </w:rPr>
              <w:t xml:space="preserve"> v zmysle nižších hodnôt oproti súčasným hodnotám </w:t>
            </w:r>
            <w:r w:rsidRPr="005700E8">
              <w:rPr>
                <w:rFonts w:ascii="Times New Roman" w:hAnsi="Times New Roman"/>
              </w:rPr>
              <w:t>TSH</w:t>
            </w:r>
            <w:r w:rsidR="00D30BC1" w:rsidRPr="005700E8">
              <w:rPr>
                <w:rFonts w:ascii="Times New Roman" w:hAnsi="Times New Roman"/>
              </w:rPr>
              <w:t>; predpokladá sa nižší výskyt chorôb z povolania a ochorení súvisiacich s</w:t>
            </w:r>
            <w:r w:rsidR="008A5F2C" w:rsidRPr="005700E8">
              <w:rPr>
                <w:rFonts w:ascii="Times New Roman" w:hAnsi="Times New Roman"/>
              </w:rPr>
              <w:t> </w:t>
            </w:r>
            <w:r w:rsidR="00D30BC1" w:rsidRPr="005700E8">
              <w:rPr>
                <w:rFonts w:ascii="Times New Roman" w:hAnsi="Times New Roman"/>
              </w:rPr>
              <w:t>prácou</w:t>
            </w:r>
            <w:r w:rsidR="008A5F2C" w:rsidRPr="005700E8">
              <w:rPr>
                <w:rFonts w:ascii="Times New Roman" w:hAnsi="Times New Roman"/>
              </w:rPr>
              <w:t xml:space="preserve">. </w:t>
            </w:r>
          </w:p>
          <w:p w:rsidR="009F3D49" w:rsidRPr="005700E8" w:rsidRDefault="009F3D49" w:rsidP="00775CDD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5700E8">
              <w:rPr>
                <w:rFonts w:ascii="Times New Roman" w:hAnsi="Times New Roman"/>
              </w:rPr>
              <w:t xml:space="preserve">Predpokladá sa prínos pre zamestnávateľov v podobe nižších strát produktivity práce zamestnancov v dôsledku ich zlého zdravotného stavu. Zo štúdie vypracovanej v mene Európskej komisie vyplýva, že najvyššie očakávané prínosy pre rôzne zainteresované strany v rámci členských štátov sú: </w:t>
            </w:r>
          </w:p>
          <w:p w:rsidR="009F3D49" w:rsidRPr="005700E8" w:rsidRDefault="009F3D49" w:rsidP="00775CDD">
            <w:pPr>
              <w:numPr>
                <w:ilvl w:val="1"/>
                <w:numId w:val="13"/>
              </w:numPr>
              <w:tabs>
                <w:tab w:val="clear" w:pos="1440"/>
              </w:tabs>
              <w:ind w:left="709" w:hanging="283"/>
              <w:jc w:val="both"/>
              <w:rPr>
                <w:sz w:val="22"/>
                <w:szCs w:val="22"/>
              </w:rPr>
            </w:pPr>
            <w:r w:rsidRPr="005700E8">
              <w:rPr>
                <w:sz w:val="22"/>
                <w:szCs w:val="22"/>
              </w:rPr>
              <w:t xml:space="preserve">berýlium: zavedením limitnej hodnoty v pracovnom ovzduší sa predpokladá prínos pre podniky 15 miliónov eur, </w:t>
            </w:r>
          </w:p>
          <w:p w:rsidR="009F3D49" w:rsidRPr="005700E8" w:rsidRDefault="009F3D49" w:rsidP="00775CDD">
            <w:pPr>
              <w:numPr>
                <w:ilvl w:val="1"/>
                <w:numId w:val="13"/>
              </w:numPr>
              <w:tabs>
                <w:tab w:val="clear" w:pos="1440"/>
              </w:tabs>
              <w:ind w:left="709" w:hanging="283"/>
              <w:jc w:val="both"/>
              <w:rPr>
                <w:sz w:val="22"/>
                <w:szCs w:val="22"/>
              </w:rPr>
            </w:pPr>
            <w:r w:rsidRPr="005700E8">
              <w:rPr>
                <w:sz w:val="22"/>
                <w:szCs w:val="22"/>
              </w:rPr>
              <w:t xml:space="preserve">zaradenie práce, pri ktorej dochádza k expozícii cez kožu účinkom minerálnych olejov, ktoré boli predtým použité v motoroch s vnútorným spaľovaním na mazanie a chladenie pohyblivých častí vo vnútri motora do zoznamu látok, zmesí a pracovných procesov s rizikom chemickej karcinogenity: záchrana 880 životov, zníženie počtu prípadov rakoviny o 90 000, pričom celkový prínos súvisiaci s úsporou zdravotných nákladov počas 50 rokov je vyčíslený na 0,3 až 1,6 mld. eur, </w:t>
            </w:r>
          </w:p>
          <w:p w:rsidR="009F3D49" w:rsidRPr="005700E8" w:rsidRDefault="009F3D49" w:rsidP="00775CDD">
            <w:pPr>
              <w:numPr>
                <w:ilvl w:val="1"/>
                <w:numId w:val="13"/>
              </w:numPr>
              <w:tabs>
                <w:tab w:val="clear" w:pos="1440"/>
              </w:tabs>
              <w:ind w:left="709" w:hanging="283"/>
              <w:jc w:val="both"/>
              <w:rPr>
                <w:sz w:val="22"/>
                <w:szCs w:val="22"/>
              </w:rPr>
            </w:pPr>
            <w:r w:rsidRPr="005700E8">
              <w:rPr>
                <w:sz w:val="22"/>
                <w:szCs w:val="22"/>
              </w:rPr>
              <w:t>trichlóretylén: zavedením limitnej hodnoty v pracovnom ovzduší s upozornením na možnosť absorpcie významného množstva cez kožu, sa očakáva záchrana 390 životov a celkový prínos súvisiaci s úsporou zdravotných nákladov je vyčíslený na 118 – 430 mil. eur.</w:t>
            </w:r>
            <w:r w:rsidRPr="005700E8">
              <w:t xml:space="preserve"> </w:t>
            </w:r>
          </w:p>
          <w:p w:rsidR="009F3D49" w:rsidRPr="005700E8" w:rsidRDefault="009F3D49" w:rsidP="009F3D49">
            <w:pPr>
              <w:pStyle w:val="Odsekzoznamu"/>
              <w:numPr>
                <w:ilvl w:val="0"/>
                <w:numId w:val="10"/>
              </w:numPr>
              <w:spacing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5700E8">
              <w:rPr>
                <w:rFonts w:ascii="Times New Roman" w:hAnsi="Times New Roman"/>
              </w:rPr>
              <w:t>Zavedenie revidovaných TSH pomáha zamestnávateľom pri určovaní a posudzovaní zdravotného rizika  pri práci s  expozíciou konkrétnym  karcinogénom v súvislosti s vykonávaním preventívnych a ochranných opatrení na ochranu zdravia zamestnancov pred zdravotnými rizikami z expozície týmto karcinogénom.</w:t>
            </w:r>
          </w:p>
          <w:p w:rsidR="00943B0C" w:rsidRPr="005700E8" w:rsidRDefault="00943B0C" w:rsidP="009F3D49">
            <w:pPr>
              <w:pStyle w:val="Odsekzoznamu"/>
              <w:numPr>
                <w:ilvl w:val="0"/>
                <w:numId w:val="10"/>
              </w:numPr>
              <w:spacing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5700E8">
              <w:rPr>
                <w:rFonts w:ascii="Times New Roman" w:hAnsi="Times New Roman"/>
              </w:rPr>
              <w:t xml:space="preserve">Na zmiernenie technických alebo hospodárskych dopadov, ktorým môžu čeliť zamestnávatelia z dôvodu zavedenia revidovaných TSH sa v prípade vybraných karcinogénov uplatňujú prechodné obdobia: (kadmium a jeho anorganické zlúčeniny do 11.07.2027, berýlium a jeho anorganické zlúčeniny do 11.07.2026). V prípade anorganických zlúčenín arzénu vrátane kyseliny arzeničnej a jej solí sa </w:t>
            </w:r>
            <w:r w:rsidRPr="005700E8">
              <w:rPr>
                <w:rFonts w:ascii="Times New Roman" w:hAnsi="Times New Roman"/>
                <w:bCs/>
              </w:rPr>
              <w:t xml:space="preserve">pri tavení medi </w:t>
            </w:r>
            <w:r w:rsidRPr="005700E8">
              <w:rPr>
                <w:rFonts w:ascii="Times New Roman" w:hAnsi="Times New Roman"/>
              </w:rPr>
              <w:t>revidovaná TSH</w:t>
            </w:r>
            <w:r w:rsidRPr="005700E8">
              <w:rPr>
                <w:rFonts w:ascii="Times New Roman" w:hAnsi="Times New Roman"/>
                <w:bCs/>
              </w:rPr>
              <w:t xml:space="preserve"> uplatňuje </w:t>
            </w:r>
            <w:r w:rsidRPr="005700E8">
              <w:rPr>
                <w:rFonts w:ascii="Times New Roman" w:hAnsi="Times New Roman"/>
              </w:rPr>
              <w:t>od 11. júla 2023.</w:t>
            </w:r>
          </w:p>
          <w:p w:rsidR="009F3D49" w:rsidRPr="005700E8" w:rsidRDefault="009F3D49" w:rsidP="009F3D49">
            <w:pPr>
              <w:pStyle w:val="Odsekzoznamu"/>
              <w:numPr>
                <w:ilvl w:val="0"/>
                <w:numId w:val="10"/>
              </w:numPr>
              <w:spacing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5700E8">
              <w:rPr>
                <w:rFonts w:ascii="Times New Roman" w:hAnsi="Times New Roman"/>
              </w:rPr>
              <w:t>Pomoc zamestnávateľom pri zabezpečovaní účinnej ochrany pri práci s karcinogénmi s možnosťou absorpcie významného množstva cez kožu; ich označením v prílohe č. 2</w:t>
            </w:r>
          </w:p>
          <w:p w:rsidR="001944B0" w:rsidRPr="005700E8" w:rsidRDefault="00793D9D" w:rsidP="00A976AB">
            <w:pPr>
              <w:pStyle w:val="Odsekzoznamu"/>
              <w:numPr>
                <w:ilvl w:val="0"/>
                <w:numId w:val="10"/>
              </w:numPr>
              <w:spacing w:line="240" w:lineRule="auto"/>
              <w:ind w:left="426"/>
              <w:jc w:val="both"/>
            </w:pPr>
            <w:r w:rsidRPr="005700E8">
              <w:rPr>
                <w:rFonts w:ascii="Times New Roman" w:hAnsi="Times New Roman"/>
              </w:rPr>
              <w:t xml:space="preserve">Vplyv na základné práva je pozitívny, najmä pokiaľ ide o právo na život a právo na spravodlivé a primerané pracovné podmienky, ktoré zohľadňujú zdravie, bezpečnosť a dôstojnosť </w:t>
            </w:r>
            <w:r w:rsidRPr="005700E8">
              <w:rPr>
                <w:rFonts w:ascii="Times New Roman" w:hAnsi="Times New Roman"/>
              </w:rPr>
              <w:lastRenderedPageBreak/>
              <w:t>pracovníkov.</w:t>
            </w:r>
          </w:p>
          <w:p w:rsidR="00960BE1" w:rsidRPr="005700E8" w:rsidRDefault="00960BE1" w:rsidP="00960BE1">
            <w:pPr>
              <w:ind w:left="66"/>
              <w:jc w:val="both"/>
            </w:pPr>
          </w:p>
        </w:tc>
      </w:tr>
      <w:tr w:rsidR="005700E8" w:rsidRPr="005700E8" w:rsidTr="008D26FA">
        <w:tc>
          <w:tcPr>
            <w:tcW w:w="9212" w:type="dxa"/>
          </w:tcPr>
          <w:p w:rsidR="008D26FA" w:rsidRPr="005700E8" w:rsidRDefault="00FD2F21" w:rsidP="008D26FA">
            <w:pPr>
              <w:rPr>
                <w:b/>
                <w:i/>
              </w:rPr>
            </w:pPr>
            <w:r w:rsidRPr="005700E8">
              <w:rPr>
                <w:b/>
                <w:i/>
              </w:rPr>
              <w:lastRenderedPageBreak/>
              <w:t>3.3.3 Administratívne náklady</w:t>
            </w:r>
          </w:p>
        </w:tc>
      </w:tr>
      <w:tr w:rsidR="005700E8" w:rsidRPr="005700E8" w:rsidTr="008D26FA">
        <w:tc>
          <w:tcPr>
            <w:tcW w:w="9212" w:type="dxa"/>
          </w:tcPr>
          <w:p w:rsidR="00733F22" w:rsidRPr="005700E8" w:rsidRDefault="00943B0C" w:rsidP="003905F3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5700E8">
              <w:rPr>
                <w:b/>
                <w:sz w:val="22"/>
                <w:szCs w:val="22"/>
              </w:rPr>
              <w:t xml:space="preserve">- </w:t>
            </w:r>
          </w:p>
          <w:p w:rsidR="008D26FA" w:rsidRPr="005700E8" w:rsidRDefault="008D26FA" w:rsidP="00A437DC">
            <w:pPr>
              <w:spacing w:after="12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5700E8" w:rsidRPr="005700E8" w:rsidTr="008D26FA">
        <w:trPr>
          <w:trHeight w:val="2318"/>
        </w:trPr>
        <w:tc>
          <w:tcPr>
            <w:tcW w:w="9212" w:type="dxa"/>
          </w:tcPr>
          <w:p w:rsidR="008D26FA" w:rsidRPr="005700E8" w:rsidRDefault="008D26FA" w:rsidP="008D26FA">
            <w:pPr>
              <w:rPr>
                <w:i/>
              </w:rPr>
            </w:pPr>
            <w:r w:rsidRPr="005700E8">
              <w:rPr>
                <w:b/>
                <w:i/>
              </w:rPr>
              <w:t>3.3.4 Súhrnná tabuľka nákladov regulácie</w:t>
            </w:r>
          </w:p>
          <w:p w:rsidR="008D26FA" w:rsidRPr="005700E8" w:rsidRDefault="008D26FA" w:rsidP="008D26FA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5700E8" w:rsidRPr="005700E8" w:rsidTr="008D26FA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6FA" w:rsidRPr="005700E8" w:rsidRDefault="008D26FA" w:rsidP="008D26FA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6FA" w:rsidRPr="005700E8" w:rsidRDefault="008D26FA" w:rsidP="008D26FA">
                  <w:pPr>
                    <w:jc w:val="center"/>
                    <w:rPr>
                      <w:i/>
                    </w:rPr>
                  </w:pPr>
                  <w:r w:rsidRPr="005700E8">
                    <w:rPr>
                      <w:i/>
                    </w:rPr>
                    <w:t xml:space="preserve">Náklady na 1 </w:t>
                  </w:r>
                  <w:r w:rsidR="00BA6F42" w:rsidRPr="005700E8">
                    <w:rPr>
                      <w:i/>
                    </w:rPr>
                    <w:t>zamestnanca vykonávajúceho rizikovú prácu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26FA" w:rsidRPr="005700E8" w:rsidRDefault="008D26FA" w:rsidP="008D26FA">
                  <w:pPr>
                    <w:jc w:val="center"/>
                    <w:rPr>
                      <w:i/>
                    </w:rPr>
                  </w:pPr>
                  <w:r w:rsidRPr="005700E8">
                    <w:rPr>
                      <w:i/>
                    </w:rPr>
                    <w:t>Náklady na celé podnikateľské prostredie</w:t>
                  </w:r>
                </w:p>
                <w:p w:rsidR="00BA6F42" w:rsidRPr="005700E8" w:rsidRDefault="00BA6F42" w:rsidP="008D26FA">
                  <w:pPr>
                    <w:jc w:val="center"/>
                    <w:rPr>
                      <w:i/>
                    </w:rPr>
                  </w:pPr>
                  <w:r w:rsidRPr="005700E8">
                    <w:rPr>
                      <w:i/>
                    </w:rPr>
                    <w:t>- cca 50 zamestnancov vykonávajúcich rizikové práce na základe návrhu</w:t>
                  </w:r>
                </w:p>
              </w:tc>
            </w:tr>
            <w:tr w:rsidR="005700E8" w:rsidRPr="005700E8" w:rsidTr="008D26FA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F42" w:rsidRPr="005700E8" w:rsidRDefault="00BA6F42" w:rsidP="00BA6F42">
                  <w:pPr>
                    <w:rPr>
                      <w:i/>
                    </w:rPr>
                  </w:pPr>
                  <w:r w:rsidRPr="005700E8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F42" w:rsidRPr="005700E8" w:rsidRDefault="00BA6F42" w:rsidP="00BA6F42">
                  <w:pPr>
                    <w:jc w:val="center"/>
                    <w:rPr>
                      <w:i/>
                    </w:rPr>
                  </w:pPr>
                  <w:r w:rsidRPr="005700E8">
                    <w:rPr>
                      <w:i/>
                    </w:rPr>
                    <w:t>3 443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F42" w:rsidRPr="005700E8" w:rsidRDefault="00BA6F42" w:rsidP="00BA6F42">
                  <w:pPr>
                    <w:jc w:val="center"/>
                    <w:rPr>
                      <w:i/>
                    </w:rPr>
                  </w:pPr>
                  <w:r w:rsidRPr="005700E8">
                    <w:rPr>
                      <w:i/>
                    </w:rPr>
                    <w:t>172 150</w:t>
                  </w:r>
                </w:p>
              </w:tc>
            </w:tr>
            <w:tr w:rsidR="005700E8" w:rsidRPr="005700E8" w:rsidTr="008D26FA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F42" w:rsidRPr="005700E8" w:rsidRDefault="00BA6F42" w:rsidP="00BA6F42">
                  <w:pPr>
                    <w:rPr>
                      <w:i/>
                    </w:rPr>
                  </w:pPr>
                  <w:r w:rsidRPr="005700E8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F42" w:rsidRPr="005700E8" w:rsidRDefault="00BA6F42" w:rsidP="00BA6F42">
                  <w:pPr>
                    <w:jc w:val="center"/>
                    <w:rPr>
                      <w:i/>
                    </w:rPr>
                  </w:pPr>
                  <w:r w:rsidRPr="005700E8">
                    <w:rPr>
                      <w:i/>
                    </w:rPr>
                    <w:t>N/A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F42" w:rsidRPr="005700E8" w:rsidRDefault="00BA6F42" w:rsidP="00BA6F42">
                  <w:pPr>
                    <w:jc w:val="center"/>
                    <w:rPr>
                      <w:i/>
                    </w:rPr>
                  </w:pPr>
                  <w:r w:rsidRPr="005700E8">
                    <w:rPr>
                      <w:i/>
                    </w:rPr>
                    <w:t>N/A</w:t>
                  </w:r>
                </w:p>
              </w:tc>
            </w:tr>
            <w:tr w:rsidR="005700E8" w:rsidRPr="005700E8" w:rsidTr="008D26FA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F42" w:rsidRPr="005700E8" w:rsidRDefault="00BA6F42" w:rsidP="00BA6F42">
                  <w:pPr>
                    <w:rPr>
                      <w:i/>
                    </w:rPr>
                  </w:pPr>
                  <w:r w:rsidRPr="005700E8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F42" w:rsidRPr="005700E8" w:rsidRDefault="00BA6F42" w:rsidP="00BA6F42">
                  <w:pPr>
                    <w:jc w:val="center"/>
                    <w:rPr>
                      <w:i/>
                    </w:rPr>
                  </w:pPr>
                  <w:r w:rsidRPr="005700E8">
                    <w:rPr>
                      <w:i/>
                    </w:rPr>
                    <w:t>N/A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F42" w:rsidRPr="005700E8" w:rsidRDefault="00BA6F42" w:rsidP="00BA6F42">
                  <w:pPr>
                    <w:jc w:val="center"/>
                    <w:rPr>
                      <w:i/>
                    </w:rPr>
                  </w:pPr>
                  <w:r w:rsidRPr="005700E8">
                    <w:rPr>
                      <w:i/>
                    </w:rPr>
                    <w:t>N/A</w:t>
                  </w:r>
                </w:p>
              </w:tc>
            </w:tr>
            <w:tr w:rsidR="005700E8" w:rsidRPr="005700E8" w:rsidTr="008D26FA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F42" w:rsidRPr="005700E8" w:rsidRDefault="00BA6F42" w:rsidP="00BA6F42">
                  <w:pPr>
                    <w:rPr>
                      <w:b/>
                      <w:i/>
                    </w:rPr>
                  </w:pPr>
                  <w:r w:rsidRPr="005700E8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F42" w:rsidRPr="005700E8" w:rsidRDefault="00BA6F42" w:rsidP="00BA6F42">
                  <w:pPr>
                    <w:jc w:val="center"/>
                    <w:rPr>
                      <w:b/>
                      <w:i/>
                    </w:rPr>
                  </w:pPr>
                  <w:r w:rsidRPr="005700E8">
                    <w:rPr>
                      <w:b/>
                      <w:i/>
                    </w:rPr>
                    <w:t>3 443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F42" w:rsidRPr="005700E8" w:rsidRDefault="00BA6F42" w:rsidP="00BA6F42">
                  <w:pPr>
                    <w:jc w:val="center"/>
                    <w:rPr>
                      <w:b/>
                      <w:i/>
                    </w:rPr>
                  </w:pPr>
                  <w:r w:rsidRPr="005700E8">
                    <w:rPr>
                      <w:b/>
                      <w:i/>
                    </w:rPr>
                    <w:t>172 150</w:t>
                  </w:r>
                </w:p>
              </w:tc>
            </w:tr>
          </w:tbl>
          <w:p w:rsidR="008D26FA" w:rsidRPr="005700E8" w:rsidRDefault="008D26FA" w:rsidP="008D26FA">
            <w:pPr>
              <w:rPr>
                <w:i/>
              </w:rPr>
            </w:pPr>
          </w:p>
        </w:tc>
      </w:tr>
      <w:tr w:rsidR="005700E8" w:rsidRPr="005700E8" w:rsidTr="008D26FA">
        <w:tc>
          <w:tcPr>
            <w:tcW w:w="9212" w:type="dxa"/>
            <w:shd w:val="clear" w:color="auto" w:fill="D9D9D9" w:themeFill="background1" w:themeFillShade="D9"/>
          </w:tcPr>
          <w:p w:rsidR="008D26FA" w:rsidRPr="005700E8" w:rsidRDefault="008D26FA" w:rsidP="008D26FA">
            <w:pPr>
              <w:rPr>
                <w:b/>
                <w:sz w:val="24"/>
              </w:rPr>
            </w:pPr>
            <w:r w:rsidRPr="005700E8">
              <w:rPr>
                <w:b/>
                <w:sz w:val="24"/>
              </w:rPr>
              <w:t>3.4 Konkurencieschopnosť a správanie sa podnikov na trhu</w:t>
            </w:r>
          </w:p>
          <w:p w:rsidR="008D26FA" w:rsidRPr="005700E8" w:rsidRDefault="008D26FA" w:rsidP="008D26FA">
            <w:r w:rsidRPr="005700E8">
              <w:rPr>
                <w:b/>
                <w:sz w:val="24"/>
              </w:rPr>
              <w:t xml:space="preserve">       </w:t>
            </w:r>
            <w:r w:rsidRPr="005700E8">
              <w:rPr>
                <w:sz w:val="24"/>
              </w:rPr>
              <w:t xml:space="preserve">- </w:t>
            </w:r>
            <w:r w:rsidRPr="005700E8">
              <w:rPr>
                <w:b/>
                <w:sz w:val="24"/>
              </w:rPr>
              <w:t>z toho MSP</w:t>
            </w:r>
          </w:p>
        </w:tc>
      </w:tr>
      <w:tr w:rsidR="005700E8" w:rsidRPr="005700E8" w:rsidTr="008D26FA">
        <w:tc>
          <w:tcPr>
            <w:tcW w:w="9212" w:type="dxa"/>
          </w:tcPr>
          <w:p w:rsidR="008D26FA" w:rsidRPr="005700E8" w:rsidRDefault="008D26FA" w:rsidP="008D26FA">
            <w:pPr>
              <w:rPr>
                <w:i/>
              </w:rPr>
            </w:pPr>
            <w:r w:rsidRPr="005700E8">
              <w:rPr>
                <w:i/>
              </w:rPr>
              <w:t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8D26FA" w:rsidRPr="005700E8" w:rsidRDefault="008D26FA" w:rsidP="008D26FA">
            <w:pPr>
              <w:rPr>
                <w:i/>
              </w:rPr>
            </w:pPr>
            <w:r w:rsidRPr="005700E8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8D26FA" w:rsidRPr="005700E8" w:rsidRDefault="008D26FA" w:rsidP="008D26FA">
            <w:pPr>
              <w:rPr>
                <w:i/>
              </w:rPr>
            </w:pPr>
            <w:r w:rsidRPr="005700E8">
              <w:rPr>
                <w:i/>
              </w:rPr>
              <w:t>Ako ovplyvní cenu alebo dostupnosť základných zdrojov (suroviny, mechanizmy, pracovná sila, energie atď.)?</w:t>
            </w:r>
          </w:p>
          <w:p w:rsidR="008D26FA" w:rsidRPr="005700E8" w:rsidRDefault="008D26FA" w:rsidP="008D26FA">
            <w:pPr>
              <w:rPr>
                <w:i/>
              </w:rPr>
            </w:pPr>
            <w:r w:rsidRPr="005700E8">
              <w:rPr>
                <w:i/>
              </w:rPr>
              <w:t>Ovplyvňuje prístup k financiám? Ak áno, ako?</w:t>
            </w:r>
          </w:p>
        </w:tc>
      </w:tr>
      <w:tr w:rsidR="005700E8" w:rsidRPr="005700E8" w:rsidTr="00ED1615">
        <w:trPr>
          <w:trHeight w:val="853"/>
        </w:trPr>
        <w:tc>
          <w:tcPr>
            <w:tcW w:w="9212" w:type="dxa"/>
          </w:tcPr>
          <w:p w:rsidR="00A74865" w:rsidRPr="005700E8" w:rsidRDefault="00A74865" w:rsidP="00A74865">
            <w:pPr>
              <w:jc w:val="both"/>
              <w:rPr>
                <w:sz w:val="22"/>
                <w:szCs w:val="22"/>
              </w:rPr>
            </w:pPr>
            <w:r w:rsidRPr="005700E8">
              <w:rPr>
                <w:sz w:val="22"/>
                <w:szCs w:val="22"/>
              </w:rPr>
              <w:t xml:space="preserve">Návrh by mal mať priaznivý vplyv na hospodársku súťaž v rámci vnútorného trhu. Limitnými hodnotami platnými pre celú EÚ pre faktory, ktorých sa týka tento návrh, sa zníži narúšanie hospodárskej súťaže medzi podnikmi nachádzajúcimi sa v členských štátoch s rôznymi vnútroštátnymi úrovňami TSH. </w:t>
            </w:r>
          </w:p>
          <w:p w:rsidR="008D26FA" w:rsidRPr="005700E8" w:rsidRDefault="00AF115F" w:rsidP="00A74865">
            <w:pPr>
              <w:jc w:val="both"/>
              <w:rPr>
                <w:sz w:val="22"/>
                <w:szCs w:val="22"/>
              </w:rPr>
            </w:pPr>
            <w:r w:rsidRPr="005700E8">
              <w:rPr>
                <w:sz w:val="22"/>
                <w:szCs w:val="22"/>
              </w:rPr>
              <w:t>Návrh sa dotkne všetkých subjektov podnikajúcich v dotknutom segmente rovnako, pretože zavádza jednotné limity, preto sa nepredpokladá ovplyvnenie konkurencieschopnosti podnikov na trhu.</w:t>
            </w:r>
            <w:r w:rsidR="00A74865" w:rsidRPr="005700E8">
              <w:rPr>
                <w:sz w:val="22"/>
                <w:szCs w:val="22"/>
              </w:rPr>
              <w:t xml:space="preserve"> Malé a stredné podniky nie sú vyňaté spod pôsobnosti smernice a teda ani návrhu nariadenia vlády, neplánujú sa žiadne menej prísne režimy, pretože by to mohlo viesť k rôznej úrovni ochrany</w:t>
            </w:r>
            <w:r w:rsidR="00733F22" w:rsidRPr="005700E8">
              <w:rPr>
                <w:sz w:val="22"/>
                <w:szCs w:val="22"/>
              </w:rPr>
              <w:t xml:space="preserve"> zdravia </w:t>
            </w:r>
            <w:r w:rsidR="00A74865" w:rsidRPr="005700E8">
              <w:rPr>
                <w:sz w:val="22"/>
                <w:szCs w:val="22"/>
              </w:rPr>
              <w:t xml:space="preserve"> pracovníkov v závislosti od veľkosti podniku.</w:t>
            </w:r>
          </w:p>
        </w:tc>
      </w:tr>
      <w:tr w:rsidR="005700E8" w:rsidRPr="005700E8" w:rsidTr="008D26FA">
        <w:tc>
          <w:tcPr>
            <w:tcW w:w="9212" w:type="dxa"/>
            <w:shd w:val="clear" w:color="auto" w:fill="D9D9D9" w:themeFill="background1" w:themeFillShade="D9"/>
          </w:tcPr>
          <w:p w:rsidR="008D26FA" w:rsidRPr="005700E8" w:rsidRDefault="008D26FA" w:rsidP="008D26FA">
            <w:pPr>
              <w:rPr>
                <w:b/>
                <w:sz w:val="24"/>
              </w:rPr>
            </w:pPr>
            <w:r w:rsidRPr="005700E8">
              <w:rPr>
                <w:b/>
                <w:sz w:val="24"/>
              </w:rPr>
              <w:t xml:space="preserve">3.5 Inovácie </w:t>
            </w:r>
          </w:p>
          <w:p w:rsidR="008D26FA" w:rsidRPr="005700E8" w:rsidRDefault="008D26FA" w:rsidP="008D26FA">
            <w:pPr>
              <w:rPr>
                <w:b/>
              </w:rPr>
            </w:pPr>
            <w:r w:rsidRPr="005700E8">
              <w:rPr>
                <w:sz w:val="24"/>
              </w:rPr>
              <w:t xml:space="preserve">       - </w:t>
            </w:r>
            <w:r w:rsidRPr="005700E8">
              <w:rPr>
                <w:b/>
                <w:sz w:val="24"/>
              </w:rPr>
              <w:t>z toho MSP</w:t>
            </w:r>
          </w:p>
        </w:tc>
      </w:tr>
      <w:tr w:rsidR="005700E8" w:rsidRPr="005700E8" w:rsidTr="008D26FA">
        <w:tc>
          <w:tcPr>
            <w:tcW w:w="9212" w:type="dxa"/>
          </w:tcPr>
          <w:p w:rsidR="008D26FA" w:rsidRPr="005700E8" w:rsidRDefault="008D26FA" w:rsidP="008D26FA">
            <w:pPr>
              <w:rPr>
                <w:i/>
              </w:rPr>
            </w:pPr>
            <w:r w:rsidRPr="005700E8">
              <w:rPr>
                <w:i/>
              </w:rPr>
              <w:t>Uveďte, ako podporuje navrhovaná zmena inovácie.</w:t>
            </w:r>
          </w:p>
          <w:p w:rsidR="008D26FA" w:rsidRPr="005700E8" w:rsidRDefault="008D26FA" w:rsidP="008D26FA">
            <w:pPr>
              <w:rPr>
                <w:i/>
              </w:rPr>
            </w:pPr>
            <w:r w:rsidRPr="005700E8">
              <w:rPr>
                <w:i/>
              </w:rPr>
              <w:t>Zjednodušuje uvedenie alebo rozšírenie nových výrobných metód, technológií a výrobkov na trh?</w:t>
            </w:r>
          </w:p>
          <w:p w:rsidR="008D26FA" w:rsidRPr="005700E8" w:rsidRDefault="008D26FA" w:rsidP="008D26FA">
            <w:pPr>
              <w:rPr>
                <w:i/>
              </w:rPr>
            </w:pPr>
            <w:r w:rsidRPr="005700E8">
              <w:rPr>
                <w:i/>
              </w:rPr>
              <w:t>Uveďte, ako vplýva navrhovaná zmena na jednotlivé práva duševného vlastníctva (napr. patenty, ochranné známky, autorské práva, vlastníctvo know-how).</w:t>
            </w:r>
          </w:p>
          <w:p w:rsidR="008D26FA" w:rsidRPr="005700E8" w:rsidRDefault="008D26FA" w:rsidP="008D26FA">
            <w:pPr>
              <w:rPr>
                <w:i/>
              </w:rPr>
            </w:pPr>
            <w:r w:rsidRPr="005700E8">
              <w:rPr>
                <w:i/>
              </w:rPr>
              <w:t>Podporuje vyššiu efektivitu výroby/využívania zdrojov? Ak áno, ako?</w:t>
            </w:r>
          </w:p>
          <w:p w:rsidR="008D26FA" w:rsidRPr="005700E8" w:rsidRDefault="008D26FA" w:rsidP="008D26FA">
            <w:r w:rsidRPr="005700E8">
              <w:rPr>
                <w:i/>
              </w:rPr>
              <w:t>Vytvorí zmena nové pracovné miesta pre zamestnancov výskumu a vývoja v SR?</w:t>
            </w:r>
          </w:p>
        </w:tc>
      </w:tr>
      <w:tr w:rsidR="008D26FA" w:rsidRPr="005700E8" w:rsidTr="00ED1615">
        <w:trPr>
          <w:trHeight w:val="698"/>
        </w:trPr>
        <w:tc>
          <w:tcPr>
            <w:tcW w:w="9212" w:type="dxa"/>
          </w:tcPr>
          <w:p w:rsidR="008D26FA" w:rsidRPr="005700E8" w:rsidRDefault="00AF115F" w:rsidP="00A74865">
            <w:pPr>
              <w:jc w:val="both"/>
              <w:rPr>
                <w:sz w:val="24"/>
                <w:szCs w:val="24"/>
              </w:rPr>
            </w:pPr>
            <w:r w:rsidRPr="005700E8">
              <w:rPr>
                <w:sz w:val="24"/>
                <w:szCs w:val="24"/>
              </w:rPr>
              <w:t>-</w:t>
            </w:r>
          </w:p>
        </w:tc>
      </w:tr>
    </w:tbl>
    <w:p w:rsidR="00780861" w:rsidRPr="005700E8" w:rsidRDefault="00780861" w:rsidP="00A74865">
      <w:pPr>
        <w:rPr>
          <w:bCs/>
          <w:sz w:val="24"/>
          <w:szCs w:val="24"/>
          <w:lang w:eastAsia="en-US"/>
        </w:rPr>
      </w:pPr>
    </w:p>
    <w:p w:rsidR="00710F42" w:rsidRPr="005700E8" w:rsidRDefault="00710F42" w:rsidP="00A74865">
      <w:pPr>
        <w:rPr>
          <w:bCs/>
          <w:sz w:val="24"/>
          <w:szCs w:val="24"/>
          <w:lang w:eastAsia="en-US"/>
        </w:rPr>
      </w:pPr>
    </w:p>
    <w:p w:rsidR="00710F42" w:rsidRPr="005700E8" w:rsidRDefault="00710F42" w:rsidP="00B669D6">
      <w:pPr>
        <w:jc w:val="both"/>
        <w:rPr>
          <w:bCs/>
          <w:sz w:val="24"/>
          <w:szCs w:val="24"/>
          <w:lang w:eastAsia="en-US"/>
        </w:rPr>
      </w:pPr>
    </w:p>
    <w:sectPr w:rsidR="00710F42" w:rsidRPr="005700E8" w:rsidSect="000D28AD">
      <w:headerReference w:type="default" r:id="rId12"/>
      <w:footerReference w:type="default" r:id="rId13"/>
      <w:footnotePr>
        <w:numFmt w:val="chicago"/>
      </w:footnotePr>
      <w:pgSz w:w="11906" w:h="16838"/>
      <w:pgMar w:top="1134" w:right="1418" w:bottom="1134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207" w:rsidRDefault="00674207" w:rsidP="003501A1">
      <w:r>
        <w:separator/>
      </w:r>
    </w:p>
  </w:endnote>
  <w:endnote w:type="continuationSeparator" w:id="0">
    <w:p w:rsidR="00674207" w:rsidRDefault="00674207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054" w:rsidRPr="001D6749" w:rsidRDefault="00AB11F2">
    <w:pPr>
      <w:pStyle w:val="Pt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700E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207" w:rsidRDefault="00674207" w:rsidP="003501A1">
      <w:r>
        <w:separator/>
      </w:r>
    </w:p>
  </w:footnote>
  <w:footnote w:type="continuationSeparator" w:id="0">
    <w:p w:rsidR="00674207" w:rsidRDefault="00674207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054" w:rsidRPr="008F1501" w:rsidRDefault="00BF2054" w:rsidP="008F150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D5E"/>
    <w:multiLevelType w:val="multilevel"/>
    <w:tmpl w:val="FE2C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45CF5"/>
    <w:multiLevelType w:val="multilevel"/>
    <w:tmpl w:val="F652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A60AA"/>
    <w:multiLevelType w:val="hybridMultilevel"/>
    <w:tmpl w:val="7C369E9A"/>
    <w:lvl w:ilvl="0" w:tplc="E29AE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E1FFC"/>
    <w:multiLevelType w:val="hybridMultilevel"/>
    <w:tmpl w:val="1CD0AAF4"/>
    <w:lvl w:ilvl="0" w:tplc="39BE8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983E4D"/>
    <w:multiLevelType w:val="hybridMultilevel"/>
    <w:tmpl w:val="38BA7F98"/>
    <w:lvl w:ilvl="0" w:tplc="C4E65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47868"/>
    <w:multiLevelType w:val="hybridMultilevel"/>
    <w:tmpl w:val="4F62B6DA"/>
    <w:lvl w:ilvl="0" w:tplc="D86654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7F6C86"/>
    <w:multiLevelType w:val="hybridMultilevel"/>
    <w:tmpl w:val="EECEDB92"/>
    <w:lvl w:ilvl="0" w:tplc="FC82A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B66B7"/>
    <w:multiLevelType w:val="hybridMultilevel"/>
    <w:tmpl w:val="9FF2747C"/>
    <w:lvl w:ilvl="0" w:tplc="199819FC">
      <w:numFmt w:val="bullet"/>
      <w:lvlText w:val="→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8F3F10"/>
    <w:multiLevelType w:val="hybridMultilevel"/>
    <w:tmpl w:val="067E89CA"/>
    <w:lvl w:ilvl="0" w:tplc="199819FC">
      <w:numFmt w:val="bullet"/>
      <w:lvlText w:val="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22485"/>
    <w:multiLevelType w:val="hybridMultilevel"/>
    <w:tmpl w:val="BF86328A"/>
    <w:lvl w:ilvl="0" w:tplc="199819FC">
      <w:numFmt w:val="bullet"/>
      <w:lvlText w:val="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A86"/>
    <w:rsid w:val="00000BB3"/>
    <w:rsid w:val="00000FD3"/>
    <w:rsid w:val="00003176"/>
    <w:rsid w:val="00020799"/>
    <w:rsid w:val="00022522"/>
    <w:rsid w:val="0002348F"/>
    <w:rsid w:val="000350CC"/>
    <w:rsid w:val="00042C66"/>
    <w:rsid w:val="00044145"/>
    <w:rsid w:val="00057955"/>
    <w:rsid w:val="0007171A"/>
    <w:rsid w:val="0008228A"/>
    <w:rsid w:val="00084177"/>
    <w:rsid w:val="00093DB8"/>
    <w:rsid w:val="00094948"/>
    <w:rsid w:val="00095207"/>
    <w:rsid w:val="00097DD1"/>
    <w:rsid w:val="000A15AE"/>
    <w:rsid w:val="000B1FDF"/>
    <w:rsid w:val="000C45E7"/>
    <w:rsid w:val="000C7777"/>
    <w:rsid w:val="000D0F6D"/>
    <w:rsid w:val="000D2622"/>
    <w:rsid w:val="000D28AD"/>
    <w:rsid w:val="000D31F3"/>
    <w:rsid w:val="000E0495"/>
    <w:rsid w:val="00114954"/>
    <w:rsid w:val="00121479"/>
    <w:rsid w:val="0012382F"/>
    <w:rsid w:val="00124D9C"/>
    <w:rsid w:val="00152211"/>
    <w:rsid w:val="001527FE"/>
    <w:rsid w:val="00154881"/>
    <w:rsid w:val="0016227F"/>
    <w:rsid w:val="00175FD8"/>
    <w:rsid w:val="00177AE1"/>
    <w:rsid w:val="001805D5"/>
    <w:rsid w:val="001944B0"/>
    <w:rsid w:val="001948E8"/>
    <w:rsid w:val="001B00B9"/>
    <w:rsid w:val="001D30AE"/>
    <w:rsid w:val="001D6749"/>
    <w:rsid w:val="001D696E"/>
    <w:rsid w:val="001F5874"/>
    <w:rsid w:val="00212894"/>
    <w:rsid w:val="002145D3"/>
    <w:rsid w:val="00215B37"/>
    <w:rsid w:val="00217A80"/>
    <w:rsid w:val="00226D46"/>
    <w:rsid w:val="00232DB2"/>
    <w:rsid w:val="00233D62"/>
    <w:rsid w:val="00236E77"/>
    <w:rsid w:val="00241FC9"/>
    <w:rsid w:val="00242773"/>
    <w:rsid w:val="002575D9"/>
    <w:rsid w:val="00267061"/>
    <w:rsid w:val="00273926"/>
    <w:rsid w:val="002757D7"/>
    <w:rsid w:val="00280725"/>
    <w:rsid w:val="0029524B"/>
    <w:rsid w:val="002A50C8"/>
    <w:rsid w:val="002B232C"/>
    <w:rsid w:val="002D04B9"/>
    <w:rsid w:val="002D2C68"/>
    <w:rsid w:val="002D5500"/>
    <w:rsid w:val="002E32C0"/>
    <w:rsid w:val="002E63CC"/>
    <w:rsid w:val="002E6651"/>
    <w:rsid w:val="002E77F6"/>
    <w:rsid w:val="00301D74"/>
    <w:rsid w:val="00305649"/>
    <w:rsid w:val="00306F48"/>
    <w:rsid w:val="00312B1C"/>
    <w:rsid w:val="003275BB"/>
    <w:rsid w:val="00332FBA"/>
    <w:rsid w:val="00336C65"/>
    <w:rsid w:val="003501A1"/>
    <w:rsid w:val="00355A5C"/>
    <w:rsid w:val="0036105E"/>
    <w:rsid w:val="00367CFB"/>
    <w:rsid w:val="0037258F"/>
    <w:rsid w:val="003727D3"/>
    <w:rsid w:val="003826F4"/>
    <w:rsid w:val="003905F3"/>
    <w:rsid w:val="00394A9E"/>
    <w:rsid w:val="00395098"/>
    <w:rsid w:val="003A17DE"/>
    <w:rsid w:val="003B4C27"/>
    <w:rsid w:val="003C0592"/>
    <w:rsid w:val="003C3251"/>
    <w:rsid w:val="00400F61"/>
    <w:rsid w:val="0040544D"/>
    <w:rsid w:val="00406268"/>
    <w:rsid w:val="00412F8C"/>
    <w:rsid w:val="0042399B"/>
    <w:rsid w:val="00435B44"/>
    <w:rsid w:val="00461753"/>
    <w:rsid w:val="00474DEA"/>
    <w:rsid w:val="0047710A"/>
    <w:rsid w:val="0047723F"/>
    <w:rsid w:val="0047741C"/>
    <w:rsid w:val="0047773B"/>
    <w:rsid w:val="00480880"/>
    <w:rsid w:val="00481B86"/>
    <w:rsid w:val="004903F8"/>
    <w:rsid w:val="004A3FF9"/>
    <w:rsid w:val="004B23DD"/>
    <w:rsid w:val="004B2663"/>
    <w:rsid w:val="004B349A"/>
    <w:rsid w:val="004B559F"/>
    <w:rsid w:val="004B5DE5"/>
    <w:rsid w:val="004C6039"/>
    <w:rsid w:val="004C60B8"/>
    <w:rsid w:val="004C6C43"/>
    <w:rsid w:val="004C794A"/>
    <w:rsid w:val="004D2D27"/>
    <w:rsid w:val="004E1049"/>
    <w:rsid w:val="004E3E89"/>
    <w:rsid w:val="004E685F"/>
    <w:rsid w:val="004F649B"/>
    <w:rsid w:val="004F6F1F"/>
    <w:rsid w:val="00526D18"/>
    <w:rsid w:val="00535E8E"/>
    <w:rsid w:val="00537824"/>
    <w:rsid w:val="00544EA5"/>
    <w:rsid w:val="0055631C"/>
    <w:rsid w:val="00564FFB"/>
    <w:rsid w:val="00565C77"/>
    <w:rsid w:val="005700E8"/>
    <w:rsid w:val="005708CD"/>
    <w:rsid w:val="0057589E"/>
    <w:rsid w:val="00582BEE"/>
    <w:rsid w:val="005A5932"/>
    <w:rsid w:val="005B7A8D"/>
    <w:rsid w:val="005C12EA"/>
    <w:rsid w:val="005C1A32"/>
    <w:rsid w:val="005C23EF"/>
    <w:rsid w:val="005C4B9C"/>
    <w:rsid w:val="005C4F0C"/>
    <w:rsid w:val="005D56E3"/>
    <w:rsid w:val="005D5828"/>
    <w:rsid w:val="005E7D38"/>
    <w:rsid w:val="0060497B"/>
    <w:rsid w:val="00611105"/>
    <w:rsid w:val="00616E48"/>
    <w:rsid w:val="00637736"/>
    <w:rsid w:val="00642ED5"/>
    <w:rsid w:val="00643E65"/>
    <w:rsid w:val="00646B9C"/>
    <w:rsid w:val="00654CB0"/>
    <w:rsid w:val="00674207"/>
    <w:rsid w:val="006A5D70"/>
    <w:rsid w:val="006A701A"/>
    <w:rsid w:val="006C3B7D"/>
    <w:rsid w:val="006C402F"/>
    <w:rsid w:val="006C58C4"/>
    <w:rsid w:val="006C5A89"/>
    <w:rsid w:val="006F4AEC"/>
    <w:rsid w:val="006F5CBE"/>
    <w:rsid w:val="00710F42"/>
    <w:rsid w:val="00713823"/>
    <w:rsid w:val="00713CF4"/>
    <w:rsid w:val="0071559F"/>
    <w:rsid w:val="00733F22"/>
    <w:rsid w:val="007540EB"/>
    <w:rsid w:val="007674EB"/>
    <w:rsid w:val="00773F88"/>
    <w:rsid w:val="007745B2"/>
    <w:rsid w:val="00775CDD"/>
    <w:rsid w:val="00780861"/>
    <w:rsid w:val="00785409"/>
    <w:rsid w:val="00785F4C"/>
    <w:rsid w:val="00793D9D"/>
    <w:rsid w:val="007B7171"/>
    <w:rsid w:val="007C7563"/>
    <w:rsid w:val="007D5748"/>
    <w:rsid w:val="007D73FE"/>
    <w:rsid w:val="007E1924"/>
    <w:rsid w:val="007F03E7"/>
    <w:rsid w:val="00806EA1"/>
    <w:rsid w:val="0081159A"/>
    <w:rsid w:val="0081242E"/>
    <w:rsid w:val="0081647C"/>
    <w:rsid w:val="008254FB"/>
    <w:rsid w:val="00832057"/>
    <w:rsid w:val="00837B6C"/>
    <w:rsid w:val="008416AB"/>
    <w:rsid w:val="00841B7F"/>
    <w:rsid w:val="00844365"/>
    <w:rsid w:val="00856A59"/>
    <w:rsid w:val="008577A0"/>
    <w:rsid w:val="00864591"/>
    <w:rsid w:val="0088438C"/>
    <w:rsid w:val="00897160"/>
    <w:rsid w:val="008A1252"/>
    <w:rsid w:val="008A3694"/>
    <w:rsid w:val="008A5F2C"/>
    <w:rsid w:val="008B3043"/>
    <w:rsid w:val="008C0DBA"/>
    <w:rsid w:val="008C1613"/>
    <w:rsid w:val="008D26FA"/>
    <w:rsid w:val="008D339D"/>
    <w:rsid w:val="008D4FC5"/>
    <w:rsid w:val="008E04A0"/>
    <w:rsid w:val="008E42B5"/>
    <w:rsid w:val="008E47AC"/>
    <w:rsid w:val="008E4FA3"/>
    <w:rsid w:val="008F1501"/>
    <w:rsid w:val="008F38BE"/>
    <w:rsid w:val="0091065D"/>
    <w:rsid w:val="009275BF"/>
    <w:rsid w:val="00933E16"/>
    <w:rsid w:val="009370AE"/>
    <w:rsid w:val="00943B0C"/>
    <w:rsid w:val="0095420F"/>
    <w:rsid w:val="00960BE1"/>
    <w:rsid w:val="00976555"/>
    <w:rsid w:val="00977934"/>
    <w:rsid w:val="009808BC"/>
    <w:rsid w:val="00982EE1"/>
    <w:rsid w:val="00994C53"/>
    <w:rsid w:val="009A16E5"/>
    <w:rsid w:val="009A395C"/>
    <w:rsid w:val="009A3EA4"/>
    <w:rsid w:val="009B6AF0"/>
    <w:rsid w:val="009C2129"/>
    <w:rsid w:val="009C3CB7"/>
    <w:rsid w:val="009D099F"/>
    <w:rsid w:val="009F3D49"/>
    <w:rsid w:val="00A172CE"/>
    <w:rsid w:val="00A179AE"/>
    <w:rsid w:val="00A23FD1"/>
    <w:rsid w:val="00A30F1C"/>
    <w:rsid w:val="00A437DC"/>
    <w:rsid w:val="00A46938"/>
    <w:rsid w:val="00A47252"/>
    <w:rsid w:val="00A5309D"/>
    <w:rsid w:val="00A547C5"/>
    <w:rsid w:val="00A568C2"/>
    <w:rsid w:val="00A56CAD"/>
    <w:rsid w:val="00A654A5"/>
    <w:rsid w:val="00A71983"/>
    <w:rsid w:val="00A74865"/>
    <w:rsid w:val="00A842E0"/>
    <w:rsid w:val="00A976AB"/>
    <w:rsid w:val="00AB11F2"/>
    <w:rsid w:val="00AB307C"/>
    <w:rsid w:val="00AB3148"/>
    <w:rsid w:val="00AD30F4"/>
    <w:rsid w:val="00AE7949"/>
    <w:rsid w:val="00AF115F"/>
    <w:rsid w:val="00B007AE"/>
    <w:rsid w:val="00B02F85"/>
    <w:rsid w:val="00B1031A"/>
    <w:rsid w:val="00B15C39"/>
    <w:rsid w:val="00B1784E"/>
    <w:rsid w:val="00B33E7C"/>
    <w:rsid w:val="00B344FD"/>
    <w:rsid w:val="00B356F8"/>
    <w:rsid w:val="00B4230D"/>
    <w:rsid w:val="00B43D3E"/>
    <w:rsid w:val="00B5155C"/>
    <w:rsid w:val="00B64812"/>
    <w:rsid w:val="00B65A86"/>
    <w:rsid w:val="00B669D6"/>
    <w:rsid w:val="00B72BDC"/>
    <w:rsid w:val="00B76075"/>
    <w:rsid w:val="00B76277"/>
    <w:rsid w:val="00B82326"/>
    <w:rsid w:val="00B82E88"/>
    <w:rsid w:val="00B83A6B"/>
    <w:rsid w:val="00B843C4"/>
    <w:rsid w:val="00BA6F42"/>
    <w:rsid w:val="00BB06B5"/>
    <w:rsid w:val="00BB5527"/>
    <w:rsid w:val="00BC3FE2"/>
    <w:rsid w:val="00BC472B"/>
    <w:rsid w:val="00BD58B3"/>
    <w:rsid w:val="00BE5310"/>
    <w:rsid w:val="00BF1C36"/>
    <w:rsid w:val="00BF2054"/>
    <w:rsid w:val="00BF3078"/>
    <w:rsid w:val="00C12EC8"/>
    <w:rsid w:val="00C13E34"/>
    <w:rsid w:val="00C16B3F"/>
    <w:rsid w:val="00C24BB9"/>
    <w:rsid w:val="00C34FC6"/>
    <w:rsid w:val="00C40612"/>
    <w:rsid w:val="00C50037"/>
    <w:rsid w:val="00C528D0"/>
    <w:rsid w:val="00C54412"/>
    <w:rsid w:val="00C57F67"/>
    <w:rsid w:val="00C61682"/>
    <w:rsid w:val="00C61B8B"/>
    <w:rsid w:val="00C8323B"/>
    <w:rsid w:val="00C867F9"/>
    <w:rsid w:val="00C87C8A"/>
    <w:rsid w:val="00C909C5"/>
    <w:rsid w:val="00CA11C1"/>
    <w:rsid w:val="00CA1A3A"/>
    <w:rsid w:val="00CA47C2"/>
    <w:rsid w:val="00CA6BAF"/>
    <w:rsid w:val="00CB3623"/>
    <w:rsid w:val="00CC006B"/>
    <w:rsid w:val="00CD4982"/>
    <w:rsid w:val="00CE5D3B"/>
    <w:rsid w:val="00D13B6F"/>
    <w:rsid w:val="00D30BC1"/>
    <w:rsid w:val="00D3615C"/>
    <w:rsid w:val="00D521F9"/>
    <w:rsid w:val="00D663CA"/>
    <w:rsid w:val="00D726F8"/>
    <w:rsid w:val="00D73F62"/>
    <w:rsid w:val="00D75D35"/>
    <w:rsid w:val="00D85C7E"/>
    <w:rsid w:val="00D912E8"/>
    <w:rsid w:val="00D95F76"/>
    <w:rsid w:val="00D9732A"/>
    <w:rsid w:val="00DA1518"/>
    <w:rsid w:val="00DA4453"/>
    <w:rsid w:val="00DA5B56"/>
    <w:rsid w:val="00DB408D"/>
    <w:rsid w:val="00DC63EA"/>
    <w:rsid w:val="00DD27C9"/>
    <w:rsid w:val="00DE2A12"/>
    <w:rsid w:val="00E20943"/>
    <w:rsid w:val="00E2548F"/>
    <w:rsid w:val="00E43AA2"/>
    <w:rsid w:val="00E442C7"/>
    <w:rsid w:val="00E538C0"/>
    <w:rsid w:val="00E53C2A"/>
    <w:rsid w:val="00E56741"/>
    <w:rsid w:val="00E608FC"/>
    <w:rsid w:val="00E61C17"/>
    <w:rsid w:val="00E7434D"/>
    <w:rsid w:val="00E83082"/>
    <w:rsid w:val="00E90D51"/>
    <w:rsid w:val="00E920E9"/>
    <w:rsid w:val="00EB59C8"/>
    <w:rsid w:val="00EB59E3"/>
    <w:rsid w:val="00EC2E9C"/>
    <w:rsid w:val="00ED0DC2"/>
    <w:rsid w:val="00ED1615"/>
    <w:rsid w:val="00ED4518"/>
    <w:rsid w:val="00EE3D94"/>
    <w:rsid w:val="00EE64E6"/>
    <w:rsid w:val="00EF7707"/>
    <w:rsid w:val="00F04CCD"/>
    <w:rsid w:val="00F05DFA"/>
    <w:rsid w:val="00F123CE"/>
    <w:rsid w:val="00F22831"/>
    <w:rsid w:val="00F244D7"/>
    <w:rsid w:val="00F2597D"/>
    <w:rsid w:val="00F36EF9"/>
    <w:rsid w:val="00F42D96"/>
    <w:rsid w:val="00F5316D"/>
    <w:rsid w:val="00F53619"/>
    <w:rsid w:val="00F55001"/>
    <w:rsid w:val="00F62771"/>
    <w:rsid w:val="00F70047"/>
    <w:rsid w:val="00F70DE7"/>
    <w:rsid w:val="00F7425B"/>
    <w:rsid w:val="00F85082"/>
    <w:rsid w:val="00F93596"/>
    <w:rsid w:val="00F972A5"/>
    <w:rsid w:val="00FB3D81"/>
    <w:rsid w:val="00FB6C6D"/>
    <w:rsid w:val="00FB7C9F"/>
    <w:rsid w:val="00FC5453"/>
    <w:rsid w:val="00FC7E39"/>
    <w:rsid w:val="00FD2F21"/>
    <w:rsid w:val="00FD5C05"/>
    <w:rsid w:val="00FE08EF"/>
    <w:rsid w:val="00FF1E3A"/>
    <w:rsid w:val="00FF4E3A"/>
    <w:rsid w:val="00FF5554"/>
    <w:rsid w:val="00FF72E2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9E5979-E683-42D1-97CD-2AE6209B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1A1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01A1"/>
    <w:rPr>
      <w:rFonts w:ascii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01A1"/>
    <w:rPr>
      <w:rFonts w:ascii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22831"/>
    <w:rPr>
      <w:rFonts w:ascii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75FD8"/>
    <w:rPr>
      <w:rFonts w:ascii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75FD8"/>
    <w:rPr>
      <w:rFonts w:ascii="Times New Roman" w:hAnsi="Times New Roman" w:cs="Times New Roman"/>
      <w:b/>
      <w:bCs/>
      <w:sz w:val="20"/>
      <w:szCs w:val="20"/>
      <w:lang w:eastAsia="sk-SK"/>
    </w:rPr>
  </w:style>
  <w:style w:type="character" w:styleId="Zstupntext">
    <w:name w:val="Placeholder Text"/>
    <w:basedOn w:val="Predvolenpsmoodseku"/>
    <w:uiPriority w:val="99"/>
    <w:semiHidden/>
    <w:rsid w:val="00564FFB"/>
    <w:rPr>
      <w:rFonts w:ascii="Times New Roman" w:hAnsi="Times New Roman" w:cs="Times New Roman"/>
      <w:color w:val="808080"/>
    </w:rPr>
  </w:style>
  <w:style w:type="character" w:styleId="slostrany">
    <w:name w:val="page number"/>
    <w:basedOn w:val="Predvolenpsmoodseku"/>
    <w:uiPriority w:val="99"/>
    <w:rsid w:val="008D26FA"/>
    <w:rPr>
      <w:rFonts w:cs="Times New Roman"/>
    </w:rPr>
  </w:style>
  <w:style w:type="paragraph" w:styleId="Normlnywebov">
    <w:name w:val="Normal (Web)"/>
    <w:basedOn w:val="Normlny"/>
    <w:uiPriority w:val="99"/>
    <w:rsid w:val="002757D7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Predvolenpsmoodseku"/>
    <w:uiPriority w:val="99"/>
    <w:qFormat/>
    <w:rsid w:val="00710F42"/>
    <w:rPr>
      <w:rFonts w:cs="Times New Roman"/>
      <w:b/>
    </w:rPr>
  </w:style>
  <w:style w:type="character" w:customStyle="1" w:styleId="Textzstupnhosymbolu1">
    <w:name w:val="Text zástupného symbolu1"/>
    <w:uiPriority w:val="99"/>
    <w:semiHidden/>
    <w:rsid w:val="00BF2054"/>
    <w:rPr>
      <w:rFonts w:ascii="Times New Roman" w:hAnsi="Times New Roman" w:cs="Times New Roman" w:hint="default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5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f:fields xmlns:f="http://schemas.fabasoft.com/folio/2007/fields">
  <f:record ref="">
    <f:field ref="objname" par="" edit="true" text="analyza-vplyvov-podnikatelske-prostredie"/>
    <f:field ref="objsubject" par="" edit="true" text=""/>
    <f:field ref="objcreatedby" par="" text="Mazancová, Tatiana, JUDr."/>
    <f:field ref="objcreatedat" par="" text="5.5.2020 16:21:44"/>
    <f:field ref="objchangedby" par="" text="Administrator, System"/>
    <f:field ref="objmodifiedat" par="" text="5.5.2020 16:21:4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24BB8-EC4C-42A0-84F1-4D12D980B6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732110-7120-4667-95FE-8919F2D08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F0C549DF-7ECA-49A8-9349-3FB6044708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4DD318E-0AFD-485F-803D-BB9720E4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4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Lacová Magdaléna</cp:lastModifiedBy>
  <cp:revision>26</cp:revision>
  <cp:lastPrinted>2019-01-15T08:22:00Z</cp:lastPrinted>
  <dcterms:created xsi:type="dcterms:W3CDTF">2019-03-12T12:03:00Z</dcterms:created>
  <dcterms:modified xsi:type="dcterms:W3CDTF">2020-06-01T11:24:00Z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align="center"&gt;&lt;strong&gt;Návrh nariadenia vlády Slovenskej republiky, ktorým sa mení a dopĺňa nariadenie vlády Slovenskej republiky č. 356/2006 Z. z. o ochrane zdravia zamestnancov pred rizikami súvisiacimi s expozíciou karcinogénnym a mutagénnym faktoro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Tatiana Mazancová</vt:lpwstr>
  </property>
  <property fmtid="{D5CDD505-2E9C-101B-9397-08002B2CF9AE}" pid="12" name="FSC#SKEDITIONSLOVLEX@103.510:zodppredkladatel">
    <vt:lpwstr>Marek Krajčí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ktorým sa mení a dopĺňa nariadenie vlády Slovenskej republiky č. 356/2006 Z. z. o ochrane zdravia zamestnancov pred rizikami súvisiacimi s expozíciou karcinogénnym a mutagénnym faktorom pri práci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Nariadenie vlády  Slovenskej republiky ktorým sa mení a dopĺňa nariadenie vlády Slovenskej republiky č. 356/2006 Z. z. o ochrane zdravia zamestnancov pred rizikami súvisiacimi s expozíciou karcinogénnym a mutagénnym faktorom pri práci v znení neskorších </vt:lpwstr>
  </property>
  <property fmtid="{D5CDD505-2E9C-101B-9397-08002B2CF9AE}" pid="24" name="FSC#SKEDITIONSLOVLEX@103.510:plnynazovpredpis1">
    <vt:lpwstr>predpisov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S09488-2020-OL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LP/2020/141</vt:lpwstr>
  </property>
  <property fmtid="{D5CDD505-2E9C-101B-9397-08002B2CF9AE}" pid="37" name="FSC#SKEDITIONSLOVLEX@103.510:typsprievdok">
    <vt:lpwstr>Doložka prednosti medzinarodnej zmluvy pred zákonmi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v Zmluve o fungovaní Európskej únie v článku 168</vt:lpwstr>
  </property>
  <property fmtid="{D5CDD505-2E9C-101B-9397-08002B2CF9AE}" pid="47" name="FSC#SKEDITIONSLOVLEX@103.510:AttrStrListDocPropSekundarneLegPravoPO">
    <vt:lpwstr>- v smernici Európskeho parlamentu a Rady 2004/37/ES z 29. apríla 2004 o ochrane pracovníkov pred rizikami z vystavenia účinkom karcinogénom alebo mutagénnom pri práci (šiesta samostatná smernica v zmysle článku 16 ods. 1 smernice rady 89/391/EHS) (kodifi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</vt:lpwstr>
  </property>
  <property fmtid="{D5CDD505-2E9C-101B-9397-08002B2CF9AE}" pid="52" name="FSC#SKEDITIONSLOVLEX@103.510:AttrStrListDocPropLehotaPrebratieSmernice">
    <vt:lpwstr>lehota na prebranie príslušného právneho aktu Európskej únie _x000d_
- smernica Európskeho parlamentu a Rady (EÚ) 2019/130: 16. januára 2021_x000d_
- smernica Európskeho parlamentu a Rady (EÚ) 2019/983: 11. júla 2021_x000d_
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nie je </vt:lpwstr>
  </property>
  <property fmtid="{D5CDD505-2E9C-101B-9397-08002B2CF9AE}" pid="55" name="FSC#SKEDITIONSLOVLEX@103.510:AttrStrListDocPropInfoUzPreberanePP">
    <vt:lpwstr>bezpredmetné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18. 3. 2020</vt:lpwstr>
  </property>
  <property fmtid="{D5CDD505-2E9C-101B-9397-08002B2CF9AE}" pid="59" name="FSC#SKEDITIONSLOVLEX@103.510:AttrDateDocPropUkonceniePKK">
    <vt:lpwstr>31. 3. 2020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&lt;table border="1" cellpadding="0" cellspacing="0" width="0"&gt;	&lt;tbody&gt;		&lt;tr&gt;			&lt;td style="width:612px;height:48px;"&gt;			&lt;ol&gt;				&lt;li&gt;Využitie 10 karcinogénov, u ktorých sa návrhom nariadenia vlády preberajú TSH (v&amp;nbsp;tabuľke č. 1 na konci doložky).&lt;/li&gt;				</vt:lpwstr>
  </property>
  <property fmtid="{D5CDD505-2E9C-101B-9397-08002B2CF9AE}" pid="66" name="FSC#SKEDITIONSLOVLEX@103.510:AttrStrListDocPropAltRiesenia">
    <vt:lpwstr>Uplatnenie nulového variantu (neprijatie právnej úpravy) neumožňujú európske smernice, ktoré vyžadujú, aby členské štáty uviedli do účinnosti zákony, iné právne predpisy a správne opatrenia potrebné na dosiahnutie súladu s týmito smernicami v presne určen</vt:lpwstr>
  </property>
  <property fmtid="{D5CDD505-2E9C-101B-9397-08002B2CF9AE}" pid="67" name="FSC#SKEDITIONSLOVLEX@103.510:AttrStrListDocPropStanoviskoGest">
    <vt:lpwstr>&lt;table border="0" cellpadding="0" cellspacing="0"&gt;	&lt;tbody&gt;		&lt;tr&gt;			&lt;td style="width:283px;"&gt;			&lt;p&gt;&amp;nbsp;&lt;/p&gt;			&lt;/td&gt;			&lt;td style="width:350px;"&gt;			&lt;p&gt;&amp;nbsp;&amp;nbsp;&amp;nbsp;&amp;nbsp;&amp;nbsp;&amp;nbsp;&amp;nbsp;&amp;nbsp;&amp;nbsp;&amp;nbsp;&amp;nbsp;&amp;nbsp;&amp;nbsp;&amp;nbsp;&amp;nbsp;&amp;nbsp;&amp;nbsp;&amp;nb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</vt:lpwstr>
  </property>
  <property fmtid="{D5CDD505-2E9C-101B-9397-08002B2CF9AE}" pid="142" name="FSC#SKEDITIONSLOVLEX@103.510:funkciaZodpPredAkuzativ">
    <vt:lpwstr>ministra</vt:lpwstr>
  </property>
  <property fmtid="{D5CDD505-2E9C-101B-9397-08002B2CF9AE}" pid="143" name="FSC#SKEDITIONSLOVLEX@103.510:funkciaZodpPredDativ">
    <vt:lpwstr>ministrovi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Marek Krajčí_x000d_
minister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&lt;p&gt;Návrhom nariadenia vlády Slovenskej republiky, ktorým sa mení a&amp;nbsp;dopĺňa nariadenie vlády Slovenskej republiky č. 356/2006 Z. z. o&amp;nbsp;ochrane zdravia zamestnancov pred rizikami súvisiacimi s&amp;nbsp;expozíciou karcinogénnym a&amp;nbsp;mutagénnym faktorom</vt:lpwstr>
  </property>
  <property fmtid="{D5CDD505-2E9C-101B-9397-08002B2CF9AE}" pid="150" name="FSC#SKEDITIONSLOVLEX@103.510:vytvorenedna">
    <vt:lpwstr>5. 5. 2020</vt:lpwstr>
  </property>
  <property fmtid="{D5CDD505-2E9C-101B-9397-08002B2CF9AE}" pid="151" name="FSC#COOSYSTEM@1.1:Container">
    <vt:lpwstr>COO.2145.1000.3.3859250</vt:lpwstr>
  </property>
  <property fmtid="{D5CDD505-2E9C-101B-9397-08002B2CF9AE}" pid="152" name="FSC#FSCFOLIO@1.1001:docpropproject">
    <vt:lpwstr/>
  </property>
</Properties>
</file>