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7F9" w:rsidRDefault="00C867F9" w:rsidP="006A701A">
      <w:pPr>
        <w:jc w:val="right"/>
        <w:rPr>
          <w:sz w:val="24"/>
          <w:szCs w:val="24"/>
        </w:r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605"/>
      </w:tblGrid>
      <w:tr w:rsidR="008F1501" w:rsidRPr="00CD4982" w:rsidTr="00773F88">
        <w:trPr>
          <w:trHeight w:val="534"/>
          <w:jc w:val="center"/>
        </w:trPr>
        <w:tc>
          <w:tcPr>
            <w:tcW w:w="5000" w:type="pct"/>
            <w:shd w:val="clear" w:color="auto" w:fill="D9D9D9"/>
          </w:tcPr>
          <w:p w:rsidR="008F1501" w:rsidRPr="00CD4982" w:rsidRDefault="008F1501" w:rsidP="00773F88">
            <w:pPr>
              <w:ind w:left="-284" w:firstLine="284"/>
              <w:jc w:val="center"/>
              <w:rPr>
                <w:b/>
              </w:rPr>
            </w:pPr>
            <w:r>
              <w:rPr>
                <w:b/>
                <w:sz w:val="28"/>
              </w:rPr>
              <w:t>Analýza s</w:t>
            </w:r>
            <w:r w:rsidRPr="00CD4982">
              <w:rPr>
                <w:b/>
                <w:sz w:val="28"/>
              </w:rPr>
              <w:t>ociáln</w:t>
            </w:r>
            <w:r>
              <w:rPr>
                <w:b/>
                <w:sz w:val="28"/>
              </w:rPr>
              <w:t>ych</w:t>
            </w:r>
            <w:r w:rsidRPr="00CD4982">
              <w:rPr>
                <w:b/>
                <w:sz w:val="28"/>
              </w:rPr>
              <w:t xml:space="preserve"> vplyv</w:t>
            </w:r>
            <w:r>
              <w:rPr>
                <w:b/>
                <w:sz w:val="28"/>
              </w:rPr>
              <w:t>ov</w:t>
            </w:r>
          </w:p>
          <w:p w:rsidR="008F1501" w:rsidRPr="00CD4982" w:rsidRDefault="008F1501" w:rsidP="00773F88">
            <w:pPr>
              <w:jc w:val="center"/>
              <w:rPr>
                <w:b/>
              </w:rPr>
            </w:pPr>
            <w:r w:rsidRPr="00CD4982">
              <w:rPr>
                <w:b/>
                <w:sz w:val="24"/>
              </w:rPr>
              <w:t>Vplyvy na hospodárenie domácností, prístup k zdrojom, právam, tovarom a službám, sociálnu inklúziu, rovnosť príležitostí a rodovú rovnosť a vplyvy na zamestnanosť</w:t>
            </w:r>
          </w:p>
        </w:tc>
      </w:tr>
      <w:tr w:rsidR="008F1501" w:rsidRPr="00CD4982" w:rsidTr="00773F88">
        <w:trPr>
          <w:jc w:val="center"/>
        </w:trPr>
        <w:tc>
          <w:tcPr>
            <w:tcW w:w="5000" w:type="pct"/>
            <w:tcBorders>
              <w:bottom w:val="nil"/>
            </w:tcBorders>
            <w:shd w:val="clear" w:color="auto" w:fill="D9D9D9"/>
          </w:tcPr>
          <w:p w:rsidR="008F1501" w:rsidRPr="0040544D" w:rsidRDefault="008F1501" w:rsidP="00773F88">
            <w:pPr>
              <w:rPr>
                <w:b/>
                <w:sz w:val="24"/>
              </w:rPr>
            </w:pPr>
            <w:r w:rsidRPr="00DC4A67">
              <w:rPr>
                <w:b/>
                <w:sz w:val="24"/>
                <w:szCs w:val="24"/>
              </w:rPr>
              <w:t>4.1 Identifikujte</w:t>
            </w:r>
            <w:r w:rsidRPr="00CD4982">
              <w:rPr>
                <w:b/>
                <w:sz w:val="24"/>
              </w:rPr>
              <w:t>, popíšte a kvantifikujte vplyv na hospodárenie domácností a špecifikujte ovplyvnené skupiny domácností, ktoré budú pozitívne/negatívne ovplyvnené.</w:t>
            </w:r>
          </w:p>
        </w:tc>
      </w:tr>
    </w:tbl>
    <w:p w:rsidR="008F1501" w:rsidRDefault="008F1501" w:rsidP="008F1501">
      <w:pPr>
        <w:shd w:val="clear" w:color="auto" w:fill="F2F2F2"/>
        <w:rPr>
          <w:i/>
        </w:rPr>
        <w:sectPr w:rsidR="008F1501" w:rsidSect="008F1501">
          <w:headerReference w:type="default" r:id="rId12"/>
          <w:footerReference w:type="default" r:id="rId13"/>
          <w:footnotePr>
            <w:numFmt w:val="chicago"/>
          </w:footnotePr>
          <w:pgSz w:w="11906" w:h="16838"/>
          <w:pgMar w:top="1134" w:right="1418" w:bottom="1134" w:left="1418" w:header="510" w:footer="567" w:gutter="0"/>
          <w:cols w:space="708"/>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605"/>
      </w:tblGrid>
      <w:tr w:rsidR="008F1501" w:rsidRPr="00CD4982" w:rsidTr="00773F88">
        <w:trPr>
          <w:trHeight w:val="736"/>
          <w:jc w:val="center"/>
        </w:trPr>
        <w:tc>
          <w:tcPr>
            <w:tcW w:w="5000" w:type="pct"/>
            <w:shd w:val="clear" w:color="auto" w:fill="F2F2F2"/>
          </w:tcPr>
          <w:p w:rsidR="008F1501" w:rsidRPr="00CD4982" w:rsidRDefault="008F1501" w:rsidP="00773F88">
            <w:pPr>
              <w:shd w:val="clear" w:color="auto" w:fill="F2F2F2"/>
              <w:rPr>
                <w:i/>
              </w:rPr>
            </w:pPr>
            <w:r w:rsidRPr="00CD4982">
              <w:rPr>
                <w:i/>
              </w:rPr>
              <w:t xml:space="preserve">Vedie návrh k zvýšeniu alebo zníženiu príjmov alebo výdavkov domácností? </w:t>
            </w:r>
          </w:p>
          <w:p w:rsidR="008F1501" w:rsidRPr="00CD4982" w:rsidRDefault="008F1501" w:rsidP="00773F88">
            <w:pPr>
              <w:shd w:val="clear" w:color="auto" w:fill="F2F2F2"/>
              <w:rPr>
                <w:i/>
              </w:rPr>
            </w:pPr>
            <w:r w:rsidRPr="00CD4982">
              <w:rPr>
                <w:i/>
              </w:rPr>
              <w:t xml:space="preserve">Ktoré skupiny domácností/obyvateľstva sú takto ovplyvnené a akým spôsobom? </w:t>
            </w:r>
          </w:p>
          <w:p w:rsidR="008F1501" w:rsidRPr="00CD4982" w:rsidRDefault="008F1501" w:rsidP="00773F88">
            <w:pPr>
              <w:shd w:val="clear" w:color="auto" w:fill="F2F2F2"/>
              <w:rPr>
                <w:rFonts w:ascii="Calibri" w:hAnsi="Calibri"/>
                <w:i/>
              </w:rPr>
            </w:pPr>
            <w:r w:rsidRPr="00CD4982">
              <w:rPr>
                <w:i/>
              </w:rPr>
              <w:t>Sú medzi potenciálne ovplyvnenými skupinami skupiny v riziku chudoby alebo sociálneho vylúčenia?</w:t>
            </w:r>
          </w:p>
        </w:tc>
      </w:tr>
    </w:tbl>
    <w:p w:rsidR="008F1501" w:rsidRDefault="008F1501" w:rsidP="008F1501">
      <w:pPr>
        <w:rPr>
          <w:i/>
        </w:rPr>
        <w:sectPr w:rsidR="008F1501" w:rsidSect="0040544D">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4802"/>
        <w:gridCol w:w="4803"/>
      </w:tblGrid>
      <w:tr w:rsidR="008F1501" w:rsidRPr="00CD4982" w:rsidTr="00773F88">
        <w:trPr>
          <w:trHeight w:val="759"/>
          <w:jc w:val="center"/>
        </w:trPr>
        <w:tc>
          <w:tcPr>
            <w:tcW w:w="2500" w:type="pct"/>
            <w:tcBorders>
              <w:top w:val="nil"/>
              <w:bottom w:val="dotted" w:sz="4" w:space="0" w:color="auto"/>
            </w:tcBorders>
          </w:tcPr>
          <w:p w:rsidR="008F1501" w:rsidRPr="00CD4982" w:rsidRDefault="008F1501" w:rsidP="00773F88">
            <w:pPr>
              <w:rPr>
                <w:i/>
              </w:rPr>
            </w:pPr>
            <w:r>
              <w:rPr>
                <w:i/>
              </w:rPr>
              <w:t xml:space="preserve">Popíšte </w:t>
            </w:r>
            <w:r w:rsidRPr="00E538C0">
              <w:rPr>
                <w:b/>
                <w:i/>
              </w:rPr>
              <w:t>pozitívny</w:t>
            </w:r>
            <w:r>
              <w:rPr>
                <w:i/>
              </w:rPr>
              <w:t xml:space="preserve"> vplyv na hospodárenie domácností s uvedením, či ide o zvýšenie príjmov alebo zníženie výdavkov:</w:t>
            </w:r>
          </w:p>
        </w:tc>
        <w:tc>
          <w:tcPr>
            <w:tcW w:w="2500" w:type="pct"/>
            <w:tcBorders>
              <w:top w:val="nil"/>
              <w:bottom w:val="dotted" w:sz="4" w:space="0" w:color="auto"/>
            </w:tcBorders>
          </w:tcPr>
          <w:p w:rsidR="008F1501" w:rsidRPr="00C60807" w:rsidRDefault="002079D7" w:rsidP="00892C0A">
            <w:pPr>
              <w:jc w:val="both"/>
            </w:pPr>
            <w:r w:rsidRPr="00C60807">
              <w:t xml:space="preserve">Predpokladané zvýšenie počtu rizikových prác má vplyv na zvýšenú ochranu zdravia pri práci a na zvýšenie príjmov zamestnancov vykonávajúcich rizikové práce v dvoch položkách: </w:t>
            </w:r>
            <w:r w:rsidRPr="00C60807">
              <w:rPr>
                <w:rFonts w:cs="Calibri"/>
              </w:rPr>
              <w:t>mzdovej kompenzácii za sťažený výkon práce a príspevku zamestnávateľa na doplnkové dôchodkové sporenie zamestnanca, ktorý vykonáva prácu zaradenú do kategórie 3 a</w:t>
            </w:r>
            <w:r w:rsidR="00FD02C3">
              <w:rPr>
                <w:rFonts w:cs="Calibri"/>
              </w:rPr>
              <w:t> </w:t>
            </w:r>
            <w:r w:rsidRPr="00C60807">
              <w:rPr>
                <w:rFonts w:cs="Calibri"/>
              </w:rPr>
              <w:t>4</w:t>
            </w:r>
            <w:r w:rsidR="00FD02C3">
              <w:rPr>
                <w:rFonts w:cs="Calibri"/>
              </w:rPr>
              <w:t>.</w:t>
            </w:r>
          </w:p>
        </w:tc>
      </w:tr>
      <w:tr w:rsidR="008F1501" w:rsidRPr="00CD4982" w:rsidTr="00773F88">
        <w:trPr>
          <w:trHeight w:val="624"/>
          <w:jc w:val="center"/>
        </w:trPr>
        <w:tc>
          <w:tcPr>
            <w:tcW w:w="2500" w:type="pct"/>
            <w:tcBorders>
              <w:top w:val="dotted" w:sz="4" w:space="0" w:color="auto"/>
            </w:tcBorders>
          </w:tcPr>
          <w:p w:rsidR="008F1501" w:rsidRPr="00CD4982" w:rsidRDefault="008F1501" w:rsidP="00773F88">
            <w:pPr>
              <w:rPr>
                <w:i/>
              </w:rPr>
            </w:pPr>
            <w:r>
              <w:rPr>
                <w:i/>
              </w:rPr>
              <w:t xml:space="preserve">Špecifikujte </w:t>
            </w:r>
            <w:r w:rsidRPr="00E538C0">
              <w:rPr>
                <w:b/>
                <w:i/>
              </w:rPr>
              <w:t>pozitívne</w:t>
            </w:r>
            <w:r>
              <w:rPr>
                <w:i/>
              </w:rPr>
              <w:t xml:space="preserve"> ovplyvnené skupiny:</w:t>
            </w:r>
          </w:p>
        </w:tc>
        <w:tc>
          <w:tcPr>
            <w:tcW w:w="2500" w:type="pct"/>
            <w:tcBorders>
              <w:top w:val="dotted" w:sz="4" w:space="0" w:color="auto"/>
            </w:tcBorders>
          </w:tcPr>
          <w:p w:rsidR="008F1501" w:rsidRPr="00C60807" w:rsidRDefault="00D45ADE" w:rsidP="00892C0A">
            <w:pPr>
              <w:jc w:val="both"/>
            </w:pPr>
            <w:r w:rsidRPr="00C60807">
              <w:t xml:space="preserve">Je možné predpokladať nárast počtu rizikových prác vzhľadom na sprísnenie </w:t>
            </w:r>
            <w:r w:rsidR="00C77B09">
              <w:t>priemerných</w:t>
            </w:r>
            <w:r w:rsidR="00CC4C97">
              <w:t xml:space="preserve"> najvyšších prípustných expozičných limitov</w:t>
            </w:r>
            <w:r w:rsidR="00C77B09">
              <w:t xml:space="preserve"> </w:t>
            </w:r>
            <w:r w:rsidR="00CC4C97">
              <w:t>(</w:t>
            </w:r>
            <w:r w:rsidR="001A4165">
              <w:t>NPEL</w:t>
            </w:r>
            <w:r w:rsidR="00CC4C97">
              <w:t>)</w:t>
            </w:r>
            <w:r w:rsidRPr="00C60807">
              <w:t xml:space="preserve"> </w:t>
            </w:r>
            <w:r w:rsidR="001A4165">
              <w:t>6</w:t>
            </w:r>
            <w:r w:rsidR="00B2189B" w:rsidRPr="00C60807">
              <w:t xml:space="preserve"> </w:t>
            </w:r>
            <w:r w:rsidR="001A4165">
              <w:t>chemických faktorov</w:t>
            </w:r>
            <w:r w:rsidRPr="00C60807">
              <w:t xml:space="preserve">, ktoré </w:t>
            </w:r>
            <w:r w:rsidR="00110C4F">
              <w:t xml:space="preserve">už sú zavedené v legislatíve </w:t>
            </w:r>
            <w:r w:rsidR="001A4165">
              <w:t xml:space="preserve">a doplnenie </w:t>
            </w:r>
            <w:r w:rsidR="00110C4F">
              <w:t xml:space="preserve">priemerných a krátkodobých </w:t>
            </w:r>
            <w:r w:rsidR="001A4165">
              <w:t>NPEL 3 chemických faktorov, ktoré doteraz neboli súčasťou legislatívy Slovenskej republiky</w:t>
            </w:r>
            <w:r w:rsidRPr="00C60807">
              <w:t>.</w:t>
            </w:r>
            <w:r w:rsidR="002079D7" w:rsidRPr="00C60807">
              <w:t xml:space="preserve"> Nepredpokladá sa, že bude potrebné vyhlasovať rizikové práce u všetkých dotknutých subjektov, iba u tých, ktorí nebudú mať dostatočné technické alebo technologické opatrenia na zníženie expozície zamestnancov uvedeným</w:t>
            </w:r>
            <w:r w:rsidR="001A4165">
              <w:t xml:space="preserve"> chemickým faktorom</w:t>
            </w:r>
            <w:r w:rsidR="002079D7" w:rsidRPr="00C60807">
              <w:t>.</w:t>
            </w:r>
          </w:p>
          <w:p w:rsidR="00D45ADE" w:rsidRPr="00C60807" w:rsidRDefault="00D45ADE" w:rsidP="00D45ADE">
            <w:pPr>
              <w:jc w:val="both"/>
            </w:pPr>
            <w:r w:rsidRPr="00C60807">
              <w:t>V Slove</w:t>
            </w:r>
            <w:r w:rsidR="001A4165">
              <w:t>nskej republike bolo k 15. 09. 2019</w:t>
            </w:r>
            <w:r w:rsidR="00C60807" w:rsidRPr="00C60807">
              <w:t xml:space="preserve"> evidovaných </w:t>
            </w:r>
            <w:r w:rsidR="00110C4F">
              <w:t>73</w:t>
            </w:r>
            <w:r w:rsidR="001A4165">
              <w:t xml:space="preserve"> zamestnancov (z toho 1</w:t>
            </w:r>
            <w:r w:rsidR="00110C4F">
              <w:t>5</w:t>
            </w:r>
            <w:r w:rsidRPr="00C60807">
              <w:t xml:space="preserve"> žien), vykonávajúcich rizikové práce s</w:t>
            </w:r>
            <w:r w:rsidR="00110C4F">
              <w:t> </w:t>
            </w:r>
            <w:r w:rsidRPr="00C60807">
              <w:t>expozíciou</w:t>
            </w:r>
            <w:r w:rsidR="00110C4F">
              <w:t xml:space="preserve"> </w:t>
            </w:r>
            <w:r w:rsidR="00CC4C97" w:rsidRPr="00CC4C97">
              <w:t>2 zo 6</w:t>
            </w:r>
            <w:r w:rsidR="00CC4C97">
              <w:rPr>
                <w:color w:val="FF0000"/>
              </w:rPr>
              <w:t xml:space="preserve"> </w:t>
            </w:r>
            <w:r w:rsidRPr="00C60807">
              <w:t>chemický</w:t>
            </w:r>
            <w:r w:rsidR="00CC4C97">
              <w:t>ch</w:t>
            </w:r>
            <w:r w:rsidRPr="00C60807">
              <w:t xml:space="preserve"> </w:t>
            </w:r>
            <w:r w:rsidR="001A4165">
              <w:t>faktoro</w:t>
            </w:r>
            <w:r w:rsidR="00CC4C97">
              <w:t>v</w:t>
            </w:r>
            <w:r w:rsidR="00110C4F">
              <w:t>, u ktorých sa smernicou sprísňuje priemerný NPEL</w:t>
            </w:r>
            <w:r w:rsidRPr="00C60807">
              <w:t xml:space="preserve">. </w:t>
            </w:r>
          </w:p>
          <w:p w:rsidR="00892C0A" w:rsidRPr="00C60807" w:rsidRDefault="00D45ADE" w:rsidP="001A4165">
            <w:pPr>
              <w:jc w:val="both"/>
            </w:pPr>
            <w:r w:rsidRPr="00C60807">
              <w:t>Vplyv zmien v</w:t>
            </w:r>
            <w:r w:rsidR="00110C4F">
              <w:t xml:space="preserve"> priemerných </w:t>
            </w:r>
            <w:r w:rsidR="001A4165">
              <w:t>NPEL</w:t>
            </w:r>
            <w:r w:rsidRPr="00C60807">
              <w:t xml:space="preserve"> </w:t>
            </w:r>
            <w:r w:rsidR="001A4165">
              <w:t>chemických faktorov</w:t>
            </w:r>
            <w:r w:rsidR="00ED0B05" w:rsidRPr="00C60807">
              <w:t xml:space="preserve"> v náv</w:t>
            </w:r>
            <w:r w:rsidR="0037247E">
              <w:t>rhu nariadenia vlády (6</w:t>
            </w:r>
            <w:r w:rsidRPr="00C60807">
              <w:t xml:space="preserve"> spr</w:t>
            </w:r>
            <w:r w:rsidR="0037247E">
              <w:t xml:space="preserve">ísnených </w:t>
            </w:r>
            <w:r w:rsidR="00110C4F">
              <w:t xml:space="preserve">priemerných </w:t>
            </w:r>
            <w:r w:rsidR="0037247E">
              <w:t>NPEL a 3 novozavedené</w:t>
            </w:r>
            <w:r w:rsidRPr="00C60807">
              <w:t>) na zmeny počtu osôb vykonávajúcich rizikové práce nie je možné kvantifikovať.</w:t>
            </w:r>
          </w:p>
        </w:tc>
      </w:tr>
      <w:tr w:rsidR="008F1501" w:rsidRPr="00CD4982" w:rsidTr="00773F88">
        <w:trPr>
          <w:trHeight w:val="759"/>
          <w:jc w:val="center"/>
        </w:trPr>
        <w:tc>
          <w:tcPr>
            <w:tcW w:w="2500" w:type="pct"/>
            <w:tcBorders>
              <w:bottom w:val="dotted" w:sz="4" w:space="0" w:color="auto"/>
            </w:tcBorders>
          </w:tcPr>
          <w:p w:rsidR="008F1501" w:rsidRPr="00E538C0" w:rsidRDefault="008F1501" w:rsidP="00773F88">
            <w:pPr>
              <w:rPr>
                <w:i/>
              </w:rPr>
            </w:pPr>
            <w:r>
              <w:rPr>
                <w:i/>
              </w:rPr>
              <w:t xml:space="preserve">Popíšte </w:t>
            </w:r>
            <w:r>
              <w:rPr>
                <w:b/>
                <w:i/>
              </w:rPr>
              <w:t xml:space="preserve">negatívny </w:t>
            </w:r>
            <w:r>
              <w:rPr>
                <w:i/>
              </w:rPr>
              <w:t>vplyv na hospodárenie domácností s uvedením, či ide o zníženie príjmov alebo zvýšenie výdavkov:</w:t>
            </w:r>
          </w:p>
        </w:tc>
        <w:tc>
          <w:tcPr>
            <w:tcW w:w="2500" w:type="pct"/>
            <w:tcBorders>
              <w:bottom w:val="dotted" w:sz="4" w:space="0" w:color="auto"/>
            </w:tcBorders>
          </w:tcPr>
          <w:p w:rsidR="00C60807" w:rsidRPr="00892C0A" w:rsidRDefault="0037247E" w:rsidP="00C2543F">
            <w:pPr>
              <w:jc w:val="both"/>
            </w:pPr>
            <w:r>
              <w:t>-</w:t>
            </w:r>
          </w:p>
        </w:tc>
      </w:tr>
      <w:tr w:rsidR="008F1501" w:rsidRPr="00CD4982" w:rsidTr="00773F88">
        <w:trPr>
          <w:trHeight w:val="624"/>
          <w:jc w:val="center"/>
        </w:trPr>
        <w:tc>
          <w:tcPr>
            <w:tcW w:w="2500" w:type="pct"/>
            <w:tcBorders>
              <w:top w:val="dotted" w:sz="4" w:space="0" w:color="auto"/>
            </w:tcBorders>
          </w:tcPr>
          <w:p w:rsidR="008F1501" w:rsidRPr="00CD4982" w:rsidRDefault="008F1501" w:rsidP="00773F88">
            <w:pPr>
              <w:rPr>
                <w:i/>
              </w:rPr>
            </w:pPr>
            <w:r>
              <w:rPr>
                <w:i/>
              </w:rPr>
              <w:t xml:space="preserve">Špecifikujte </w:t>
            </w:r>
            <w:r w:rsidRPr="00F2597D">
              <w:rPr>
                <w:b/>
                <w:i/>
              </w:rPr>
              <w:t>negatívne</w:t>
            </w:r>
            <w:r>
              <w:rPr>
                <w:i/>
              </w:rPr>
              <w:t xml:space="preserve"> ovplyvnené skupiny:</w:t>
            </w:r>
          </w:p>
        </w:tc>
        <w:tc>
          <w:tcPr>
            <w:tcW w:w="2500" w:type="pct"/>
            <w:tcBorders>
              <w:top w:val="dotted" w:sz="4" w:space="0" w:color="auto"/>
            </w:tcBorders>
          </w:tcPr>
          <w:p w:rsidR="008F1501" w:rsidRPr="00C60807" w:rsidRDefault="00D45ADE" w:rsidP="00892C0A">
            <w:pPr>
              <w:jc w:val="both"/>
            </w:pPr>
            <w:r w:rsidRPr="00C60807">
              <w:t>-</w:t>
            </w:r>
          </w:p>
        </w:tc>
      </w:tr>
      <w:tr w:rsidR="008F1501" w:rsidRPr="00CD4982" w:rsidTr="00773F88">
        <w:trPr>
          <w:trHeight w:val="680"/>
          <w:jc w:val="center"/>
        </w:trPr>
        <w:tc>
          <w:tcPr>
            <w:tcW w:w="2500" w:type="pct"/>
            <w:tcBorders>
              <w:bottom w:val="nil"/>
            </w:tcBorders>
          </w:tcPr>
          <w:p w:rsidR="008F1501" w:rsidRPr="00CD4982" w:rsidRDefault="008F1501" w:rsidP="00773F88">
            <w:pPr>
              <w:rPr>
                <w:i/>
              </w:rPr>
            </w:pPr>
            <w:r>
              <w:rPr>
                <w:i/>
              </w:rPr>
              <w:t xml:space="preserve">Špecifikujte ovplyvnené skupiny </w:t>
            </w:r>
            <w:r w:rsidRPr="00E538C0">
              <w:rPr>
                <w:b/>
                <w:i/>
              </w:rPr>
              <w:t>v riziku chudoby alebo sociálneho vylúčenia</w:t>
            </w:r>
            <w:r>
              <w:rPr>
                <w:i/>
              </w:rPr>
              <w:t xml:space="preserve"> a popíšte vplyv:</w:t>
            </w:r>
          </w:p>
        </w:tc>
        <w:tc>
          <w:tcPr>
            <w:tcW w:w="2500" w:type="pct"/>
            <w:tcBorders>
              <w:bottom w:val="nil"/>
            </w:tcBorders>
          </w:tcPr>
          <w:p w:rsidR="008F1501" w:rsidRPr="0040544D" w:rsidRDefault="008F1501" w:rsidP="00773F88">
            <w:r>
              <w:t>-</w:t>
            </w:r>
          </w:p>
        </w:tc>
      </w:tr>
    </w:tbl>
    <w:p w:rsidR="008F1501" w:rsidRDefault="008F1501" w:rsidP="008F1501">
      <w:pPr>
        <w:jc w:val="both"/>
        <w:rPr>
          <w:i/>
        </w:rPr>
        <w:sectPr w:rsidR="008F1501" w:rsidSect="0040544D">
          <w:footnotePr>
            <w:numFmt w:val="chicago"/>
          </w:footnotePr>
          <w:type w:val="continuous"/>
          <w:pgSz w:w="11906" w:h="16838"/>
          <w:pgMar w:top="1134" w:right="1418" w:bottom="1134" w:left="1418" w:header="510" w:footer="567" w:gutter="0"/>
          <w:cols w:space="708"/>
          <w:formProt w:val="0"/>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605"/>
      </w:tblGrid>
      <w:tr w:rsidR="008F1501" w:rsidRPr="00CD4982" w:rsidTr="00773F88">
        <w:trPr>
          <w:trHeight w:val="680"/>
          <w:jc w:val="center"/>
        </w:trPr>
        <w:tc>
          <w:tcPr>
            <w:tcW w:w="5000" w:type="pct"/>
            <w:shd w:val="clear" w:color="auto" w:fill="F2F2F2" w:themeFill="background1" w:themeFillShade="F2"/>
          </w:tcPr>
          <w:p w:rsidR="008F1501" w:rsidRDefault="008F1501" w:rsidP="00773F88">
            <w:pPr>
              <w:jc w:val="both"/>
              <w:rPr>
                <w:i/>
              </w:rPr>
            </w:pPr>
            <w:r w:rsidRPr="00CD4982">
              <w:rPr>
                <w:i/>
              </w:rPr>
              <w:t>Kvantifikujte rast alebo pokles príjmov/výdavkov za jednotlivé ovplyvnené skupiny domácností / skupiny jednotlivcov a počet obyvateľstva/domácností ovplyvnených predkladaným materiálom.</w:t>
            </w:r>
          </w:p>
          <w:p w:rsidR="008F1501" w:rsidRPr="00CD4982" w:rsidRDefault="008F1501" w:rsidP="00773F88">
            <w:pPr>
              <w:jc w:val="both"/>
              <w:rPr>
                <w:i/>
              </w:rPr>
            </w:pPr>
            <w:r>
              <w:rPr>
                <w:i/>
              </w:rPr>
              <w:t>V prípade vyššieho počtu ovplyvnených skupín doplňte do tabuľky ďalšie riadky.</w:t>
            </w:r>
          </w:p>
          <w:p w:rsidR="008F1501" w:rsidRPr="0040544D" w:rsidRDefault="008F1501" w:rsidP="00773F88">
            <w:pPr>
              <w:tabs>
                <w:tab w:val="left" w:pos="3505"/>
              </w:tabs>
            </w:pPr>
            <w:r w:rsidRPr="00CD4982">
              <w:rPr>
                <w:i/>
              </w:rPr>
              <w:t>V prípade, ak neuvádzate kvantifikáciu, uveďte dôvod.</w:t>
            </w:r>
          </w:p>
        </w:tc>
      </w:tr>
    </w:tbl>
    <w:p w:rsidR="008F1501" w:rsidRDefault="008F1501" w:rsidP="008F1501">
      <w:pPr>
        <w:jc w:val="both"/>
        <w:rPr>
          <w:b/>
          <w:i/>
        </w:rPr>
        <w:sectPr w:rsidR="008F1501" w:rsidSect="0040544D">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4802"/>
        <w:gridCol w:w="4803"/>
      </w:tblGrid>
      <w:tr w:rsidR="008F1501" w:rsidRPr="00CD4982" w:rsidTr="00773F88">
        <w:trPr>
          <w:trHeight w:val="286"/>
          <w:jc w:val="center"/>
        </w:trPr>
        <w:tc>
          <w:tcPr>
            <w:tcW w:w="5000" w:type="pct"/>
            <w:gridSpan w:val="2"/>
            <w:tcBorders>
              <w:top w:val="nil"/>
            </w:tcBorders>
          </w:tcPr>
          <w:p w:rsidR="008F1501" w:rsidRPr="00CD4982" w:rsidRDefault="008F1501" w:rsidP="00773F88">
            <w:pPr>
              <w:jc w:val="both"/>
              <w:rPr>
                <w:i/>
              </w:rPr>
            </w:pPr>
            <w:r w:rsidRPr="00DA4453">
              <w:rPr>
                <w:b/>
                <w:i/>
              </w:rPr>
              <w:t>Ovplyvnená skupina č. 1:</w:t>
            </w:r>
          </w:p>
        </w:tc>
      </w:tr>
      <w:tr w:rsidR="008F1501" w:rsidRPr="00CD4982" w:rsidTr="00773F88">
        <w:trPr>
          <w:trHeight w:val="503"/>
          <w:jc w:val="center"/>
        </w:trPr>
        <w:tc>
          <w:tcPr>
            <w:tcW w:w="2500" w:type="pct"/>
            <w:tcBorders>
              <w:bottom w:val="single" w:sz="4" w:space="0" w:color="BFBFBF" w:themeColor="background1" w:themeShade="BF"/>
            </w:tcBorders>
          </w:tcPr>
          <w:p w:rsidR="008F1501" w:rsidRPr="00CD4982" w:rsidRDefault="008F1501" w:rsidP="00773F88">
            <w:pPr>
              <w:rPr>
                <w:i/>
              </w:rPr>
            </w:pPr>
            <w:r w:rsidRPr="00CD4982">
              <w:rPr>
                <w:i/>
              </w:rPr>
              <w:t>Pozitívny vplyv - priemerný rast príjmov/ pokles výdavkov v skupine v eurách a/alebo v % / obdobie:</w:t>
            </w:r>
          </w:p>
        </w:tc>
        <w:tc>
          <w:tcPr>
            <w:tcW w:w="2500" w:type="pct"/>
            <w:tcBorders>
              <w:bottom w:val="single" w:sz="4" w:space="0" w:color="BFBFBF" w:themeColor="background1" w:themeShade="BF"/>
            </w:tcBorders>
          </w:tcPr>
          <w:p w:rsidR="008F1501" w:rsidRPr="00C60807" w:rsidRDefault="00491C5C" w:rsidP="00773F88">
            <w:pPr>
              <w:jc w:val="both"/>
            </w:pPr>
            <w:r w:rsidRPr="00C60807">
              <w:t xml:space="preserve">Je možné predpokladať </w:t>
            </w:r>
            <w:r w:rsidR="00CC4C97">
              <w:t xml:space="preserve">mierny </w:t>
            </w:r>
            <w:r w:rsidRPr="00C60807">
              <w:t xml:space="preserve">nárast počtu rizikových prác vzhľadom na </w:t>
            </w:r>
            <w:r w:rsidR="00B63C57">
              <w:t xml:space="preserve">3 novozavedené a </w:t>
            </w:r>
            <w:r w:rsidR="0037247E">
              <w:t>6</w:t>
            </w:r>
            <w:r w:rsidR="00B02D2E">
              <w:t xml:space="preserve"> sprísnených</w:t>
            </w:r>
            <w:r w:rsidR="0037247E">
              <w:t xml:space="preserve"> </w:t>
            </w:r>
            <w:r w:rsidR="00110C4F">
              <w:t>priemerných</w:t>
            </w:r>
            <w:r w:rsidR="00B02D2E">
              <w:t xml:space="preserve"> </w:t>
            </w:r>
            <w:r w:rsidR="0037247E">
              <w:t>NPEL</w:t>
            </w:r>
            <w:r w:rsidR="00D45ADE" w:rsidRPr="00C60807">
              <w:t xml:space="preserve"> </w:t>
            </w:r>
            <w:r w:rsidR="0037247E">
              <w:t>chemických faktorov</w:t>
            </w:r>
            <w:r w:rsidR="00C87910" w:rsidRPr="00C60807">
              <w:t>,</w:t>
            </w:r>
            <w:r w:rsidRPr="00C60807">
              <w:t xml:space="preserve"> pričom vplyv zmien na zmeny počtu osôb vykonávajúcich rizikové práce nie je možné presne určiť.</w:t>
            </w:r>
          </w:p>
          <w:p w:rsidR="00491C5C" w:rsidRPr="00C60807" w:rsidRDefault="00072CD6" w:rsidP="00491C5C">
            <w:pPr>
              <w:jc w:val="both"/>
            </w:pPr>
            <w:r w:rsidRPr="00C60807">
              <w:t xml:space="preserve">V prípade vyhlásenia rizikovej práce u 1 zamestnanca sa zvýšenie nákladov zamestnávateľa bude týkať </w:t>
            </w:r>
            <w:r w:rsidRPr="00C60807">
              <w:lastRenderedPageBreak/>
              <w:t>nasledujúcich položiek: mzdovej kompenzácie za sťažený výkon práce, príspevku zamestnávateľa na doplnkové dôchodkové sporenie zamestnanca, ktorý vykonáva prácu zaradenú do kategórie 3 a 4, výkonu lekárskej preventívnej prehliadky vo vzťahu k práci (v prípade vyhlásenia rizikovej práce 3. kategórie je to 1 x za 2 roky a v prípade 4. kategórie je to každý rok) a rekondičného pobytu (1 x za 5 rokov pri práci v kategórii 3 a následne každé štyri roky; 1 x za 4 roky pri práci v kategórii 4 a následne každé tri roky).</w:t>
            </w:r>
          </w:p>
          <w:p w:rsidR="00491C5C" w:rsidRPr="00C60807" w:rsidRDefault="00491C5C" w:rsidP="00491C5C">
            <w:pPr>
              <w:jc w:val="both"/>
            </w:pPr>
            <w:r w:rsidRPr="00C60807">
              <w:t xml:space="preserve">Mzdová kompenzácia za sťažený výkon práce predstavuje  najmenej 20 % minimálnej mzdy v eurách za hodinu (§ 124 Zákonníka práce). </w:t>
            </w:r>
          </w:p>
          <w:p w:rsidR="00491C5C" w:rsidRPr="00C60807" w:rsidRDefault="00491C5C" w:rsidP="00491C5C">
            <w:pPr>
              <w:jc w:val="both"/>
            </w:pPr>
            <w:r w:rsidRPr="00C60807">
              <w:t>Podľa § 13 ods. 3 zákona č. 650/2004 Z. z. je príspevok zamestnávateľa na doplnkové dôchodkové sporenie za zamestnanca, ktorý vykonáva prácu zaradenú do kategórie 3 a 4, najmenej 2 % z a) vymeriavacieho základu zamestnanca na platenie poistného na dôchodkové poistenie podľa osobitného predpisu (zákon č. 461/2003 Z. z.), b) príjmu zúčtovaného na výplatu, ak ide o zamestnanca, ktorý nie je povinne dôchodkovo poistený.</w:t>
            </w:r>
          </w:p>
          <w:p w:rsidR="00491C5C" w:rsidRPr="00C60807" w:rsidRDefault="00491C5C" w:rsidP="00491C5C">
            <w:pPr>
              <w:jc w:val="both"/>
            </w:pPr>
            <w:r w:rsidRPr="00C60807">
              <w:t>Predkladateľ však nepozná vymeriavacie základy jednotlivých dotknutých zamestnancov ani ich počet.</w:t>
            </w:r>
          </w:p>
          <w:p w:rsidR="00072CD6" w:rsidRPr="00C60807" w:rsidRDefault="00072CD6" w:rsidP="00072CD6">
            <w:pPr>
              <w:jc w:val="both"/>
            </w:pPr>
            <w:r w:rsidRPr="00C60807">
              <w:t>Nie je možné vyčísliť ani cenu lekárskej preventívnej prehliadky vo vzťahu k práci, nakoľko ich cena nie je regulovaná a závisí od rozsahu vyšetrení na základe odborného uváženia lekára vykonávajúceho uvedenú prehliadku podľa odborného usmernenia MZ SR o náplni lekárskych preventívnych prehliadok vo vzťahu k práci.</w:t>
            </w:r>
          </w:p>
          <w:p w:rsidR="00072CD6" w:rsidRPr="00CA6BAF" w:rsidRDefault="00072CD6" w:rsidP="00072CD6">
            <w:pPr>
              <w:jc w:val="both"/>
            </w:pPr>
            <w:r w:rsidRPr="00C60807">
              <w:t>Taktiež predkladateľ nepozná cenu rekondičného pobytu, ktorá je individuálna na základe voľnej cenotvorby.</w:t>
            </w:r>
          </w:p>
        </w:tc>
      </w:tr>
      <w:tr w:rsidR="008F1501" w:rsidRPr="00CD4982" w:rsidTr="00773F88">
        <w:trPr>
          <w:trHeight w:val="497"/>
          <w:jc w:val="center"/>
        </w:trPr>
        <w:tc>
          <w:tcPr>
            <w:tcW w:w="2500" w:type="pct"/>
            <w:tcBorders>
              <w:top w:val="single" w:sz="4" w:space="0" w:color="BFBFBF" w:themeColor="background1" w:themeShade="BF"/>
              <w:bottom w:val="single" w:sz="4" w:space="0" w:color="BFBFBF" w:themeColor="background1" w:themeShade="BF"/>
            </w:tcBorders>
          </w:tcPr>
          <w:p w:rsidR="008F1501" w:rsidRPr="00CD4982" w:rsidRDefault="008F1501" w:rsidP="00773F88">
            <w:pPr>
              <w:rPr>
                <w:rFonts w:ascii="Calibri" w:hAnsi="Calibri"/>
                <w:i/>
              </w:rPr>
            </w:pPr>
            <w:r w:rsidRPr="00CD4982">
              <w:rPr>
                <w:i/>
              </w:rPr>
              <w:lastRenderedPageBreak/>
              <w:t xml:space="preserve">Negatívny vplyv - priemerný pokles príjmov/ rast výdavkov v skupine v eurách a/alebo v % / obdobie: </w:t>
            </w:r>
          </w:p>
        </w:tc>
        <w:tc>
          <w:tcPr>
            <w:tcW w:w="2500" w:type="pct"/>
            <w:tcBorders>
              <w:top w:val="single" w:sz="4" w:space="0" w:color="BFBFBF" w:themeColor="background1" w:themeShade="BF"/>
              <w:bottom w:val="single" w:sz="4" w:space="0" w:color="BFBFBF" w:themeColor="background1" w:themeShade="BF"/>
            </w:tcBorders>
          </w:tcPr>
          <w:p w:rsidR="008F1501" w:rsidRPr="00CA6BAF" w:rsidRDefault="00AF115F" w:rsidP="00773F88">
            <w:pPr>
              <w:jc w:val="both"/>
            </w:pPr>
            <w:r>
              <w:t>-</w:t>
            </w:r>
          </w:p>
        </w:tc>
      </w:tr>
      <w:tr w:rsidR="008F1501" w:rsidRPr="00CD4982" w:rsidTr="00773F88">
        <w:trPr>
          <w:trHeight w:val="363"/>
          <w:jc w:val="center"/>
        </w:trPr>
        <w:tc>
          <w:tcPr>
            <w:tcW w:w="2500" w:type="pct"/>
            <w:tcBorders>
              <w:top w:val="single" w:sz="4" w:space="0" w:color="BFBFBF" w:themeColor="background1" w:themeShade="BF"/>
            </w:tcBorders>
          </w:tcPr>
          <w:p w:rsidR="008F1501" w:rsidRPr="00CD4982" w:rsidRDefault="008F1501" w:rsidP="00773F88">
            <w:pPr>
              <w:rPr>
                <w:rFonts w:ascii="Calibri" w:hAnsi="Calibri"/>
                <w:i/>
              </w:rPr>
            </w:pPr>
            <w:r w:rsidRPr="00CD4982">
              <w:rPr>
                <w:i/>
              </w:rPr>
              <w:t>Veľkosť skupiny (počet obyvateľov):</w:t>
            </w:r>
          </w:p>
        </w:tc>
        <w:tc>
          <w:tcPr>
            <w:tcW w:w="2500" w:type="pct"/>
            <w:tcBorders>
              <w:top w:val="single" w:sz="4" w:space="0" w:color="BFBFBF" w:themeColor="background1" w:themeShade="BF"/>
            </w:tcBorders>
          </w:tcPr>
          <w:p w:rsidR="00CC4C97" w:rsidRDefault="00CC4C97" w:rsidP="00110C4F">
            <w:pPr>
              <w:jc w:val="both"/>
            </w:pPr>
            <w:r w:rsidRPr="00C60807">
              <w:t>Vplyv zmien v</w:t>
            </w:r>
            <w:r>
              <w:t> priemerných NPEL</w:t>
            </w:r>
            <w:r w:rsidRPr="00C60807">
              <w:t xml:space="preserve"> </w:t>
            </w:r>
            <w:r>
              <w:t>chemických faktorov</w:t>
            </w:r>
            <w:r w:rsidRPr="00C60807">
              <w:t xml:space="preserve"> v náv</w:t>
            </w:r>
            <w:r>
              <w:t>rhu nariadenia vlády (6</w:t>
            </w:r>
            <w:r w:rsidRPr="00C60807">
              <w:t xml:space="preserve"> spr</w:t>
            </w:r>
            <w:r>
              <w:t>ísnených priemerných NPEL a 3 novozavedené</w:t>
            </w:r>
            <w:r w:rsidRPr="00C60807">
              <w:t>) na zmeny počtu osôb vykonávajúcich rizikové práce nie je možné kvantifikovať.</w:t>
            </w:r>
          </w:p>
          <w:p w:rsidR="008F1501" w:rsidRPr="00CA6BAF" w:rsidRDefault="0037247E" w:rsidP="00110C4F">
            <w:pPr>
              <w:jc w:val="both"/>
            </w:pPr>
            <w:r>
              <w:t>V Slovenskej republike bolo k</w:t>
            </w:r>
            <w:r w:rsidR="00110C4F">
              <w:t> 15. 09. 2019 evidovaných 73</w:t>
            </w:r>
            <w:r>
              <w:t xml:space="preserve"> zamestnancov (z toho 1</w:t>
            </w:r>
            <w:r w:rsidR="00110C4F">
              <w:t>5</w:t>
            </w:r>
            <w:r w:rsidR="00D45ADE" w:rsidRPr="00D45ADE">
              <w:t xml:space="preserve"> žien), vykonávajúcich rizikové práce s expozíciou </w:t>
            </w:r>
            <w:r w:rsidR="00CC4C97" w:rsidRPr="00CC4C97">
              <w:t>2 zo 6</w:t>
            </w:r>
            <w:r w:rsidR="00CC4C97">
              <w:rPr>
                <w:color w:val="FF0000"/>
              </w:rPr>
              <w:t xml:space="preserve"> </w:t>
            </w:r>
            <w:r w:rsidR="00CC4C97" w:rsidRPr="00C60807">
              <w:t>chemický</w:t>
            </w:r>
            <w:r w:rsidR="00CC4C97">
              <w:t>ch</w:t>
            </w:r>
            <w:r w:rsidR="00CC4C97" w:rsidRPr="00C60807">
              <w:t xml:space="preserve"> </w:t>
            </w:r>
            <w:r w:rsidR="00CC4C97">
              <w:t>faktorov</w:t>
            </w:r>
            <w:r w:rsidR="00110C4F">
              <w:t>, u ktorých sa smernicou sprísňuje priemerný NPEL.</w:t>
            </w:r>
          </w:p>
        </w:tc>
      </w:tr>
      <w:tr w:rsidR="008F1501" w:rsidRPr="00CD4982" w:rsidTr="00773F88">
        <w:trPr>
          <w:trHeight w:val="265"/>
          <w:jc w:val="center"/>
        </w:trPr>
        <w:tc>
          <w:tcPr>
            <w:tcW w:w="5000" w:type="pct"/>
            <w:gridSpan w:val="2"/>
          </w:tcPr>
          <w:p w:rsidR="008F1501" w:rsidRPr="00CD4982" w:rsidRDefault="008F1501" w:rsidP="00773F88">
            <w:pPr>
              <w:jc w:val="both"/>
              <w:rPr>
                <w:i/>
              </w:rPr>
            </w:pPr>
            <w:r w:rsidRPr="00DA4453">
              <w:rPr>
                <w:b/>
                <w:i/>
              </w:rPr>
              <w:t>Ovplyvnená skupina č. 2:</w:t>
            </w:r>
          </w:p>
        </w:tc>
      </w:tr>
      <w:tr w:rsidR="008F1501" w:rsidRPr="00CD4982" w:rsidTr="00773F88">
        <w:trPr>
          <w:trHeight w:val="587"/>
          <w:jc w:val="center"/>
        </w:trPr>
        <w:tc>
          <w:tcPr>
            <w:tcW w:w="2500" w:type="pct"/>
            <w:tcBorders>
              <w:bottom w:val="single" w:sz="4" w:space="0" w:color="BFBFBF" w:themeColor="background1" w:themeShade="BF"/>
            </w:tcBorders>
          </w:tcPr>
          <w:p w:rsidR="008F1501" w:rsidRPr="00CD4982" w:rsidRDefault="008F1501" w:rsidP="00773F88">
            <w:pPr>
              <w:rPr>
                <w:i/>
              </w:rPr>
            </w:pPr>
            <w:r w:rsidRPr="00CD4982">
              <w:rPr>
                <w:i/>
              </w:rPr>
              <w:t>Pozitívny vplyv - priemerný rast príjmov/pokles výdavkov v skupine v eurách a/alebo v % / obdobie:</w:t>
            </w:r>
          </w:p>
        </w:tc>
        <w:tc>
          <w:tcPr>
            <w:tcW w:w="2500" w:type="pct"/>
            <w:tcBorders>
              <w:bottom w:val="single" w:sz="4" w:space="0" w:color="BFBFBF" w:themeColor="background1" w:themeShade="BF"/>
            </w:tcBorders>
          </w:tcPr>
          <w:p w:rsidR="008F1501" w:rsidRPr="00F21C7F" w:rsidRDefault="00B02D2E" w:rsidP="00104298">
            <w:pPr>
              <w:jc w:val="both"/>
              <w:rPr>
                <w:color w:val="FF0000"/>
              </w:rPr>
            </w:pPr>
            <w:r>
              <w:t>-</w:t>
            </w:r>
          </w:p>
        </w:tc>
      </w:tr>
      <w:tr w:rsidR="008F1501" w:rsidRPr="00CD4982" w:rsidTr="00773F88">
        <w:trPr>
          <w:trHeight w:val="497"/>
          <w:jc w:val="center"/>
        </w:trPr>
        <w:tc>
          <w:tcPr>
            <w:tcW w:w="2500" w:type="pct"/>
            <w:tcBorders>
              <w:top w:val="single" w:sz="4" w:space="0" w:color="BFBFBF" w:themeColor="background1" w:themeShade="BF"/>
              <w:bottom w:val="single" w:sz="4" w:space="0" w:color="BFBFBF" w:themeColor="background1" w:themeShade="BF"/>
            </w:tcBorders>
          </w:tcPr>
          <w:p w:rsidR="008F1501" w:rsidRPr="00CD4982" w:rsidRDefault="008F1501" w:rsidP="00773F88">
            <w:pPr>
              <w:rPr>
                <w:rFonts w:ascii="Calibri" w:hAnsi="Calibri"/>
                <w:i/>
              </w:rPr>
            </w:pPr>
            <w:r w:rsidRPr="00CD4982">
              <w:rPr>
                <w:i/>
              </w:rPr>
              <w:t xml:space="preserve">Negatívny vplyv - priemerný pokles príjmov/ rast výdavkov v skupine v eurách a/alebo v % / obdobie: </w:t>
            </w:r>
          </w:p>
        </w:tc>
        <w:tc>
          <w:tcPr>
            <w:tcW w:w="2500" w:type="pct"/>
            <w:tcBorders>
              <w:top w:val="single" w:sz="4" w:space="0" w:color="BFBFBF" w:themeColor="background1" w:themeShade="BF"/>
              <w:bottom w:val="single" w:sz="4" w:space="0" w:color="BFBFBF" w:themeColor="background1" w:themeShade="BF"/>
            </w:tcBorders>
          </w:tcPr>
          <w:p w:rsidR="00491C5C" w:rsidRPr="00F21C7F" w:rsidRDefault="00891481" w:rsidP="00104298">
            <w:pPr>
              <w:jc w:val="both"/>
              <w:rPr>
                <w:color w:val="FF0000"/>
              </w:rPr>
            </w:pPr>
            <w:r>
              <w:t>-</w:t>
            </w:r>
          </w:p>
        </w:tc>
      </w:tr>
      <w:tr w:rsidR="008F1501" w:rsidRPr="00CD4982" w:rsidTr="00773F88">
        <w:trPr>
          <w:trHeight w:val="363"/>
          <w:jc w:val="center"/>
        </w:trPr>
        <w:tc>
          <w:tcPr>
            <w:tcW w:w="2500" w:type="pct"/>
            <w:tcBorders>
              <w:top w:val="single" w:sz="4" w:space="0" w:color="BFBFBF" w:themeColor="background1" w:themeShade="BF"/>
            </w:tcBorders>
          </w:tcPr>
          <w:p w:rsidR="008F1501" w:rsidRPr="00CD4982" w:rsidRDefault="008F1501" w:rsidP="00773F88">
            <w:pPr>
              <w:rPr>
                <w:rFonts w:ascii="Calibri" w:hAnsi="Calibri"/>
                <w:i/>
              </w:rPr>
            </w:pPr>
            <w:r w:rsidRPr="00CD4982">
              <w:rPr>
                <w:i/>
              </w:rPr>
              <w:lastRenderedPageBreak/>
              <w:t>Veľkosť skupiny (počet obyvateľov):</w:t>
            </w:r>
          </w:p>
        </w:tc>
        <w:tc>
          <w:tcPr>
            <w:tcW w:w="2500" w:type="pct"/>
            <w:tcBorders>
              <w:top w:val="single" w:sz="4" w:space="0" w:color="BFBFBF" w:themeColor="background1" w:themeShade="BF"/>
            </w:tcBorders>
          </w:tcPr>
          <w:p w:rsidR="00104298" w:rsidRPr="00C2543F" w:rsidRDefault="00891481" w:rsidP="00104298">
            <w:pPr>
              <w:jc w:val="both"/>
            </w:pPr>
            <w:r>
              <w:t>-</w:t>
            </w:r>
          </w:p>
          <w:p w:rsidR="008F1501" w:rsidRPr="00CA6BAF" w:rsidRDefault="008F1501" w:rsidP="00773F88">
            <w:pPr>
              <w:jc w:val="both"/>
            </w:pPr>
          </w:p>
        </w:tc>
      </w:tr>
      <w:tr w:rsidR="008F1501" w:rsidRPr="00CD4982" w:rsidTr="00773F88">
        <w:trPr>
          <w:trHeight w:val="670"/>
          <w:jc w:val="center"/>
        </w:trPr>
        <w:tc>
          <w:tcPr>
            <w:tcW w:w="2500" w:type="pct"/>
          </w:tcPr>
          <w:p w:rsidR="008F1501" w:rsidRPr="00CD4982" w:rsidRDefault="008F1501" w:rsidP="00773F88">
            <w:pPr>
              <w:rPr>
                <w:rFonts w:ascii="Calibri" w:hAnsi="Calibri"/>
                <w:i/>
              </w:rPr>
            </w:pPr>
            <w:r w:rsidRPr="00CD4982">
              <w:rPr>
                <w:i/>
              </w:rPr>
              <w:t>Dôvod chýbajúcej kvantifikácie:</w:t>
            </w:r>
          </w:p>
        </w:tc>
        <w:tc>
          <w:tcPr>
            <w:tcW w:w="2500" w:type="pct"/>
          </w:tcPr>
          <w:p w:rsidR="00491C5C" w:rsidRPr="00491C5C" w:rsidRDefault="00891481" w:rsidP="00773F88">
            <w:pPr>
              <w:jc w:val="both"/>
            </w:pPr>
            <w:r>
              <w:t>-</w:t>
            </w:r>
            <w:bookmarkStart w:id="0" w:name="_GoBack"/>
            <w:bookmarkEnd w:id="0"/>
          </w:p>
        </w:tc>
      </w:tr>
      <w:tr w:rsidR="008F1501" w:rsidRPr="00CD4982" w:rsidTr="00773F88">
        <w:trPr>
          <w:trHeight w:val="670"/>
          <w:jc w:val="center"/>
        </w:trPr>
        <w:tc>
          <w:tcPr>
            <w:tcW w:w="2500" w:type="pct"/>
          </w:tcPr>
          <w:p w:rsidR="008F1501" w:rsidRPr="00CD4982" w:rsidRDefault="008F1501" w:rsidP="00773F88">
            <w:pPr>
              <w:jc w:val="both"/>
              <w:rPr>
                <w:i/>
              </w:rPr>
            </w:pPr>
            <w:r w:rsidRPr="00CD4982">
              <w:rPr>
                <w:i/>
              </w:rPr>
              <w:t>V prípade významných vplyvov na príjmy alebo výdavky vyššie špecifikovaných domácností v riziku chudoby, identifikujte a kvantifikujte vplyv na chudobu obyvateľstva (napr. mieru rizika chudoby, podiel rastu/poklesu výdavkov na celkových výdavkoch/príjme):</w:t>
            </w:r>
          </w:p>
        </w:tc>
        <w:tc>
          <w:tcPr>
            <w:tcW w:w="2500" w:type="pct"/>
          </w:tcPr>
          <w:p w:rsidR="008F1501" w:rsidRPr="00CA6BAF" w:rsidRDefault="008F1501" w:rsidP="00773F88">
            <w:pPr>
              <w:jc w:val="both"/>
            </w:pPr>
            <w:r>
              <w:t>-</w:t>
            </w:r>
          </w:p>
        </w:tc>
      </w:tr>
      <w:tr w:rsidR="008F1501" w:rsidRPr="00CD4982" w:rsidTr="00773F88">
        <w:trPr>
          <w:trHeight w:val="339"/>
          <w:jc w:val="center"/>
        </w:trPr>
        <w:tc>
          <w:tcPr>
            <w:tcW w:w="5000" w:type="pct"/>
            <w:gridSpan w:val="2"/>
            <w:shd w:val="clear" w:color="auto" w:fill="D9D9D9"/>
          </w:tcPr>
          <w:p w:rsidR="008F1501" w:rsidRPr="00CD4982" w:rsidRDefault="008F1501" w:rsidP="00773F88">
            <w:pPr>
              <w:rPr>
                <w:b/>
                <w:sz w:val="24"/>
                <w:szCs w:val="24"/>
              </w:rPr>
            </w:pPr>
            <w:r w:rsidRPr="00CD4982">
              <w:rPr>
                <w:b/>
                <w:sz w:val="24"/>
                <w:szCs w:val="24"/>
              </w:rPr>
              <w:t>4.2 Identifikujte, popíšte a kvantifikujte vplyvy na prístup k zdrojom, právam, tovarom a službám u jednotlivých ovplyvnených skupín obyvateľstva a vplyv na sociálnu inklúziu.</w:t>
            </w:r>
          </w:p>
        </w:tc>
      </w:tr>
      <w:tr w:rsidR="008F1501" w:rsidRPr="00CD4982" w:rsidTr="00773F88">
        <w:trPr>
          <w:trHeight w:val="290"/>
          <w:jc w:val="center"/>
        </w:trPr>
        <w:tc>
          <w:tcPr>
            <w:tcW w:w="5000" w:type="pct"/>
            <w:gridSpan w:val="2"/>
            <w:shd w:val="clear" w:color="auto" w:fill="F2F2F2"/>
          </w:tcPr>
          <w:p w:rsidR="008F1501" w:rsidRPr="00CD4982" w:rsidRDefault="008F1501" w:rsidP="00773F88">
            <w:pPr>
              <w:jc w:val="both"/>
              <w:rPr>
                <w:i/>
                <w:szCs w:val="24"/>
              </w:rPr>
            </w:pPr>
            <w:r w:rsidRPr="00CD4982">
              <w:rPr>
                <w:i/>
                <w:szCs w:val="24"/>
              </w:rPr>
              <w:t xml:space="preserve">Má návrh vplyv na prístup k zdrojom, právam, tovarom a službám? </w:t>
            </w:r>
          </w:p>
          <w:p w:rsidR="008F1501" w:rsidRPr="00CD4982" w:rsidRDefault="008F1501" w:rsidP="00773F88">
            <w:pPr>
              <w:jc w:val="both"/>
              <w:rPr>
                <w:rFonts w:ascii="Calibri" w:hAnsi="Calibri"/>
                <w:i/>
                <w:sz w:val="24"/>
                <w:szCs w:val="24"/>
              </w:rPr>
            </w:pPr>
            <w:r w:rsidRPr="00CD4982">
              <w:rPr>
                <w:i/>
                <w:szCs w:val="24"/>
              </w:rPr>
              <w:t>Špecifikujete ovplyvnené skupiny obyvateľstva a charakter zmeny v prístupnosti s ohľadom na dostupnosť finančnú, geografickú, kvalitu, organizovanie a pod. Uveďte veľkosť jednotlivých ovplyvnených skupín.</w:t>
            </w:r>
          </w:p>
        </w:tc>
      </w:tr>
    </w:tbl>
    <w:p w:rsidR="008F1501" w:rsidRDefault="008F1501" w:rsidP="008F1501">
      <w:pPr>
        <w:jc w:val="both"/>
        <w:rPr>
          <w:i/>
          <w:sz w:val="18"/>
          <w:szCs w:val="18"/>
        </w:rPr>
        <w:sectPr w:rsidR="008F1501" w:rsidSect="0040544D">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left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829"/>
        <w:gridCol w:w="5776"/>
      </w:tblGrid>
      <w:tr w:rsidR="008F1501" w:rsidRPr="00CD4982" w:rsidTr="00773F88">
        <w:trPr>
          <w:trHeight w:val="557"/>
          <w:jc w:val="center"/>
        </w:trPr>
        <w:tc>
          <w:tcPr>
            <w:tcW w:w="1993" w:type="pct"/>
          </w:tcPr>
          <w:p w:rsidR="008F1501" w:rsidRPr="00CD4982" w:rsidRDefault="008F1501" w:rsidP="00773F88">
            <w:pPr>
              <w:jc w:val="both"/>
              <w:rPr>
                <w:i/>
                <w:sz w:val="18"/>
                <w:szCs w:val="18"/>
              </w:rPr>
            </w:pPr>
            <w:r w:rsidRPr="00CD4982">
              <w:rPr>
                <w:i/>
                <w:sz w:val="18"/>
                <w:szCs w:val="18"/>
              </w:rPr>
              <w:t>Rozumie sa najmä na prístup k:</w:t>
            </w:r>
          </w:p>
          <w:p w:rsidR="008F1501" w:rsidRPr="00CD4982" w:rsidRDefault="008F1501" w:rsidP="008F1501">
            <w:pPr>
              <w:numPr>
                <w:ilvl w:val="0"/>
                <w:numId w:val="2"/>
              </w:numPr>
              <w:jc w:val="both"/>
              <w:rPr>
                <w:i/>
                <w:sz w:val="18"/>
                <w:szCs w:val="18"/>
              </w:rPr>
            </w:pPr>
            <w:r w:rsidRPr="00CD4982">
              <w:rPr>
                <w:i/>
                <w:sz w:val="18"/>
                <w:szCs w:val="18"/>
              </w:rPr>
              <w:t xml:space="preserve">sociálnej ochrane, sociálno-právnej ochrane, sociálnym službám (vrátane služieb starostlivosti o deti, starších ľudí a ľudí so zdravotným postihnutím), </w:t>
            </w:r>
          </w:p>
          <w:p w:rsidR="008F1501" w:rsidRDefault="008F1501" w:rsidP="008F1501">
            <w:pPr>
              <w:numPr>
                <w:ilvl w:val="0"/>
                <w:numId w:val="2"/>
              </w:numPr>
              <w:jc w:val="both"/>
              <w:rPr>
                <w:i/>
                <w:sz w:val="18"/>
                <w:szCs w:val="18"/>
              </w:rPr>
            </w:pPr>
            <w:r w:rsidRPr="00CD4982">
              <w:rPr>
                <w:i/>
                <w:sz w:val="18"/>
                <w:szCs w:val="18"/>
              </w:rPr>
              <w:t>kvalitnej práci, ochrane zdravia, dôstojnosti a bezpečnosti pri práci pre zamestnancov a existujúcim zamestnaneckým právam,</w:t>
            </w:r>
          </w:p>
          <w:p w:rsidR="00C95CDE" w:rsidRDefault="00C95CDE" w:rsidP="00C95CDE">
            <w:pPr>
              <w:jc w:val="both"/>
              <w:rPr>
                <w:i/>
                <w:sz w:val="18"/>
                <w:szCs w:val="18"/>
              </w:rPr>
            </w:pPr>
          </w:p>
          <w:p w:rsidR="00C95CDE" w:rsidRDefault="00C95CDE" w:rsidP="00C95CDE">
            <w:pPr>
              <w:jc w:val="both"/>
              <w:rPr>
                <w:i/>
                <w:sz w:val="18"/>
                <w:szCs w:val="18"/>
              </w:rPr>
            </w:pPr>
          </w:p>
          <w:p w:rsidR="000B1D97" w:rsidRDefault="000B1D97" w:rsidP="00C95CDE">
            <w:pPr>
              <w:jc w:val="both"/>
              <w:rPr>
                <w:i/>
                <w:sz w:val="18"/>
                <w:szCs w:val="18"/>
              </w:rPr>
            </w:pPr>
          </w:p>
          <w:p w:rsidR="000B1D97" w:rsidRDefault="000B1D97" w:rsidP="00C95CDE">
            <w:pPr>
              <w:jc w:val="both"/>
              <w:rPr>
                <w:i/>
                <w:sz w:val="18"/>
                <w:szCs w:val="18"/>
              </w:rPr>
            </w:pPr>
          </w:p>
          <w:p w:rsidR="000B1D97" w:rsidRDefault="000B1D97" w:rsidP="00C95CDE">
            <w:pPr>
              <w:jc w:val="both"/>
              <w:rPr>
                <w:i/>
                <w:sz w:val="18"/>
                <w:szCs w:val="18"/>
              </w:rPr>
            </w:pPr>
          </w:p>
          <w:p w:rsidR="00C95CDE" w:rsidRDefault="00C95CDE" w:rsidP="00C95CDE">
            <w:pPr>
              <w:jc w:val="both"/>
              <w:rPr>
                <w:i/>
                <w:sz w:val="18"/>
                <w:szCs w:val="18"/>
              </w:rPr>
            </w:pPr>
          </w:p>
          <w:p w:rsidR="008F1501" w:rsidRPr="00CD4982" w:rsidRDefault="008F1501" w:rsidP="008F1501">
            <w:pPr>
              <w:numPr>
                <w:ilvl w:val="0"/>
                <w:numId w:val="2"/>
              </w:numPr>
              <w:jc w:val="both"/>
              <w:rPr>
                <w:i/>
                <w:sz w:val="18"/>
                <w:szCs w:val="18"/>
              </w:rPr>
            </w:pPr>
            <w:r w:rsidRPr="00CD4982">
              <w:rPr>
                <w:i/>
                <w:sz w:val="18"/>
                <w:szCs w:val="18"/>
              </w:rPr>
              <w:t xml:space="preserve">pomoci pri úhrade výdavkov súvisiacich so zdravotným postihnutím, </w:t>
            </w:r>
          </w:p>
          <w:p w:rsidR="008F1501" w:rsidRPr="00CD4982" w:rsidRDefault="008F1501" w:rsidP="008F1501">
            <w:pPr>
              <w:numPr>
                <w:ilvl w:val="0"/>
                <w:numId w:val="2"/>
              </w:numPr>
              <w:jc w:val="both"/>
              <w:rPr>
                <w:i/>
                <w:sz w:val="18"/>
                <w:szCs w:val="18"/>
              </w:rPr>
            </w:pPr>
            <w:r w:rsidRPr="00CD4982">
              <w:rPr>
                <w:i/>
                <w:sz w:val="18"/>
                <w:szCs w:val="18"/>
              </w:rPr>
              <w:t>zamestnaniu, na trh práce (napr. uľahčenie zosúladenia rodinných a pracovných povinností, služby zamestnanosti), k školeniam, odbornému vzdelávaniu a príprave na trh práce,</w:t>
            </w:r>
          </w:p>
          <w:p w:rsidR="008F1501" w:rsidRPr="00CD4982" w:rsidRDefault="008F1501" w:rsidP="008F1501">
            <w:pPr>
              <w:numPr>
                <w:ilvl w:val="0"/>
                <w:numId w:val="2"/>
              </w:numPr>
              <w:jc w:val="both"/>
              <w:rPr>
                <w:i/>
                <w:sz w:val="18"/>
                <w:szCs w:val="18"/>
              </w:rPr>
            </w:pPr>
            <w:r w:rsidRPr="00CD4982">
              <w:rPr>
                <w:i/>
                <w:sz w:val="18"/>
                <w:szCs w:val="18"/>
              </w:rPr>
              <w:t xml:space="preserve">zdravotnej starostlivosti vrátane cenovo dostupných pomôcok pre občanov so zdravotným postihnutím, </w:t>
            </w:r>
          </w:p>
          <w:p w:rsidR="008F1501" w:rsidRPr="00CD4982" w:rsidRDefault="008F1501" w:rsidP="008F1501">
            <w:pPr>
              <w:numPr>
                <w:ilvl w:val="0"/>
                <w:numId w:val="2"/>
              </w:numPr>
              <w:jc w:val="both"/>
              <w:rPr>
                <w:i/>
                <w:sz w:val="18"/>
                <w:szCs w:val="18"/>
              </w:rPr>
            </w:pPr>
            <w:r w:rsidRPr="00CD4982">
              <w:rPr>
                <w:i/>
                <w:sz w:val="18"/>
                <w:szCs w:val="18"/>
              </w:rPr>
              <w:t>k formálnemu i neformálnemu vzdelávaniu a celo</w:t>
            </w:r>
            <w:r w:rsidRPr="00CD4982">
              <w:rPr>
                <w:i/>
                <w:sz w:val="18"/>
                <w:szCs w:val="18"/>
              </w:rPr>
              <w:softHyphen/>
              <w:t xml:space="preserve">životnému vzdelávaniu, </w:t>
            </w:r>
          </w:p>
          <w:p w:rsidR="008F1501" w:rsidRPr="00CD4982" w:rsidRDefault="008F1501" w:rsidP="008F1501">
            <w:pPr>
              <w:numPr>
                <w:ilvl w:val="0"/>
                <w:numId w:val="2"/>
              </w:numPr>
              <w:jc w:val="both"/>
              <w:rPr>
                <w:i/>
                <w:sz w:val="18"/>
                <w:szCs w:val="18"/>
              </w:rPr>
            </w:pPr>
            <w:r w:rsidRPr="00CD4982">
              <w:rPr>
                <w:i/>
                <w:sz w:val="18"/>
                <w:szCs w:val="18"/>
              </w:rPr>
              <w:t>bývaniu a súvisiacim základným komunálnym službám,</w:t>
            </w:r>
          </w:p>
          <w:p w:rsidR="008F1501" w:rsidRPr="00CD4982" w:rsidRDefault="008F1501" w:rsidP="008F1501">
            <w:pPr>
              <w:numPr>
                <w:ilvl w:val="0"/>
                <w:numId w:val="2"/>
              </w:numPr>
              <w:jc w:val="both"/>
              <w:rPr>
                <w:i/>
                <w:sz w:val="18"/>
                <w:szCs w:val="18"/>
              </w:rPr>
            </w:pPr>
            <w:r w:rsidRPr="00CD4982">
              <w:rPr>
                <w:i/>
                <w:sz w:val="18"/>
                <w:szCs w:val="18"/>
              </w:rPr>
              <w:t>doprave,</w:t>
            </w:r>
          </w:p>
          <w:p w:rsidR="008F1501" w:rsidRPr="00CD4982" w:rsidRDefault="008F1501" w:rsidP="008F1501">
            <w:pPr>
              <w:numPr>
                <w:ilvl w:val="0"/>
                <w:numId w:val="2"/>
              </w:numPr>
              <w:jc w:val="both"/>
              <w:rPr>
                <w:i/>
                <w:sz w:val="18"/>
                <w:szCs w:val="18"/>
              </w:rPr>
            </w:pPr>
            <w:r w:rsidRPr="00CD4982">
              <w:rPr>
                <w:i/>
                <w:sz w:val="18"/>
                <w:szCs w:val="18"/>
              </w:rPr>
              <w:t>ďalším službám najmä službám všeobecného záujmu a tovarom,</w:t>
            </w:r>
          </w:p>
          <w:p w:rsidR="008F1501" w:rsidRPr="00CD4982" w:rsidRDefault="008F1501" w:rsidP="008F1501">
            <w:pPr>
              <w:numPr>
                <w:ilvl w:val="0"/>
                <w:numId w:val="2"/>
              </w:numPr>
              <w:jc w:val="both"/>
              <w:rPr>
                <w:i/>
                <w:sz w:val="18"/>
                <w:szCs w:val="18"/>
              </w:rPr>
            </w:pPr>
            <w:r w:rsidRPr="00CD4982">
              <w:rPr>
                <w:i/>
                <w:sz w:val="18"/>
                <w:szCs w:val="18"/>
              </w:rPr>
              <w:t>spravodlivosti, právnej ochrane, právnym službám,</w:t>
            </w:r>
          </w:p>
          <w:p w:rsidR="008F1501" w:rsidRPr="00CD4982" w:rsidRDefault="008F1501" w:rsidP="008F1501">
            <w:pPr>
              <w:numPr>
                <w:ilvl w:val="0"/>
                <w:numId w:val="2"/>
              </w:numPr>
              <w:jc w:val="both"/>
              <w:rPr>
                <w:i/>
                <w:sz w:val="18"/>
                <w:szCs w:val="18"/>
              </w:rPr>
            </w:pPr>
            <w:r w:rsidRPr="00CD4982">
              <w:rPr>
                <w:i/>
                <w:sz w:val="18"/>
                <w:szCs w:val="18"/>
              </w:rPr>
              <w:t>informáciám</w:t>
            </w:r>
          </w:p>
          <w:p w:rsidR="008F1501" w:rsidRPr="00CD4982" w:rsidRDefault="008F1501" w:rsidP="008F1501">
            <w:pPr>
              <w:numPr>
                <w:ilvl w:val="0"/>
                <w:numId w:val="2"/>
              </w:numPr>
              <w:jc w:val="both"/>
              <w:rPr>
                <w:rFonts w:ascii="Calibri" w:hAnsi="Calibri"/>
                <w:i/>
              </w:rPr>
            </w:pPr>
            <w:r w:rsidRPr="00CD4982">
              <w:rPr>
                <w:i/>
                <w:sz w:val="18"/>
                <w:szCs w:val="18"/>
              </w:rPr>
              <w:t>k iným právam (napr. politickým).</w:t>
            </w:r>
          </w:p>
        </w:tc>
        <w:tc>
          <w:tcPr>
            <w:tcW w:w="3007" w:type="pct"/>
          </w:tcPr>
          <w:p w:rsidR="008F1501" w:rsidRDefault="008F1501" w:rsidP="00773F88"/>
          <w:p w:rsidR="008F1501" w:rsidRDefault="008F1501" w:rsidP="00773F88">
            <w:r>
              <w:t>nie</w:t>
            </w:r>
          </w:p>
          <w:p w:rsidR="008F1501" w:rsidRDefault="008F1501" w:rsidP="00773F88"/>
          <w:p w:rsidR="008F1501" w:rsidRDefault="008F1501" w:rsidP="00773F88"/>
          <w:p w:rsidR="008F1501" w:rsidRDefault="00DC4A67" w:rsidP="00C95CDE">
            <w:pPr>
              <w:jc w:val="both"/>
            </w:pPr>
            <w:r>
              <w:t>Predkladaný materiál bude mať pozitívny vplyv na ochranu zdravia a bezpečnosť pri práci zamestnancov dotknutých zamestnávateľov</w:t>
            </w:r>
            <w:r w:rsidR="00491C5C">
              <w:t>, spočívajúci v technologických úpravách</w:t>
            </w:r>
            <w:r w:rsidR="00C95CDE">
              <w:t xml:space="preserve"> na pracovisku</w:t>
            </w:r>
            <w:r w:rsidR="00491C5C">
              <w:t xml:space="preserve">, </w:t>
            </w:r>
            <w:r w:rsidR="00C95CDE">
              <w:t>alebo</w:t>
            </w:r>
            <w:r w:rsidR="00491C5C">
              <w:t xml:space="preserve"> vo zvýšenom zdravotnom dohľade. </w:t>
            </w:r>
            <w:r w:rsidR="00D45ADE" w:rsidRPr="008A5F2C">
              <w:t xml:space="preserve">Vplyv na základné práva je </w:t>
            </w:r>
            <w:r w:rsidR="00D45ADE" w:rsidRPr="008A5F2C">
              <w:lastRenderedPageBreak/>
              <w:t>pozitívny, najmä pokiaľ ide o právo na život</w:t>
            </w:r>
            <w:r w:rsidR="00D45ADE">
              <w:t xml:space="preserve"> </w:t>
            </w:r>
            <w:r w:rsidR="00D45ADE" w:rsidRPr="008A5F2C">
              <w:t>a právo na spravodlivé a primerané pracovné podmienky, ktoré zohľadňujú zdravie, bezpečnosť a dôstojnosť pracovníkov.</w:t>
            </w:r>
          </w:p>
          <w:p w:rsidR="00D45ADE" w:rsidRDefault="00D45ADE" w:rsidP="00C95CDE">
            <w:pPr>
              <w:jc w:val="both"/>
            </w:pPr>
          </w:p>
          <w:p w:rsidR="008F1501" w:rsidRDefault="008F1501" w:rsidP="00773F88">
            <w:r>
              <w:t>nie</w:t>
            </w:r>
          </w:p>
          <w:p w:rsidR="008F1501" w:rsidRDefault="008F1501" w:rsidP="00773F88"/>
          <w:p w:rsidR="008F1501" w:rsidRDefault="008F1501" w:rsidP="00773F88">
            <w:r>
              <w:t>nie</w:t>
            </w:r>
          </w:p>
          <w:p w:rsidR="008F1501" w:rsidRDefault="008F1501" w:rsidP="00773F88"/>
          <w:p w:rsidR="008F1501" w:rsidRDefault="008F1501" w:rsidP="00773F88"/>
          <w:p w:rsidR="008F1501" w:rsidRDefault="008F1501" w:rsidP="00773F88"/>
          <w:p w:rsidR="008F1501" w:rsidRDefault="008F1501" w:rsidP="00773F88"/>
          <w:p w:rsidR="008F1501" w:rsidRDefault="008F1501" w:rsidP="00773F88">
            <w:r>
              <w:t>nie</w:t>
            </w:r>
          </w:p>
          <w:p w:rsidR="008F1501" w:rsidRDefault="008F1501" w:rsidP="00773F88"/>
          <w:p w:rsidR="008F1501" w:rsidRDefault="008F1501" w:rsidP="00773F88">
            <w:r>
              <w:t>nie</w:t>
            </w:r>
          </w:p>
          <w:p w:rsidR="008F1501" w:rsidRDefault="008F1501" w:rsidP="00773F88"/>
          <w:p w:rsidR="008F1501" w:rsidRDefault="008F1501" w:rsidP="00773F88">
            <w:r>
              <w:t>nie</w:t>
            </w:r>
          </w:p>
          <w:p w:rsidR="008F1501" w:rsidRDefault="008F1501" w:rsidP="00773F88"/>
          <w:p w:rsidR="008F1501" w:rsidRDefault="008F1501" w:rsidP="00773F88">
            <w:r>
              <w:t>nie</w:t>
            </w:r>
          </w:p>
          <w:p w:rsidR="008F1501" w:rsidRDefault="008F1501" w:rsidP="00773F88">
            <w:r>
              <w:t>nie</w:t>
            </w:r>
          </w:p>
          <w:p w:rsidR="008F1501" w:rsidRDefault="008F1501" w:rsidP="00773F88"/>
          <w:p w:rsidR="008F1501" w:rsidRDefault="008F1501" w:rsidP="00773F88">
            <w:r>
              <w:t>nie</w:t>
            </w:r>
          </w:p>
          <w:p w:rsidR="008F1501" w:rsidRDefault="008F1501" w:rsidP="00773F88">
            <w:r>
              <w:t>nie</w:t>
            </w:r>
          </w:p>
          <w:p w:rsidR="008F1501" w:rsidRDefault="008F1501" w:rsidP="00773F88">
            <w:r>
              <w:t>nie</w:t>
            </w:r>
          </w:p>
          <w:p w:rsidR="008F1501" w:rsidRPr="0040544D" w:rsidRDefault="008F1501" w:rsidP="00773F88"/>
        </w:tc>
      </w:tr>
    </w:tbl>
    <w:p w:rsidR="008F1501" w:rsidRDefault="008F1501" w:rsidP="008F1501">
      <w:pPr>
        <w:jc w:val="both"/>
        <w:rPr>
          <w:i/>
        </w:rPr>
        <w:sectPr w:rsidR="008F1501" w:rsidSect="0040544D">
          <w:footnotePr>
            <w:numFmt w:val="chicago"/>
          </w:footnotePr>
          <w:type w:val="continuous"/>
          <w:pgSz w:w="11906" w:h="16838"/>
          <w:pgMar w:top="1134" w:right="1418" w:bottom="1134" w:left="1418" w:header="510" w:footer="567" w:gutter="0"/>
          <w:cols w:space="708"/>
          <w:formProt w:val="0"/>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605"/>
      </w:tblGrid>
      <w:tr w:rsidR="008F1501" w:rsidRPr="00CD4982" w:rsidTr="00773F88">
        <w:trPr>
          <w:jc w:val="center"/>
        </w:trPr>
        <w:tc>
          <w:tcPr>
            <w:tcW w:w="5000" w:type="pct"/>
            <w:shd w:val="clear" w:color="auto" w:fill="F2F2F2"/>
          </w:tcPr>
          <w:p w:rsidR="008F1501" w:rsidRPr="00CD4982" w:rsidRDefault="008F1501" w:rsidP="00773F88">
            <w:pPr>
              <w:jc w:val="both"/>
              <w:rPr>
                <w:i/>
              </w:rPr>
            </w:pPr>
            <w:r w:rsidRPr="00CD4982">
              <w:rPr>
                <w:i/>
              </w:rPr>
              <w:t xml:space="preserve">Má návrh významný vplyv na niektorú zo zraniteľných skupín obyvateľstva alebo skupín v riziku chudoby alebo sociálneho vylúčenia? </w:t>
            </w:r>
          </w:p>
          <w:p w:rsidR="008F1501" w:rsidRPr="00CD4982" w:rsidRDefault="008F1501" w:rsidP="00773F88">
            <w:pPr>
              <w:jc w:val="both"/>
              <w:rPr>
                <w:rFonts w:ascii="Calibri" w:hAnsi="Calibri"/>
                <w:i/>
              </w:rPr>
            </w:pPr>
            <w:r w:rsidRPr="00CD4982">
              <w:rPr>
                <w:i/>
              </w:rPr>
              <w:t>Špecifikujte ovplyvnené skupiny v riziku chudoby a sociálneho vylúčenia a popíšte vplyv na ne. Je tento vplyv väčší ako vplyv na iné skupiny či subjekty? Uveďte veľkosť jednotlivých ovplyvnených skupín.</w:t>
            </w:r>
          </w:p>
        </w:tc>
      </w:tr>
    </w:tbl>
    <w:p w:rsidR="008F1501" w:rsidRDefault="008F1501" w:rsidP="008F1501">
      <w:pPr>
        <w:jc w:val="both"/>
        <w:rPr>
          <w:i/>
          <w:sz w:val="18"/>
          <w:szCs w:val="18"/>
        </w:rPr>
        <w:sectPr w:rsidR="008F1501" w:rsidSect="0040544D">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829"/>
        <w:gridCol w:w="5776"/>
      </w:tblGrid>
      <w:tr w:rsidR="008F1501" w:rsidRPr="00CD4982" w:rsidTr="00773F88">
        <w:trPr>
          <w:trHeight w:val="677"/>
          <w:jc w:val="center"/>
        </w:trPr>
        <w:tc>
          <w:tcPr>
            <w:tcW w:w="1993" w:type="pct"/>
          </w:tcPr>
          <w:p w:rsidR="008F1501" w:rsidRPr="00CD4982" w:rsidRDefault="008F1501" w:rsidP="00773F88">
            <w:pPr>
              <w:jc w:val="both"/>
              <w:rPr>
                <w:i/>
                <w:sz w:val="18"/>
                <w:szCs w:val="18"/>
              </w:rPr>
            </w:pPr>
            <w:r>
              <w:rPr>
                <w:i/>
                <w:sz w:val="18"/>
                <w:szCs w:val="18"/>
              </w:rPr>
              <w:t>Zraniteľné skupiny alebo s</w:t>
            </w:r>
            <w:r w:rsidRPr="00CD4982">
              <w:rPr>
                <w:i/>
                <w:sz w:val="18"/>
                <w:szCs w:val="18"/>
              </w:rPr>
              <w:t>kupiny v riziku chudoby alebo sociálneho vylúčenia</w:t>
            </w:r>
            <w:r>
              <w:rPr>
                <w:i/>
                <w:sz w:val="18"/>
                <w:szCs w:val="18"/>
              </w:rPr>
              <w:t xml:space="preserve"> sú napr.</w:t>
            </w:r>
            <w:r w:rsidRPr="00CD4982">
              <w:rPr>
                <w:i/>
                <w:sz w:val="18"/>
                <w:szCs w:val="18"/>
              </w:rPr>
              <w:t>:</w:t>
            </w:r>
          </w:p>
          <w:p w:rsidR="008F1501" w:rsidRPr="00CD4982" w:rsidRDefault="008F1501" w:rsidP="008F1501">
            <w:pPr>
              <w:numPr>
                <w:ilvl w:val="0"/>
                <w:numId w:val="3"/>
              </w:numPr>
              <w:jc w:val="both"/>
              <w:rPr>
                <w:i/>
                <w:sz w:val="18"/>
                <w:szCs w:val="18"/>
              </w:rPr>
            </w:pPr>
            <w:r w:rsidRPr="00CD4982">
              <w:rPr>
                <w:i/>
                <w:sz w:val="18"/>
                <w:szCs w:val="18"/>
              </w:rPr>
              <w:t>domácnosti s nízkym príjmom (napr. žijúce iba zo sociálnych príjmov, alebo z príjmov pod hranicou rizika chudoby, alebo s príjmom pod životným minimom, alebo patriace medzi 25% domácností s najnižším príjmom),</w:t>
            </w:r>
          </w:p>
          <w:p w:rsidR="008F1501" w:rsidRPr="00CD4982" w:rsidRDefault="008F1501" w:rsidP="008F1501">
            <w:pPr>
              <w:numPr>
                <w:ilvl w:val="0"/>
                <w:numId w:val="3"/>
              </w:numPr>
              <w:jc w:val="both"/>
              <w:rPr>
                <w:i/>
                <w:sz w:val="18"/>
                <w:szCs w:val="18"/>
              </w:rPr>
            </w:pPr>
            <w:r w:rsidRPr="00CD4982">
              <w:rPr>
                <w:i/>
                <w:sz w:val="18"/>
                <w:szCs w:val="18"/>
              </w:rPr>
              <w:t>nezamestnaní, najmä dlhodobo nezamestnaní, mladí nezamestnaní a nezamestnaní nad 50 rokov,</w:t>
            </w:r>
          </w:p>
          <w:p w:rsidR="008F1501" w:rsidRPr="00CD4982" w:rsidRDefault="008F1501" w:rsidP="008F1501">
            <w:pPr>
              <w:numPr>
                <w:ilvl w:val="0"/>
                <w:numId w:val="3"/>
              </w:numPr>
              <w:jc w:val="both"/>
              <w:rPr>
                <w:i/>
                <w:sz w:val="18"/>
                <w:szCs w:val="18"/>
              </w:rPr>
            </w:pPr>
            <w:r w:rsidRPr="00CD4982">
              <w:rPr>
                <w:i/>
                <w:sz w:val="18"/>
                <w:szCs w:val="18"/>
              </w:rPr>
              <w:t>deti (0 – 17),</w:t>
            </w:r>
          </w:p>
          <w:p w:rsidR="008F1501" w:rsidRPr="00CD4982" w:rsidRDefault="008F1501" w:rsidP="008F1501">
            <w:pPr>
              <w:numPr>
                <w:ilvl w:val="0"/>
                <w:numId w:val="3"/>
              </w:numPr>
              <w:jc w:val="both"/>
              <w:rPr>
                <w:i/>
                <w:sz w:val="18"/>
                <w:szCs w:val="18"/>
              </w:rPr>
            </w:pPr>
            <w:r w:rsidRPr="00CD4982">
              <w:rPr>
                <w:i/>
                <w:sz w:val="18"/>
                <w:szCs w:val="18"/>
              </w:rPr>
              <w:t>mladí ľudia (18 – 25 rokov),</w:t>
            </w:r>
          </w:p>
          <w:p w:rsidR="008F1501" w:rsidRPr="00CD4982" w:rsidRDefault="008F1501" w:rsidP="008F1501">
            <w:pPr>
              <w:numPr>
                <w:ilvl w:val="0"/>
                <w:numId w:val="3"/>
              </w:numPr>
              <w:jc w:val="both"/>
              <w:rPr>
                <w:i/>
                <w:sz w:val="18"/>
                <w:szCs w:val="18"/>
              </w:rPr>
            </w:pPr>
            <w:r w:rsidRPr="00CD4982">
              <w:rPr>
                <w:i/>
                <w:sz w:val="18"/>
                <w:szCs w:val="18"/>
              </w:rPr>
              <w:t>starší ľudia, napr. ľudia vo veku nad 65 rokov alebo dôchodcovia,</w:t>
            </w:r>
          </w:p>
          <w:p w:rsidR="008F1501" w:rsidRPr="00CD4982" w:rsidRDefault="008F1501" w:rsidP="008F1501">
            <w:pPr>
              <w:numPr>
                <w:ilvl w:val="0"/>
                <w:numId w:val="3"/>
              </w:numPr>
              <w:jc w:val="both"/>
              <w:rPr>
                <w:i/>
                <w:sz w:val="18"/>
                <w:szCs w:val="18"/>
              </w:rPr>
            </w:pPr>
            <w:r w:rsidRPr="00CD4982">
              <w:rPr>
                <w:i/>
                <w:sz w:val="18"/>
                <w:szCs w:val="18"/>
              </w:rPr>
              <w:t>ľudia so zdravotným postihnutím,</w:t>
            </w:r>
          </w:p>
          <w:p w:rsidR="008F1501" w:rsidRPr="00CD4982" w:rsidRDefault="008F1501" w:rsidP="008F1501">
            <w:pPr>
              <w:numPr>
                <w:ilvl w:val="0"/>
                <w:numId w:val="3"/>
              </w:numPr>
              <w:jc w:val="both"/>
              <w:rPr>
                <w:i/>
                <w:sz w:val="18"/>
                <w:szCs w:val="18"/>
              </w:rPr>
            </w:pPr>
            <w:r w:rsidRPr="00CD4982">
              <w:rPr>
                <w:i/>
                <w:sz w:val="18"/>
                <w:szCs w:val="18"/>
              </w:rPr>
              <w:t xml:space="preserve">marginalizované rómske komunity </w:t>
            </w:r>
          </w:p>
          <w:p w:rsidR="008F1501" w:rsidRPr="00CD4982" w:rsidRDefault="008F1501" w:rsidP="008F1501">
            <w:pPr>
              <w:numPr>
                <w:ilvl w:val="0"/>
                <w:numId w:val="3"/>
              </w:numPr>
              <w:jc w:val="both"/>
              <w:rPr>
                <w:i/>
                <w:sz w:val="18"/>
                <w:szCs w:val="18"/>
              </w:rPr>
            </w:pPr>
            <w:r w:rsidRPr="00CD4982">
              <w:rPr>
                <w:i/>
                <w:sz w:val="18"/>
                <w:szCs w:val="18"/>
              </w:rPr>
              <w:t>domácnosti s 3 a viac deťmi,</w:t>
            </w:r>
          </w:p>
          <w:p w:rsidR="008F1501" w:rsidRPr="00CD4982" w:rsidRDefault="008F1501" w:rsidP="008F1501">
            <w:pPr>
              <w:numPr>
                <w:ilvl w:val="0"/>
                <w:numId w:val="3"/>
              </w:numPr>
              <w:jc w:val="both"/>
              <w:rPr>
                <w:i/>
                <w:sz w:val="18"/>
                <w:szCs w:val="18"/>
              </w:rPr>
            </w:pPr>
            <w:r w:rsidRPr="00CD4982">
              <w:rPr>
                <w:i/>
                <w:sz w:val="18"/>
                <w:szCs w:val="18"/>
              </w:rPr>
              <w:t>jednorodičovské domácnosti s deťmi (neúplné rodiny, ktoré tvoria najmä osamelé matky s deťmi),</w:t>
            </w:r>
          </w:p>
          <w:p w:rsidR="008F1501" w:rsidRPr="00CD4982" w:rsidRDefault="008F1501" w:rsidP="008F1501">
            <w:pPr>
              <w:numPr>
                <w:ilvl w:val="0"/>
                <w:numId w:val="3"/>
              </w:numPr>
              <w:jc w:val="both"/>
              <w:rPr>
                <w:i/>
                <w:sz w:val="18"/>
                <w:szCs w:val="18"/>
              </w:rPr>
            </w:pPr>
            <w:r w:rsidRPr="00CD4982">
              <w:rPr>
                <w:i/>
                <w:sz w:val="18"/>
                <w:szCs w:val="18"/>
              </w:rPr>
              <w:t>príslušníci tretích krajín, azylanti, žiadatelia o azyl,</w:t>
            </w:r>
          </w:p>
          <w:p w:rsidR="008F1501" w:rsidRPr="00CD4982" w:rsidRDefault="008F1501" w:rsidP="008F1501">
            <w:pPr>
              <w:numPr>
                <w:ilvl w:val="0"/>
                <w:numId w:val="3"/>
              </w:numPr>
              <w:jc w:val="both"/>
              <w:rPr>
                <w:rFonts w:ascii="Calibri" w:hAnsi="Calibri"/>
                <w:i/>
                <w:sz w:val="18"/>
                <w:szCs w:val="18"/>
              </w:rPr>
            </w:pPr>
            <w:r w:rsidRPr="00CD4982">
              <w:rPr>
                <w:i/>
                <w:sz w:val="18"/>
                <w:szCs w:val="18"/>
              </w:rPr>
              <w:t>iné zraniteľné skupiny, ako sú napr. bezdomovci, ľudia opúšťajúci detské domovy alebo iné inštitucionálne zariadenia</w:t>
            </w:r>
          </w:p>
        </w:tc>
        <w:tc>
          <w:tcPr>
            <w:tcW w:w="3007" w:type="pct"/>
          </w:tcPr>
          <w:p w:rsidR="008F1501" w:rsidRPr="0040544D" w:rsidRDefault="008F1501" w:rsidP="00773F88"/>
          <w:p w:rsidR="008F1501" w:rsidRDefault="008F1501" w:rsidP="00773F88"/>
          <w:p w:rsidR="008F1501" w:rsidRDefault="008F1501" w:rsidP="00773F88">
            <w:r>
              <w:t>nie</w:t>
            </w:r>
          </w:p>
          <w:p w:rsidR="008F1501" w:rsidRDefault="008F1501" w:rsidP="00773F88"/>
          <w:p w:rsidR="008F1501" w:rsidRDefault="008F1501" w:rsidP="00773F88"/>
          <w:p w:rsidR="008F1501" w:rsidRDefault="008F1501" w:rsidP="00773F88"/>
          <w:p w:rsidR="008F1501" w:rsidRDefault="008F1501" w:rsidP="00773F88"/>
          <w:p w:rsidR="008F1501" w:rsidRDefault="008F1501" w:rsidP="00773F88">
            <w:r>
              <w:t>nie</w:t>
            </w:r>
          </w:p>
          <w:p w:rsidR="008F1501" w:rsidRDefault="008F1501" w:rsidP="00773F88"/>
          <w:p w:rsidR="008F1501" w:rsidRDefault="008F1501" w:rsidP="00773F88">
            <w:r>
              <w:t>nie</w:t>
            </w:r>
          </w:p>
          <w:p w:rsidR="008F1501" w:rsidRDefault="008F1501" w:rsidP="00773F88">
            <w:r>
              <w:t>nie</w:t>
            </w:r>
          </w:p>
          <w:p w:rsidR="008F1501" w:rsidRDefault="008F1501" w:rsidP="00773F88"/>
          <w:p w:rsidR="008F1501" w:rsidRDefault="008F1501" w:rsidP="00773F88">
            <w:r>
              <w:t>nie</w:t>
            </w:r>
          </w:p>
          <w:p w:rsidR="008F1501" w:rsidRDefault="008F1501" w:rsidP="00773F88">
            <w:r>
              <w:t>nie</w:t>
            </w:r>
          </w:p>
          <w:p w:rsidR="008F1501" w:rsidRDefault="008F1501" w:rsidP="00773F88">
            <w:r>
              <w:t>nie</w:t>
            </w:r>
          </w:p>
          <w:p w:rsidR="008F1501" w:rsidRDefault="008F1501" w:rsidP="00773F88">
            <w:r>
              <w:t>nie</w:t>
            </w:r>
          </w:p>
          <w:p w:rsidR="008F1501" w:rsidRDefault="008F1501" w:rsidP="00773F88">
            <w:r>
              <w:t>nie</w:t>
            </w:r>
          </w:p>
          <w:p w:rsidR="008F1501" w:rsidRDefault="008F1501" w:rsidP="00773F88"/>
          <w:p w:rsidR="008F1501" w:rsidRDefault="008F1501" w:rsidP="00773F88"/>
          <w:p w:rsidR="008F1501" w:rsidRDefault="008F1501" w:rsidP="00773F88">
            <w:r>
              <w:t>nie</w:t>
            </w:r>
          </w:p>
          <w:p w:rsidR="008F1501" w:rsidRDefault="008F1501" w:rsidP="00773F88"/>
          <w:p w:rsidR="008F1501" w:rsidRPr="0040544D" w:rsidRDefault="008F1501" w:rsidP="00773F88">
            <w:r>
              <w:t>nie</w:t>
            </w:r>
          </w:p>
        </w:tc>
      </w:tr>
    </w:tbl>
    <w:p w:rsidR="008F1501" w:rsidRDefault="008F1501" w:rsidP="008F1501"/>
    <w:p w:rsidR="008F1501" w:rsidRDefault="008F1501" w:rsidP="008F1501">
      <w:pPr>
        <w:rPr>
          <w:b/>
          <w:sz w:val="24"/>
          <w:szCs w:val="24"/>
        </w:rPr>
        <w:sectPr w:rsidR="008F1501" w:rsidSect="0040544D">
          <w:headerReference w:type="default" r:id="rId14"/>
          <w:footerReference w:type="default" r:id="rId15"/>
          <w:footnotePr>
            <w:numFmt w:val="chicago"/>
          </w:footnotePr>
          <w:type w:val="continuous"/>
          <w:pgSz w:w="11906" w:h="16838"/>
          <w:pgMar w:top="1134" w:right="1418" w:bottom="1134" w:left="1418" w:header="510" w:footer="567" w:gutter="0"/>
          <w:cols w:space="708"/>
          <w:formProt w:val="0"/>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605"/>
      </w:tblGrid>
      <w:tr w:rsidR="008F1501" w:rsidRPr="00CD4982" w:rsidTr="00773F88">
        <w:trPr>
          <w:jc w:val="center"/>
        </w:trPr>
        <w:tc>
          <w:tcPr>
            <w:tcW w:w="5000" w:type="pct"/>
            <w:shd w:val="clear" w:color="auto" w:fill="D9D9D9"/>
          </w:tcPr>
          <w:p w:rsidR="008F1501" w:rsidRPr="00CD4982" w:rsidRDefault="008F1501" w:rsidP="00773F88">
            <w:pPr>
              <w:rPr>
                <w:b/>
                <w:sz w:val="24"/>
                <w:szCs w:val="24"/>
              </w:rPr>
            </w:pPr>
            <w:r w:rsidRPr="00CD4982">
              <w:rPr>
                <w:b/>
                <w:sz w:val="24"/>
                <w:szCs w:val="24"/>
              </w:rPr>
              <w:t>4.3 Identifikujte a popíšte vplyv na rovnosť príležitostí.</w:t>
            </w:r>
          </w:p>
          <w:p w:rsidR="008F1501" w:rsidRPr="00CD4982" w:rsidRDefault="008F1501" w:rsidP="00773F88">
            <w:pPr>
              <w:ind w:left="340"/>
              <w:jc w:val="both"/>
              <w:rPr>
                <w:rFonts w:ascii="Calibri" w:hAnsi="Calibri"/>
                <w:sz w:val="24"/>
                <w:szCs w:val="24"/>
              </w:rPr>
            </w:pPr>
            <w:r w:rsidRPr="00CD4982">
              <w:rPr>
                <w:b/>
                <w:sz w:val="24"/>
                <w:szCs w:val="24"/>
              </w:rPr>
              <w:t>Identifikujte, popíšte a kvantifikujte vplyv na rodovú rovnosť.</w:t>
            </w:r>
          </w:p>
        </w:tc>
      </w:tr>
      <w:tr w:rsidR="008F1501" w:rsidRPr="00CD4982" w:rsidTr="00773F88">
        <w:trPr>
          <w:jc w:val="center"/>
        </w:trPr>
        <w:tc>
          <w:tcPr>
            <w:tcW w:w="5000" w:type="pct"/>
            <w:shd w:val="clear" w:color="auto" w:fill="F2F2F2"/>
          </w:tcPr>
          <w:p w:rsidR="008F1501" w:rsidRPr="00CD4982" w:rsidRDefault="008F1501" w:rsidP="00773F88">
            <w:pPr>
              <w:jc w:val="both"/>
              <w:rPr>
                <w:i/>
                <w:sz w:val="24"/>
                <w:szCs w:val="24"/>
              </w:rPr>
            </w:pPr>
            <w:r w:rsidRPr="00CD4982">
              <w:rPr>
                <w:i/>
                <w:szCs w:val="24"/>
              </w:rPr>
              <w:t>Dodržuje návrh povinnosť rovnakého zaobchádzania so skupinami alebo jednotlivcami na základe pohlavia, rasy, etnicity, náboženstva alebo viery, zdravotného postihnutia veku a sexuálnej orientácie? Mohol by viesť k nepriamej diskriminácii niektorých skupín obyvateľstva? Podporuje návrh rovnosť príležitostí?</w:t>
            </w:r>
          </w:p>
        </w:tc>
      </w:tr>
    </w:tbl>
    <w:p w:rsidR="008F1501" w:rsidRDefault="008F1501" w:rsidP="008F1501">
      <w:pPr>
        <w:sectPr w:rsidR="008F1501" w:rsidSect="0040544D">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605"/>
      </w:tblGrid>
      <w:tr w:rsidR="008F1501" w:rsidRPr="0040544D" w:rsidTr="00773F88">
        <w:trPr>
          <w:trHeight w:val="928"/>
          <w:jc w:val="center"/>
        </w:trPr>
        <w:tc>
          <w:tcPr>
            <w:tcW w:w="5000" w:type="pct"/>
            <w:tcBorders>
              <w:top w:val="nil"/>
              <w:bottom w:val="nil"/>
            </w:tcBorders>
          </w:tcPr>
          <w:p w:rsidR="008F1501" w:rsidRPr="0040544D" w:rsidRDefault="008F1501" w:rsidP="00773F88">
            <w:r w:rsidRPr="0055631C">
              <w:lastRenderedPageBreak/>
              <w:t xml:space="preserve">Predkladaný návrh </w:t>
            </w:r>
            <w:r w:rsidR="00AF115F">
              <w:t>nariadenia vlády</w:t>
            </w:r>
            <w:r w:rsidRPr="0055631C">
              <w:t xml:space="preserve"> nemá vplyv na rovnosť príležitostí a rodovú rovnosť.</w:t>
            </w:r>
          </w:p>
          <w:p w:rsidR="008F1501" w:rsidRPr="0040544D" w:rsidRDefault="008F1501" w:rsidP="00773F88">
            <w:pPr>
              <w:rPr>
                <w:i/>
              </w:rPr>
            </w:pPr>
          </w:p>
        </w:tc>
      </w:tr>
    </w:tbl>
    <w:p w:rsidR="008F1501" w:rsidRDefault="008F1501" w:rsidP="008F1501">
      <w:pPr>
        <w:rPr>
          <w:i/>
        </w:rPr>
        <w:sectPr w:rsidR="008F1501" w:rsidSect="0040544D">
          <w:footnotePr>
            <w:numFmt w:val="chicago"/>
          </w:footnotePr>
          <w:type w:val="continuous"/>
          <w:pgSz w:w="11906" w:h="16838"/>
          <w:pgMar w:top="1134" w:right="1418" w:bottom="1134" w:left="1418" w:header="510" w:footer="567" w:gutter="0"/>
          <w:cols w:space="708"/>
          <w:formProt w:val="0"/>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605"/>
      </w:tblGrid>
      <w:tr w:rsidR="008F1501" w:rsidRPr="00CD4982" w:rsidTr="00773F88">
        <w:trPr>
          <w:trHeight w:val="345"/>
          <w:jc w:val="center"/>
        </w:trPr>
        <w:tc>
          <w:tcPr>
            <w:tcW w:w="5000" w:type="pct"/>
            <w:shd w:val="clear" w:color="auto" w:fill="F2F2F2"/>
            <w:vAlign w:val="center"/>
          </w:tcPr>
          <w:p w:rsidR="008F1501" w:rsidRPr="00CD4982" w:rsidRDefault="008F1501" w:rsidP="00773F88">
            <w:pPr>
              <w:rPr>
                <w:i/>
              </w:rPr>
            </w:pPr>
            <w:r w:rsidRPr="00CD4982">
              <w:rPr>
                <w:i/>
              </w:rPr>
              <w:t>Môže mať návrh odlišný vplyv na ženy a mužov? Podporuje návrh rovnosť medzi ženami a mužmi alebo naopak bude viesť k zväčšovaniu rodových nerovností? Popíšte vplyvy.</w:t>
            </w:r>
          </w:p>
        </w:tc>
      </w:tr>
    </w:tbl>
    <w:p w:rsidR="008F1501" w:rsidRDefault="008F1501" w:rsidP="008F1501">
      <w:pPr>
        <w:jc w:val="both"/>
        <w:rPr>
          <w:i/>
          <w:sz w:val="18"/>
          <w:szCs w:val="18"/>
        </w:rPr>
        <w:sectPr w:rsidR="008F1501" w:rsidSect="0040544D">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left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829"/>
        <w:gridCol w:w="5776"/>
      </w:tblGrid>
      <w:tr w:rsidR="008F1501" w:rsidRPr="00CD4982" w:rsidTr="00773F88">
        <w:trPr>
          <w:trHeight w:val="1235"/>
          <w:jc w:val="center"/>
        </w:trPr>
        <w:tc>
          <w:tcPr>
            <w:tcW w:w="1993" w:type="pct"/>
          </w:tcPr>
          <w:p w:rsidR="008F1501" w:rsidRPr="00CD4982" w:rsidRDefault="008F1501" w:rsidP="00773F88">
            <w:pPr>
              <w:jc w:val="both"/>
              <w:rPr>
                <w:i/>
                <w:sz w:val="18"/>
                <w:szCs w:val="18"/>
              </w:rPr>
            </w:pPr>
            <w:r w:rsidRPr="00CD4982">
              <w:rPr>
                <w:i/>
                <w:sz w:val="18"/>
                <w:szCs w:val="18"/>
              </w:rPr>
              <w:t>Pri identifikovaní rodových vplyvov treba vziať do úvahy existujúce rozdiely medzi mužmi a ženami, ktoré sú relevantné k danej politike. Podpora rodovej rovnosti spočíva v odstraňovaní obmedzení a bariér pre plnohodnotnú účasť na ekonomickom, politickom a sociálnom živote spoločnosti, ktoré súvisia s rodovými rolami či pohlavím. Hlavné oblasti podpory rodovej rovnosti:</w:t>
            </w:r>
          </w:p>
          <w:p w:rsidR="008F1501" w:rsidRPr="00CD4982" w:rsidRDefault="008F1501" w:rsidP="008F1501">
            <w:pPr>
              <w:numPr>
                <w:ilvl w:val="0"/>
                <w:numId w:val="3"/>
              </w:numPr>
              <w:jc w:val="both"/>
              <w:rPr>
                <w:i/>
                <w:sz w:val="18"/>
                <w:szCs w:val="18"/>
              </w:rPr>
            </w:pPr>
            <w:r w:rsidRPr="00CD4982">
              <w:rPr>
                <w:i/>
                <w:sz w:val="18"/>
                <w:szCs w:val="18"/>
              </w:rPr>
              <w:t xml:space="preserve">podpora vyrovnávania ekonomickej nezávislosti, </w:t>
            </w:r>
          </w:p>
          <w:p w:rsidR="008F1501" w:rsidRPr="00CD4982" w:rsidRDefault="008F1501" w:rsidP="008F1501">
            <w:pPr>
              <w:numPr>
                <w:ilvl w:val="0"/>
                <w:numId w:val="3"/>
              </w:numPr>
              <w:jc w:val="both"/>
              <w:rPr>
                <w:i/>
                <w:sz w:val="18"/>
                <w:szCs w:val="18"/>
              </w:rPr>
            </w:pPr>
            <w:r w:rsidRPr="00CD4982">
              <w:rPr>
                <w:i/>
                <w:sz w:val="18"/>
                <w:szCs w:val="18"/>
              </w:rPr>
              <w:t xml:space="preserve">zosúladenie pracovného, súkromného a rodinného života, </w:t>
            </w:r>
          </w:p>
          <w:p w:rsidR="008F1501" w:rsidRPr="00CD4982" w:rsidRDefault="008F1501" w:rsidP="008F1501">
            <w:pPr>
              <w:numPr>
                <w:ilvl w:val="0"/>
                <w:numId w:val="3"/>
              </w:numPr>
              <w:jc w:val="both"/>
              <w:rPr>
                <w:i/>
                <w:sz w:val="18"/>
                <w:szCs w:val="18"/>
              </w:rPr>
            </w:pPr>
            <w:r w:rsidRPr="00CD4982">
              <w:rPr>
                <w:i/>
                <w:sz w:val="18"/>
                <w:szCs w:val="18"/>
              </w:rPr>
              <w:t xml:space="preserve">podpora rovnej participácie na rozhodovaní, </w:t>
            </w:r>
          </w:p>
          <w:p w:rsidR="008F1501" w:rsidRPr="00CD4982" w:rsidRDefault="008F1501" w:rsidP="008F1501">
            <w:pPr>
              <w:numPr>
                <w:ilvl w:val="0"/>
                <w:numId w:val="3"/>
              </w:numPr>
              <w:jc w:val="both"/>
              <w:rPr>
                <w:i/>
                <w:sz w:val="18"/>
                <w:szCs w:val="18"/>
              </w:rPr>
            </w:pPr>
            <w:r w:rsidRPr="00CD4982">
              <w:rPr>
                <w:i/>
                <w:sz w:val="18"/>
                <w:szCs w:val="18"/>
              </w:rPr>
              <w:t xml:space="preserve">boj proti rodovo podmienenému násiliu a obchodovaniu s ľuďmi, </w:t>
            </w:r>
          </w:p>
          <w:p w:rsidR="008F1501" w:rsidRPr="00CD4982" w:rsidRDefault="008F1501" w:rsidP="008F1501">
            <w:pPr>
              <w:numPr>
                <w:ilvl w:val="0"/>
                <w:numId w:val="3"/>
              </w:numPr>
              <w:jc w:val="both"/>
              <w:rPr>
                <w:i/>
                <w:sz w:val="18"/>
                <w:szCs w:val="18"/>
              </w:rPr>
            </w:pPr>
            <w:r w:rsidRPr="00CD4982">
              <w:rPr>
                <w:i/>
                <w:sz w:val="18"/>
                <w:szCs w:val="18"/>
              </w:rPr>
              <w:t>eliminácia rodových stereotypov.</w:t>
            </w:r>
          </w:p>
        </w:tc>
        <w:tc>
          <w:tcPr>
            <w:tcW w:w="3007" w:type="pct"/>
          </w:tcPr>
          <w:p w:rsidR="008F1501" w:rsidRDefault="008F1501" w:rsidP="00773F88"/>
          <w:p w:rsidR="008F1501" w:rsidRDefault="008F1501" w:rsidP="00773F88"/>
          <w:p w:rsidR="008F1501" w:rsidRDefault="008F1501" w:rsidP="00773F88"/>
          <w:p w:rsidR="008F1501" w:rsidRDefault="008F1501" w:rsidP="00773F88"/>
          <w:p w:rsidR="008F1501" w:rsidRDefault="008F1501" w:rsidP="00773F88"/>
          <w:p w:rsidR="008F1501" w:rsidRDefault="008F1501" w:rsidP="00773F88"/>
          <w:p w:rsidR="008F1501" w:rsidRDefault="008F1501" w:rsidP="00773F88"/>
          <w:p w:rsidR="008F1501" w:rsidRDefault="008F1501" w:rsidP="00773F88"/>
          <w:p w:rsidR="008F1501" w:rsidRDefault="008F1501" w:rsidP="00773F88">
            <w:r w:rsidRPr="0055631C">
              <w:t>- nemá vplyv</w:t>
            </w:r>
          </w:p>
          <w:p w:rsidR="008F1501" w:rsidRDefault="008F1501" w:rsidP="00773F88"/>
          <w:p w:rsidR="008F1501" w:rsidRDefault="008F1501" w:rsidP="00773F88">
            <w:r w:rsidRPr="0055631C">
              <w:t>- nemá vplyv</w:t>
            </w:r>
          </w:p>
          <w:p w:rsidR="008F1501" w:rsidRDefault="008F1501" w:rsidP="00773F88"/>
          <w:p w:rsidR="008F1501" w:rsidRDefault="008F1501" w:rsidP="00773F88">
            <w:r w:rsidRPr="0055631C">
              <w:t>- nemá vplyv</w:t>
            </w:r>
          </w:p>
          <w:p w:rsidR="008F1501" w:rsidRDefault="008F1501" w:rsidP="00773F88">
            <w:r w:rsidRPr="0055631C">
              <w:t>- nemá vplyv</w:t>
            </w:r>
          </w:p>
          <w:p w:rsidR="008F1501" w:rsidRPr="00CA6BAF" w:rsidRDefault="008F1501" w:rsidP="00773F88">
            <w:r w:rsidRPr="0055631C">
              <w:t>- nemá vplyv</w:t>
            </w:r>
          </w:p>
        </w:tc>
      </w:tr>
    </w:tbl>
    <w:p w:rsidR="008F1501" w:rsidRDefault="008F1501" w:rsidP="008F1501">
      <w:pPr>
        <w:rPr>
          <w:b/>
          <w:sz w:val="24"/>
        </w:rPr>
        <w:sectPr w:rsidR="008F1501" w:rsidSect="0040544D">
          <w:footnotePr>
            <w:numFmt w:val="chicago"/>
          </w:footnotePr>
          <w:type w:val="continuous"/>
          <w:pgSz w:w="11906" w:h="16838"/>
          <w:pgMar w:top="1134" w:right="1418" w:bottom="1134" w:left="1418" w:header="510" w:footer="567" w:gutter="0"/>
          <w:cols w:space="708"/>
          <w:formProt w:val="0"/>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605"/>
      </w:tblGrid>
      <w:tr w:rsidR="008F1501" w:rsidRPr="00CD4982" w:rsidTr="00773F88">
        <w:trPr>
          <w:jc w:val="center"/>
        </w:trPr>
        <w:tc>
          <w:tcPr>
            <w:tcW w:w="5000" w:type="pct"/>
            <w:shd w:val="clear" w:color="auto" w:fill="D9D9D9"/>
          </w:tcPr>
          <w:p w:rsidR="008F1501" w:rsidRPr="00994C53" w:rsidRDefault="008F1501" w:rsidP="00773F88">
            <w:pPr>
              <w:rPr>
                <w:b/>
                <w:sz w:val="24"/>
              </w:rPr>
            </w:pPr>
            <w:r w:rsidRPr="00CD4982">
              <w:rPr>
                <w:b/>
                <w:sz w:val="24"/>
              </w:rPr>
              <w:t xml:space="preserve">4.4 </w:t>
            </w:r>
            <w:r w:rsidRPr="00994C53">
              <w:rPr>
                <w:b/>
                <w:sz w:val="24"/>
              </w:rPr>
              <w:t>Identifikujte, popíšte a kvantifikujte vplyvy na zamestnanosť a na trh práce.</w:t>
            </w:r>
          </w:p>
          <w:p w:rsidR="008F1501" w:rsidRPr="00994C53" w:rsidRDefault="008F1501" w:rsidP="00773F88">
            <w:pPr>
              <w:jc w:val="both"/>
              <w:rPr>
                <w:i/>
              </w:rPr>
            </w:pPr>
            <w:r w:rsidRPr="00994C53">
              <w:rPr>
                <w:i/>
              </w:rPr>
              <w:t xml:space="preserve">V prípade kladnej odpovede pripojte </w:t>
            </w:r>
            <w:r w:rsidRPr="00994C53">
              <w:rPr>
                <w:b/>
                <w:i/>
              </w:rPr>
              <w:t>odôvodnenie</w:t>
            </w:r>
            <w:r w:rsidRPr="00994C53">
              <w:rPr>
                <w:i/>
              </w:rPr>
              <w:t xml:space="preserve"> v súlade s Metodickým postupom pre analýzu sociálnych vplyvov.</w:t>
            </w:r>
          </w:p>
        </w:tc>
      </w:tr>
    </w:tbl>
    <w:p w:rsidR="008F1501" w:rsidRDefault="008F1501" w:rsidP="008F1501">
      <w:pPr>
        <w:rPr>
          <w:i/>
          <w:szCs w:val="24"/>
        </w:rPr>
        <w:sectPr w:rsidR="008F1501" w:rsidSect="0040544D">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829"/>
        <w:gridCol w:w="5776"/>
      </w:tblGrid>
      <w:tr w:rsidR="008F1501" w:rsidRPr="00994C53" w:rsidTr="00773F88">
        <w:trPr>
          <w:trHeight w:val="287"/>
          <w:jc w:val="center"/>
        </w:trPr>
        <w:tc>
          <w:tcPr>
            <w:tcW w:w="5000" w:type="pct"/>
            <w:gridSpan w:val="2"/>
            <w:tcBorders>
              <w:top w:val="nil"/>
            </w:tcBorders>
            <w:shd w:val="clear" w:color="auto" w:fill="F2F2F2"/>
          </w:tcPr>
          <w:p w:rsidR="008F1501" w:rsidRPr="00994C53" w:rsidRDefault="008F1501" w:rsidP="00773F88">
            <w:pPr>
              <w:rPr>
                <w:i/>
              </w:rPr>
            </w:pPr>
            <w:r w:rsidRPr="00994C53">
              <w:rPr>
                <w:i/>
              </w:rPr>
              <w:t>Uľahčuje návrh vznik nových pracovných miest? Ak áno, ako? Ak je to možné, doplňte kvantifikáciu.</w:t>
            </w:r>
          </w:p>
        </w:tc>
      </w:tr>
      <w:tr w:rsidR="008F1501" w:rsidRPr="00994C53" w:rsidTr="00773F88">
        <w:trPr>
          <w:trHeight w:val="567"/>
          <w:jc w:val="center"/>
        </w:trPr>
        <w:tc>
          <w:tcPr>
            <w:tcW w:w="1993" w:type="pct"/>
            <w:tcBorders>
              <w:top w:val="nil"/>
            </w:tcBorders>
            <w:shd w:val="clear" w:color="auto" w:fill="FFFFFF"/>
          </w:tcPr>
          <w:p w:rsidR="008F1501" w:rsidRPr="00994C53" w:rsidRDefault="008F1501" w:rsidP="00773F88">
            <w:pPr>
              <w:rPr>
                <w:i/>
                <w:sz w:val="18"/>
                <w:szCs w:val="18"/>
              </w:rPr>
            </w:pPr>
            <w:r w:rsidRPr="00994C53">
              <w:rPr>
                <w:i/>
                <w:sz w:val="18"/>
                <w:szCs w:val="18"/>
              </w:rPr>
              <w:t xml:space="preserve">Identifikujte, v ktorých sektoroch a odvetviach ekonomiky, v ktorých regiónoch, pre aké skupiny zamestnancov, o aké typy zamestnania /pracovných úväzkov pôjde a pod. </w:t>
            </w:r>
          </w:p>
        </w:tc>
        <w:tc>
          <w:tcPr>
            <w:tcW w:w="3007" w:type="pct"/>
            <w:tcBorders>
              <w:top w:val="nil"/>
            </w:tcBorders>
            <w:shd w:val="clear" w:color="auto" w:fill="FFFFFF"/>
          </w:tcPr>
          <w:p w:rsidR="008F1501" w:rsidRPr="00A30F1C" w:rsidRDefault="008F1501" w:rsidP="00AF115F">
            <w:pPr>
              <w:rPr>
                <w:szCs w:val="18"/>
              </w:rPr>
            </w:pPr>
            <w:r>
              <w:rPr>
                <w:szCs w:val="18"/>
              </w:rPr>
              <w:t>Nepredpokladáme.</w:t>
            </w:r>
          </w:p>
        </w:tc>
      </w:tr>
      <w:tr w:rsidR="008F1501" w:rsidRPr="00994C53" w:rsidTr="00773F88">
        <w:trPr>
          <w:trHeight w:val="270"/>
          <w:jc w:val="center"/>
        </w:trPr>
        <w:tc>
          <w:tcPr>
            <w:tcW w:w="5000" w:type="pct"/>
            <w:gridSpan w:val="2"/>
            <w:shd w:val="clear" w:color="auto" w:fill="F2F2F2"/>
          </w:tcPr>
          <w:p w:rsidR="008F1501" w:rsidRPr="00994C53" w:rsidRDefault="008F1501" w:rsidP="00773F88">
            <w:pPr>
              <w:rPr>
                <w:i/>
              </w:rPr>
            </w:pPr>
            <w:r w:rsidRPr="00994C53">
              <w:rPr>
                <w:i/>
              </w:rPr>
              <w:t>Vedie návrh k zániku pracovných miest?</w:t>
            </w:r>
            <w:r w:rsidRPr="00994C53">
              <w:t xml:space="preserve"> </w:t>
            </w:r>
            <w:r w:rsidRPr="00994C53">
              <w:rPr>
                <w:i/>
              </w:rPr>
              <w:t>Ak áno, ako a akých? Ak je to možné, doplňte kvantifikáciu.</w:t>
            </w:r>
          </w:p>
        </w:tc>
      </w:tr>
      <w:tr w:rsidR="008F1501" w:rsidRPr="00994C53" w:rsidTr="00773F88">
        <w:trPr>
          <w:trHeight w:val="454"/>
          <w:jc w:val="center"/>
        </w:trPr>
        <w:tc>
          <w:tcPr>
            <w:tcW w:w="1993" w:type="pct"/>
            <w:shd w:val="clear" w:color="auto" w:fill="FFFFFF"/>
          </w:tcPr>
          <w:p w:rsidR="008F1501" w:rsidRPr="00994C53" w:rsidRDefault="008F1501" w:rsidP="00773F88">
            <w:pPr>
              <w:rPr>
                <w:i/>
                <w:sz w:val="18"/>
                <w:szCs w:val="18"/>
              </w:rPr>
            </w:pPr>
            <w:r w:rsidRPr="00994C53">
              <w:rPr>
                <w:i/>
                <w:sz w:val="18"/>
                <w:szCs w:val="18"/>
              </w:rPr>
              <w:t>Identifikujte, v ktorých sektoroch a odvetviach ekonomiky, v ktorých regiónoch, o aké typy zamestnania /pracovných úväzkov pôjde a pod. Identifikujte možné dôsledky, skupiny zamestnancov, ktoré budú viac ovplyvnené a rozsah vplyvu.</w:t>
            </w:r>
          </w:p>
        </w:tc>
        <w:tc>
          <w:tcPr>
            <w:tcW w:w="3007" w:type="pct"/>
            <w:shd w:val="clear" w:color="auto" w:fill="FFFFFF"/>
          </w:tcPr>
          <w:p w:rsidR="008F1501" w:rsidRPr="00A30F1C" w:rsidRDefault="00AF115F" w:rsidP="00773F88">
            <w:pPr>
              <w:rPr>
                <w:szCs w:val="18"/>
              </w:rPr>
            </w:pPr>
            <w:r>
              <w:rPr>
                <w:szCs w:val="18"/>
              </w:rPr>
              <w:t>Nepredpokladáme.</w:t>
            </w:r>
            <w:r w:rsidR="008F1501">
              <w:rPr>
                <w:szCs w:val="18"/>
              </w:rPr>
              <w:t xml:space="preserve"> </w:t>
            </w:r>
          </w:p>
        </w:tc>
      </w:tr>
      <w:tr w:rsidR="008F1501" w:rsidRPr="00994C53" w:rsidTr="00773F88">
        <w:trPr>
          <w:trHeight w:val="248"/>
          <w:jc w:val="center"/>
        </w:trPr>
        <w:tc>
          <w:tcPr>
            <w:tcW w:w="5000" w:type="pct"/>
            <w:gridSpan w:val="2"/>
            <w:shd w:val="clear" w:color="auto" w:fill="F2F2F2"/>
          </w:tcPr>
          <w:p w:rsidR="008F1501" w:rsidRPr="00994C53" w:rsidRDefault="008F1501" w:rsidP="00773F88">
            <w:r w:rsidRPr="00994C53">
              <w:rPr>
                <w:i/>
              </w:rPr>
              <w:t>Ovplyvňuje návrh dopyt po práci?</w:t>
            </w:r>
            <w:r w:rsidRPr="00994C53">
              <w:t xml:space="preserve"> </w:t>
            </w:r>
            <w:r w:rsidRPr="00994C53">
              <w:rPr>
                <w:i/>
              </w:rPr>
              <w:t>Ak áno, ako?</w:t>
            </w:r>
          </w:p>
        </w:tc>
      </w:tr>
      <w:tr w:rsidR="008F1501" w:rsidRPr="00994C53" w:rsidTr="00773F88">
        <w:trPr>
          <w:trHeight w:val="209"/>
          <w:jc w:val="center"/>
        </w:trPr>
        <w:tc>
          <w:tcPr>
            <w:tcW w:w="1993" w:type="pct"/>
            <w:shd w:val="clear" w:color="auto" w:fill="FFFFFF"/>
          </w:tcPr>
          <w:p w:rsidR="008F1501" w:rsidRPr="00994C53" w:rsidRDefault="008F1501" w:rsidP="00773F88">
            <w:pPr>
              <w:rPr>
                <w:i/>
                <w:sz w:val="18"/>
                <w:szCs w:val="18"/>
              </w:rPr>
            </w:pPr>
            <w:r w:rsidRPr="00994C53">
              <w:rPr>
                <w:i/>
                <w:sz w:val="18"/>
                <w:szCs w:val="18"/>
              </w:rPr>
              <w:t>Dopyt po práci závisí na jednej strane na produkcii tovarov a služieb v ekonomike a na druhej strane na cene práce.</w:t>
            </w:r>
          </w:p>
        </w:tc>
        <w:tc>
          <w:tcPr>
            <w:tcW w:w="3007" w:type="pct"/>
            <w:shd w:val="clear" w:color="auto" w:fill="FFFFFF"/>
          </w:tcPr>
          <w:p w:rsidR="008F1501" w:rsidRPr="00A30F1C" w:rsidRDefault="00AF115F" w:rsidP="00773F88">
            <w:pPr>
              <w:rPr>
                <w:szCs w:val="18"/>
              </w:rPr>
            </w:pPr>
            <w:r>
              <w:rPr>
                <w:szCs w:val="18"/>
              </w:rPr>
              <w:t>Nepredpokladáme.</w:t>
            </w:r>
          </w:p>
        </w:tc>
      </w:tr>
      <w:tr w:rsidR="008F1501" w:rsidRPr="00994C53" w:rsidTr="00773F88">
        <w:trPr>
          <w:trHeight w:val="208"/>
          <w:jc w:val="center"/>
        </w:trPr>
        <w:tc>
          <w:tcPr>
            <w:tcW w:w="5000" w:type="pct"/>
            <w:gridSpan w:val="2"/>
            <w:shd w:val="clear" w:color="auto" w:fill="F2F2F2"/>
          </w:tcPr>
          <w:p w:rsidR="008F1501" w:rsidRPr="00994C53" w:rsidRDefault="008F1501" w:rsidP="00773F88">
            <w:r w:rsidRPr="00994C53">
              <w:rPr>
                <w:i/>
              </w:rPr>
              <w:t>Má návrh dosah na fungovanie trhu práce?</w:t>
            </w:r>
            <w:r w:rsidRPr="00994C53">
              <w:t xml:space="preserve"> </w:t>
            </w:r>
            <w:r w:rsidRPr="00994C53">
              <w:rPr>
                <w:i/>
              </w:rPr>
              <w:t>Ak áno, aký?</w:t>
            </w:r>
          </w:p>
        </w:tc>
      </w:tr>
      <w:tr w:rsidR="008F1501" w:rsidRPr="00994C53" w:rsidTr="00773F88">
        <w:trPr>
          <w:trHeight w:val="794"/>
          <w:jc w:val="center"/>
        </w:trPr>
        <w:tc>
          <w:tcPr>
            <w:tcW w:w="1993" w:type="pct"/>
            <w:shd w:val="clear" w:color="auto" w:fill="FFFFFF"/>
          </w:tcPr>
          <w:p w:rsidR="008F1501" w:rsidRPr="00994C53" w:rsidRDefault="008F1501" w:rsidP="00773F88">
            <w:pPr>
              <w:rPr>
                <w:i/>
                <w:sz w:val="18"/>
                <w:szCs w:val="18"/>
              </w:rPr>
            </w:pPr>
            <w:r w:rsidRPr="00994C53">
              <w:rPr>
                <w:i/>
                <w:sz w:val="18"/>
                <w:szCs w:val="18"/>
              </w:rPr>
              <w:t>Týka sa makroekonomických dosahov ako je napr. participácia na trhu práce, dlhodobá nezamestnanosť, regionálne rozdiely v mierach zamestnanosti.</w:t>
            </w:r>
            <w:r w:rsidRPr="00994C53">
              <w:rPr>
                <w:sz w:val="18"/>
                <w:szCs w:val="18"/>
              </w:rPr>
              <w:t xml:space="preserve"> </w:t>
            </w:r>
            <w:r w:rsidRPr="00994C53">
              <w:rPr>
                <w:i/>
                <w:sz w:val="18"/>
                <w:szCs w:val="18"/>
              </w:rPr>
              <w:t>Ponuka práce môže byť ovplyvnená rôznymi premennými napr. úrovňou miezd, inštitucionálnym nastavením (napr.  zosúladenie pracovného a súkromného života alebo uľahčovanie rôznych foriem mobility).</w:t>
            </w:r>
          </w:p>
        </w:tc>
        <w:tc>
          <w:tcPr>
            <w:tcW w:w="3007" w:type="pct"/>
            <w:shd w:val="clear" w:color="auto" w:fill="FFFFFF"/>
          </w:tcPr>
          <w:p w:rsidR="008F1501" w:rsidRDefault="00AF115F" w:rsidP="00773F88">
            <w:pPr>
              <w:rPr>
                <w:szCs w:val="18"/>
              </w:rPr>
            </w:pPr>
            <w:r>
              <w:rPr>
                <w:szCs w:val="18"/>
              </w:rPr>
              <w:t>Nepredpokladáme.</w:t>
            </w:r>
            <w:r w:rsidR="008F1501">
              <w:rPr>
                <w:szCs w:val="18"/>
              </w:rPr>
              <w:t xml:space="preserve"> </w:t>
            </w:r>
          </w:p>
          <w:p w:rsidR="00DC4A67" w:rsidRPr="00A30F1C" w:rsidRDefault="00DC4A67" w:rsidP="00773F88">
            <w:pPr>
              <w:rPr>
                <w:szCs w:val="18"/>
              </w:rPr>
            </w:pPr>
          </w:p>
        </w:tc>
      </w:tr>
      <w:tr w:rsidR="008F1501" w:rsidRPr="00994C53" w:rsidTr="00773F88">
        <w:trPr>
          <w:trHeight w:val="324"/>
          <w:jc w:val="center"/>
        </w:trPr>
        <w:tc>
          <w:tcPr>
            <w:tcW w:w="5000" w:type="pct"/>
            <w:gridSpan w:val="2"/>
            <w:shd w:val="clear" w:color="auto" w:fill="F2F2F2"/>
          </w:tcPr>
          <w:p w:rsidR="008F1501" w:rsidRPr="00994C53" w:rsidRDefault="008F1501" w:rsidP="00773F88">
            <w:r w:rsidRPr="00994C53">
              <w:rPr>
                <w:i/>
              </w:rPr>
              <w:t>Má návrh špecifické negatívne dôsledky pre isté skupiny profesií, skupín zamestnancov či živnostníkov?</w:t>
            </w:r>
            <w:r w:rsidRPr="00994C53">
              <w:t xml:space="preserve"> </w:t>
            </w:r>
            <w:r w:rsidRPr="00994C53">
              <w:rPr>
                <w:i/>
              </w:rPr>
              <w:t>Ak áno, aké a pre ktoré skupiny?</w:t>
            </w:r>
          </w:p>
        </w:tc>
      </w:tr>
      <w:tr w:rsidR="008F1501" w:rsidRPr="00994C53" w:rsidTr="00773F88">
        <w:trPr>
          <w:trHeight w:val="216"/>
          <w:jc w:val="center"/>
        </w:trPr>
        <w:tc>
          <w:tcPr>
            <w:tcW w:w="1993" w:type="pct"/>
            <w:shd w:val="clear" w:color="auto" w:fill="FFFFFF"/>
          </w:tcPr>
          <w:p w:rsidR="008F1501" w:rsidRPr="00994C53" w:rsidRDefault="008F1501" w:rsidP="00773F88">
            <w:pPr>
              <w:rPr>
                <w:i/>
                <w:sz w:val="18"/>
                <w:szCs w:val="18"/>
              </w:rPr>
            </w:pPr>
            <w:r w:rsidRPr="00994C53">
              <w:rPr>
                <w:i/>
                <w:sz w:val="18"/>
                <w:szCs w:val="18"/>
              </w:rPr>
              <w:t>Návrh môže ohrozovať napr. pracovníkov istých profesií favorizovaním špecifických aktivít či technológií.</w:t>
            </w:r>
          </w:p>
        </w:tc>
        <w:tc>
          <w:tcPr>
            <w:tcW w:w="3007" w:type="pct"/>
            <w:shd w:val="clear" w:color="auto" w:fill="FFFFFF"/>
          </w:tcPr>
          <w:p w:rsidR="008F1501" w:rsidRPr="00A30F1C" w:rsidRDefault="00AF115F" w:rsidP="00773F88">
            <w:pPr>
              <w:jc w:val="both"/>
              <w:rPr>
                <w:szCs w:val="18"/>
              </w:rPr>
            </w:pPr>
            <w:r>
              <w:rPr>
                <w:szCs w:val="18"/>
              </w:rPr>
              <w:t>Nepredpokladáme.</w:t>
            </w:r>
          </w:p>
        </w:tc>
      </w:tr>
      <w:tr w:rsidR="008F1501" w:rsidRPr="00994C53" w:rsidTr="00773F88">
        <w:trPr>
          <w:trHeight w:val="219"/>
          <w:jc w:val="center"/>
        </w:trPr>
        <w:tc>
          <w:tcPr>
            <w:tcW w:w="5000" w:type="pct"/>
            <w:gridSpan w:val="2"/>
            <w:shd w:val="clear" w:color="auto" w:fill="F2F2F2"/>
          </w:tcPr>
          <w:p w:rsidR="008F1501" w:rsidRPr="00994C53" w:rsidRDefault="008F1501" w:rsidP="00773F88">
            <w:r w:rsidRPr="00994C53">
              <w:rPr>
                <w:i/>
              </w:rPr>
              <w:t>Ovplyvňuje návrh špecifické vekové skupiny zamestnancov? Ak áno, aké? Akým spôsobom?</w:t>
            </w:r>
          </w:p>
        </w:tc>
      </w:tr>
      <w:tr w:rsidR="008F1501" w:rsidRPr="00994C53" w:rsidTr="00773F88">
        <w:trPr>
          <w:trHeight w:val="497"/>
          <w:jc w:val="center"/>
        </w:trPr>
        <w:tc>
          <w:tcPr>
            <w:tcW w:w="1993" w:type="pct"/>
            <w:shd w:val="clear" w:color="auto" w:fill="FFFFFF"/>
          </w:tcPr>
          <w:p w:rsidR="008F1501" w:rsidRPr="00994C53" w:rsidRDefault="008F1501" w:rsidP="00773F88">
            <w:pPr>
              <w:rPr>
                <w:i/>
                <w:sz w:val="18"/>
                <w:szCs w:val="18"/>
              </w:rPr>
            </w:pPr>
            <w:r w:rsidRPr="00994C53">
              <w:rPr>
                <w:i/>
                <w:sz w:val="18"/>
                <w:szCs w:val="18"/>
              </w:rPr>
              <w:t>Identifikujte, či návrh môže ovplyvniť rozhodnutia zamestnancov alebo zamestnávateľov a môže byť zdrojom neskoršieho vstupu na trh práce alebo predčasného odchodu z trhu práce jednotlivcov.</w:t>
            </w:r>
          </w:p>
        </w:tc>
        <w:tc>
          <w:tcPr>
            <w:tcW w:w="3007" w:type="pct"/>
            <w:shd w:val="clear" w:color="auto" w:fill="FFFFFF"/>
          </w:tcPr>
          <w:p w:rsidR="008F1501" w:rsidRPr="00A30F1C" w:rsidRDefault="008F1501" w:rsidP="00773F88">
            <w:pPr>
              <w:rPr>
                <w:szCs w:val="18"/>
              </w:rPr>
            </w:pPr>
            <w:r>
              <w:rPr>
                <w:szCs w:val="18"/>
              </w:rPr>
              <w:t>Nie.</w:t>
            </w:r>
          </w:p>
        </w:tc>
      </w:tr>
    </w:tbl>
    <w:p w:rsidR="00780861" w:rsidRDefault="00780861" w:rsidP="000B1D97">
      <w:pPr>
        <w:outlineLvl w:val="0"/>
        <w:rPr>
          <w:bCs/>
          <w:color w:val="000000"/>
          <w:sz w:val="24"/>
          <w:szCs w:val="24"/>
          <w:lang w:eastAsia="en-US"/>
        </w:rPr>
      </w:pPr>
    </w:p>
    <w:sectPr w:rsidR="00780861" w:rsidSect="000B1D97">
      <w:footnotePr>
        <w:numFmt w:val="chicago"/>
      </w:footnotePr>
      <w:type w:val="continuous"/>
      <w:pgSz w:w="11906" w:h="16838"/>
      <w:pgMar w:top="1134" w:right="1418" w:bottom="1134" w:left="1418" w:header="510" w:footer="567"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0C4F" w:rsidRDefault="00110C4F" w:rsidP="003501A1">
      <w:r>
        <w:separator/>
      </w:r>
    </w:p>
  </w:endnote>
  <w:endnote w:type="continuationSeparator" w:id="0">
    <w:p w:rsidR="00110C4F" w:rsidRDefault="00110C4F" w:rsidP="00350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C4F" w:rsidRPr="001D6749" w:rsidRDefault="00CC4C97">
    <w:pPr>
      <w:pStyle w:val="Pta"/>
      <w:jc w:val="right"/>
    </w:pPr>
    <w:r>
      <w:rPr>
        <w:noProof/>
      </w:rPr>
      <w:fldChar w:fldCharType="begin"/>
    </w:r>
    <w:r>
      <w:rPr>
        <w:noProof/>
      </w:rPr>
      <w:instrText>PAGE   \* MERGEFORMAT</w:instrText>
    </w:r>
    <w:r>
      <w:rPr>
        <w:noProof/>
      </w:rPr>
      <w:fldChar w:fldCharType="separate"/>
    </w:r>
    <w:r w:rsidR="00891481">
      <w:rPr>
        <w:noProof/>
      </w:rPr>
      <w:t>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C4F" w:rsidRPr="001D6749" w:rsidRDefault="00CC4C97">
    <w:pPr>
      <w:pStyle w:val="Pta"/>
      <w:jc w:val="right"/>
    </w:pPr>
    <w:r>
      <w:rPr>
        <w:noProof/>
      </w:rPr>
      <w:fldChar w:fldCharType="begin"/>
    </w:r>
    <w:r>
      <w:rPr>
        <w:noProof/>
      </w:rPr>
      <w:instrText>PAGE   \* MERGEFORMAT</w:instrText>
    </w:r>
    <w:r>
      <w:rPr>
        <w:noProof/>
      </w:rPr>
      <w:fldChar w:fldCharType="separate"/>
    </w:r>
    <w:r w:rsidR="00891481">
      <w:rPr>
        <w:noProof/>
      </w:rPr>
      <w:t>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0C4F" w:rsidRDefault="00110C4F" w:rsidP="003501A1">
      <w:r>
        <w:separator/>
      </w:r>
    </w:p>
  </w:footnote>
  <w:footnote w:type="continuationSeparator" w:id="0">
    <w:p w:rsidR="00110C4F" w:rsidRDefault="00110C4F" w:rsidP="003501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C4F" w:rsidRPr="008F1501" w:rsidRDefault="00110C4F" w:rsidP="008F1501">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C4F" w:rsidRPr="008F1501" w:rsidRDefault="00110C4F" w:rsidP="008F1501">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A60AA"/>
    <w:multiLevelType w:val="hybridMultilevel"/>
    <w:tmpl w:val="7C369E9A"/>
    <w:lvl w:ilvl="0" w:tplc="E29AE130">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251E1FFC"/>
    <w:multiLevelType w:val="hybridMultilevel"/>
    <w:tmpl w:val="1CD0AAF4"/>
    <w:lvl w:ilvl="0" w:tplc="39BE82CA">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277D0DE7"/>
    <w:multiLevelType w:val="hybridMultilevel"/>
    <w:tmpl w:val="35C64144"/>
    <w:lvl w:ilvl="0" w:tplc="BF90727A">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 w15:restartNumberingAfterBreak="0">
    <w:nsid w:val="2E983E4D"/>
    <w:multiLevelType w:val="hybridMultilevel"/>
    <w:tmpl w:val="38BA7F98"/>
    <w:lvl w:ilvl="0" w:tplc="C4E654B6">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451F6C06"/>
    <w:multiLevelType w:val="hybridMultilevel"/>
    <w:tmpl w:val="26B4305E"/>
    <w:lvl w:ilvl="0" w:tplc="BF90727A">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 w15:restartNumberingAfterBreak="0">
    <w:nsid w:val="577F6C86"/>
    <w:multiLevelType w:val="hybridMultilevel"/>
    <w:tmpl w:val="EECEDB92"/>
    <w:lvl w:ilvl="0" w:tplc="FC82A3D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61DB66B7"/>
    <w:multiLevelType w:val="hybridMultilevel"/>
    <w:tmpl w:val="9FF2747C"/>
    <w:lvl w:ilvl="0" w:tplc="199819FC">
      <w:numFmt w:val="bullet"/>
      <w:lvlText w:val="→"/>
      <w:lvlJc w:val="left"/>
      <w:pPr>
        <w:ind w:left="360" w:hanging="360"/>
      </w:pPr>
      <w:rPr>
        <w:rFonts w:ascii="Times New Roman" w:eastAsia="Times New Roman" w:hAnsi="Times New Roman"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15:restartNumberingAfterBreak="0">
    <w:nsid w:val="6AA22485"/>
    <w:multiLevelType w:val="hybridMultilevel"/>
    <w:tmpl w:val="7B481874"/>
    <w:lvl w:ilvl="0" w:tplc="199819FC">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7BDE54EF"/>
    <w:multiLevelType w:val="hybridMultilevel"/>
    <w:tmpl w:val="419C7968"/>
    <w:lvl w:ilvl="0" w:tplc="041B000F">
      <w:start w:val="1"/>
      <w:numFmt w:val="decimal"/>
      <w:lvlText w:val="%1."/>
      <w:lvlJc w:val="left"/>
      <w:pPr>
        <w:ind w:left="862" w:hanging="360"/>
      </w:pPr>
      <w:rPr>
        <w:rFonts w:cs="Times New Roman"/>
      </w:rPr>
    </w:lvl>
    <w:lvl w:ilvl="1" w:tplc="041B0019" w:tentative="1">
      <w:start w:val="1"/>
      <w:numFmt w:val="lowerLetter"/>
      <w:lvlText w:val="%2."/>
      <w:lvlJc w:val="left"/>
      <w:pPr>
        <w:ind w:left="1582" w:hanging="360"/>
      </w:pPr>
      <w:rPr>
        <w:rFonts w:cs="Times New Roman"/>
      </w:rPr>
    </w:lvl>
    <w:lvl w:ilvl="2" w:tplc="041B001B" w:tentative="1">
      <w:start w:val="1"/>
      <w:numFmt w:val="lowerRoman"/>
      <w:lvlText w:val="%3."/>
      <w:lvlJc w:val="right"/>
      <w:pPr>
        <w:ind w:left="2302" w:hanging="180"/>
      </w:pPr>
      <w:rPr>
        <w:rFonts w:cs="Times New Roman"/>
      </w:rPr>
    </w:lvl>
    <w:lvl w:ilvl="3" w:tplc="041B000F" w:tentative="1">
      <w:start w:val="1"/>
      <w:numFmt w:val="decimal"/>
      <w:lvlText w:val="%4."/>
      <w:lvlJc w:val="left"/>
      <w:pPr>
        <w:ind w:left="3022" w:hanging="360"/>
      </w:pPr>
      <w:rPr>
        <w:rFonts w:cs="Times New Roman"/>
      </w:rPr>
    </w:lvl>
    <w:lvl w:ilvl="4" w:tplc="041B0019" w:tentative="1">
      <w:start w:val="1"/>
      <w:numFmt w:val="lowerLetter"/>
      <w:lvlText w:val="%5."/>
      <w:lvlJc w:val="left"/>
      <w:pPr>
        <w:ind w:left="3742" w:hanging="360"/>
      </w:pPr>
      <w:rPr>
        <w:rFonts w:cs="Times New Roman"/>
      </w:rPr>
    </w:lvl>
    <w:lvl w:ilvl="5" w:tplc="041B001B" w:tentative="1">
      <w:start w:val="1"/>
      <w:numFmt w:val="lowerRoman"/>
      <w:lvlText w:val="%6."/>
      <w:lvlJc w:val="right"/>
      <w:pPr>
        <w:ind w:left="4462" w:hanging="180"/>
      </w:pPr>
      <w:rPr>
        <w:rFonts w:cs="Times New Roman"/>
      </w:rPr>
    </w:lvl>
    <w:lvl w:ilvl="6" w:tplc="041B000F" w:tentative="1">
      <w:start w:val="1"/>
      <w:numFmt w:val="decimal"/>
      <w:lvlText w:val="%7."/>
      <w:lvlJc w:val="left"/>
      <w:pPr>
        <w:ind w:left="5182" w:hanging="360"/>
      </w:pPr>
      <w:rPr>
        <w:rFonts w:cs="Times New Roman"/>
      </w:rPr>
    </w:lvl>
    <w:lvl w:ilvl="7" w:tplc="041B0019" w:tentative="1">
      <w:start w:val="1"/>
      <w:numFmt w:val="lowerLetter"/>
      <w:lvlText w:val="%8."/>
      <w:lvlJc w:val="left"/>
      <w:pPr>
        <w:ind w:left="5902" w:hanging="360"/>
      </w:pPr>
      <w:rPr>
        <w:rFonts w:cs="Times New Roman"/>
      </w:rPr>
    </w:lvl>
    <w:lvl w:ilvl="8" w:tplc="041B001B" w:tentative="1">
      <w:start w:val="1"/>
      <w:numFmt w:val="lowerRoman"/>
      <w:lvlText w:val="%9."/>
      <w:lvlJc w:val="right"/>
      <w:pPr>
        <w:ind w:left="6622" w:hanging="180"/>
      </w:pPr>
      <w:rPr>
        <w:rFonts w:cs="Times New Roman"/>
      </w:rPr>
    </w:lvl>
  </w:abstractNum>
  <w:num w:numId="1">
    <w:abstractNumId w:val="8"/>
  </w:num>
  <w:num w:numId="2">
    <w:abstractNumId w:val="4"/>
  </w:num>
  <w:num w:numId="3">
    <w:abstractNumId w:val="2"/>
  </w:num>
  <w:num w:numId="4">
    <w:abstractNumId w:val="6"/>
  </w:num>
  <w:num w:numId="5">
    <w:abstractNumId w:val="5"/>
  </w:num>
  <w:num w:numId="6">
    <w:abstractNumId w:val="3"/>
  </w:num>
  <w:num w:numId="7">
    <w:abstractNumId w:val="1"/>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2"/>
  </w:compat>
  <w:rsids>
    <w:rsidRoot w:val="00B65A86"/>
    <w:rsid w:val="00000265"/>
    <w:rsid w:val="00000BB3"/>
    <w:rsid w:val="00000FD3"/>
    <w:rsid w:val="00003176"/>
    <w:rsid w:val="00020799"/>
    <w:rsid w:val="00022522"/>
    <w:rsid w:val="0002348F"/>
    <w:rsid w:val="00042C66"/>
    <w:rsid w:val="00044145"/>
    <w:rsid w:val="0007171A"/>
    <w:rsid w:val="00072CD6"/>
    <w:rsid w:val="0008228A"/>
    <w:rsid w:val="00093DB8"/>
    <w:rsid w:val="00094948"/>
    <w:rsid w:val="00095207"/>
    <w:rsid w:val="00097DD1"/>
    <w:rsid w:val="000A15AE"/>
    <w:rsid w:val="000B1D97"/>
    <w:rsid w:val="000B1FDF"/>
    <w:rsid w:val="000C45E7"/>
    <w:rsid w:val="000C7777"/>
    <w:rsid w:val="000D2622"/>
    <w:rsid w:val="000D31F3"/>
    <w:rsid w:val="00104298"/>
    <w:rsid w:val="00110C4F"/>
    <w:rsid w:val="00120551"/>
    <w:rsid w:val="00121479"/>
    <w:rsid w:val="0012382F"/>
    <w:rsid w:val="00124D9C"/>
    <w:rsid w:val="001527FE"/>
    <w:rsid w:val="00154881"/>
    <w:rsid w:val="00175FD8"/>
    <w:rsid w:val="00177AE1"/>
    <w:rsid w:val="00177AF8"/>
    <w:rsid w:val="001805D5"/>
    <w:rsid w:val="001948E8"/>
    <w:rsid w:val="001A4165"/>
    <w:rsid w:val="001B00B9"/>
    <w:rsid w:val="001D30AE"/>
    <w:rsid w:val="001D6749"/>
    <w:rsid w:val="001D696E"/>
    <w:rsid w:val="001F5874"/>
    <w:rsid w:val="002079D7"/>
    <w:rsid w:val="00212894"/>
    <w:rsid w:val="002145D3"/>
    <w:rsid w:val="00217A80"/>
    <w:rsid w:val="00226D46"/>
    <w:rsid w:val="00232DB2"/>
    <w:rsid w:val="00233D62"/>
    <w:rsid w:val="00236E77"/>
    <w:rsid w:val="00242773"/>
    <w:rsid w:val="002575D9"/>
    <w:rsid w:val="00267061"/>
    <w:rsid w:val="00273926"/>
    <w:rsid w:val="00280725"/>
    <w:rsid w:val="002B232C"/>
    <w:rsid w:val="002D04B9"/>
    <w:rsid w:val="002D5500"/>
    <w:rsid w:val="002E0614"/>
    <w:rsid w:val="002E32C0"/>
    <w:rsid w:val="002E3B1E"/>
    <w:rsid w:val="002E6651"/>
    <w:rsid w:val="00301D74"/>
    <w:rsid w:val="00305649"/>
    <w:rsid w:val="00312B1C"/>
    <w:rsid w:val="00332FBA"/>
    <w:rsid w:val="00336C65"/>
    <w:rsid w:val="003501A1"/>
    <w:rsid w:val="00350875"/>
    <w:rsid w:val="00355A5C"/>
    <w:rsid w:val="0036105E"/>
    <w:rsid w:val="00367CFB"/>
    <w:rsid w:val="0037247E"/>
    <w:rsid w:val="0037258F"/>
    <w:rsid w:val="003727D3"/>
    <w:rsid w:val="003826F4"/>
    <w:rsid w:val="00394A9E"/>
    <w:rsid w:val="00395098"/>
    <w:rsid w:val="003A17DE"/>
    <w:rsid w:val="003B4C27"/>
    <w:rsid w:val="003C0592"/>
    <w:rsid w:val="003C3251"/>
    <w:rsid w:val="00400F61"/>
    <w:rsid w:val="0040544D"/>
    <w:rsid w:val="00412F8C"/>
    <w:rsid w:val="0042399B"/>
    <w:rsid w:val="00435B44"/>
    <w:rsid w:val="0045763B"/>
    <w:rsid w:val="00461753"/>
    <w:rsid w:val="0047710A"/>
    <w:rsid w:val="0047723F"/>
    <w:rsid w:val="0047741C"/>
    <w:rsid w:val="0047773B"/>
    <w:rsid w:val="00480880"/>
    <w:rsid w:val="00481B86"/>
    <w:rsid w:val="004903F8"/>
    <w:rsid w:val="00491C5C"/>
    <w:rsid w:val="004A3FF9"/>
    <w:rsid w:val="004B23DD"/>
    <w:rsid w:val="004B2663"/>
    <w:rsid w:val="004B349A"/>
    <w:rsid w:val="004B559F"/>
    <w:rsid w:val="004C6039"/>
    <w:rsid w:val="004C60B8"/>
    <w:rsid w:val="004C6C43"/>
    <w:rsid w:val="004C794A"/>
    <w:rsid w:val="004D2D27"/>
    <w:rsid w:val="004D3D24"/>
    <w:rsid w:val="004E3E89"/>
    <w:rsid w:val="004E685F"/>
    <w:rsid w:val="004F649B"/>
    <w:rsid w:val="004F6F1F"/>
    <w:rsid w:val="00524221"/>
    <w:rsid w:val="00526D18"/>
    <w:rsid w:val="00535E8E"/>
    <w:rsid w:val="00537824"/>
    <w:rsid w:val="00544EA5"/>
    <w:rsid w:val="0055631C"/>
    <w:rsid w:val="00564FFB"/>
    <w:rsid w:val="00565C77"/>
    <w:rsid w:val="005708CD"/>
    <w:rsid w:val="0057589E"/>
    <w:rsid w:val="00582BEE"/>
    <w:rsid w:val="005B7A8D"/>
    <w:rsid w:val="005C12EA"/>
    <w:rsid w:val="005C23EF"/>
    <w:rsid w:val="005C4B9C"/>
    <w:rsid w:val="005D56E3"/>
    <w:rsid w:val="005E7D38"/>
    <w:rsid w:val="0060497B"/>
    <w:rsid w:val="00616E48"/>
    <w:rsid w:val="00637736"/>
    <w:rsid w:val="00642ED5"/>
    <w:rsid w:val="00643E65"/>
    <w:rsid w:val="00646B9C"/>
    <w:rsid w:val="00654CB0"/>
    <w:rsid w:val="006A5D70"/>
    <w:rsid w:val="006A701A"/>
    <w:rsid w:val="006C3B7D"/>
    <w:rsid w:val="006C402F"/>
    <w:rsid w:val="006C58C4"/>
    <w:rsid w:val="006C5A89"/>
    <w:rsid w:val="006F4AEC"/>
    <w:rsid w:val="006F5CBE"/>
    <w:rsid w:val="00713823"/>
    <w:rsid w:val="00713CF4"/>
    <w:rsid w:val="007540EB"/>
    <w:rsid w:val="007674EB"/>
    <w:rsid w:val="00773F88"/>
    <w:rsid w:val="007745B2"/>
    <w:rsid w:val="00780861"/>
    <w:rsid w:val="00785409"/>
    <w:rsid w:val="007A1A9B"/>
    <w:rsid w:val="007B23B0"/>
    <w:rsid w:val="007B7171"/>
    <w:rsid w:val="007D5748"/>
    <w:rsid w:val="007D73FE"/>
    <w:rsid w:val="007E1924"/>
    <w:rsid w:val="007F03E7"/>
    <w:rsid w:val="00806EA1"/>
    <w:rsid w:val="0081159A"/>
    <w:rsid w:val="0081242E"/>
    <w:rsid w:val="0081647C"/>
    <w:rsid w:val="008254FB"/>
    <w:rsid w:val="00832057"/>
    <w:rsid w:val="00837B6C"/>
    <w:rsid w:val="00841B7F"/>
    <w:rsid w:val="00844365"/>
    <w:rsid w:val="00861836"/>
    <w:rsid w:val="00864591"/>
    <w:rsid w:val="0088438C"/>
    <w:rsid w:val="00891481"/>
    <w:rsid w:val="00892C0A"/>
    <w:rsid w:val="00897160"/>
    <w:rsid w:val="008A1252"/>
    <w:rsid w:val="008A3694"/>
    <w:rsid w:val="008A5F2C"/>
    <w:rsid w:val="008C0DBA"/>
    <w:rsid w:val="008D26FA"/>
    <w:rsid w:val="008D339D"/>
    <w:rsid w:val="008D4FC5"/>
    <w:rsid w:val="008E47AC"/>
    <w:rsid w:val="008F1501"/>
    <w:rsid w:val="008F38BE"/>
    <w:rsid w:val="0091065D"/>
    <w:rsid w:val="00933E16"/>
    <w:rsid w:val="0095325F"/>
    <w:rsid w:val="0095420F"/>
    <w:rsid w:val="009750FF"/>
    <w:rsid w:val="00976555"/>
    <w:rsid w:val="009808BC"/>
    <w:rsid w:val="00994C53"/>
    <w:rsid w:val="009A16E5"/>
    <w:rsid w:val="009A3EA4"/>
    <w:rsid w:val="009C2129"/>
    <w:rsid w:val="009C3CB7"/>
    <w:rsid w:val="009C7F45"/>
    <w:rsid w:val="009D099F"/>
    <w:rsid w:val="00A172CE"/>
    <w:rsid w:val="00A179AE"/>
    <w:rsid w:val="00A23FD1"/>
    <w:rsid w:val="00A30F1C"/>
    <w:rsid w:val="00A46938"/>
    <w:rsid w:val="00A47252"/>
    <w:rsid w:val="00A5309D"/>
    <w:rsid w:val="00A547C5"/>
    <w:rsid w:val="00A56CAD"/>
    <w:rsid w:val="00A654A5"/>
    <w:rsid w:val="00A71983"/>
    <w:rsid w:val="00A7615C"/>
    <w:rsid w:val="00AB307C"/>
    <w:rsid w:val="00AB3148"/>
    <w:rsid w:val="00AD30F4"/>
    <w:rsid w:val="00AE7949"/>
    <w:rsid w:val="00AF115F"/>
    <w:rsid w:val="00B007AE"/>
    <w:rsid w:val="00B02D2E"/>
    <w:rsid w:val="00B02F85"/>
    <w:rsid w:val="00B1031A"/>
    <w:rsid w:val="00B1784E"/>
    <w:rsid w:val="00B2189B"/>
    <w:rsid w:val="00B33E7C"/>
    <w:rsid w:val="00B344FD"/>
    <w:rsid w:val="00B356F8"/>
    <w:rsid w:val="00B4230D"/>
    <w:rsid w:val="00B5155C"/>
    <w:rsid w:val="00B63C57"/>
    <w:rsid w:val="00B65A86"/>
    <w:rsid w:val="00B72BDC"/>
    <w:rsid w:val="00B76277"/>
    <w:rsid w:val="00B82E88"/>
    <w:rsid w:val="00B843C4"/>
    <w:rsid w:val="00BB06B5"/>
    <w:rsid w:val="00BC472B"/>
    <w:rsid w:val="00BE5310"/>
    <w:rsid w:val="00BF3078"/>
    <w:rsid w:val="00C10C6B"/>
    <w:rsid w:val="00C12EC8"/>
    <w:rsid w:val="00C13E34"/>
    <w:rsid w:val="00C16B3F"/>
    <w:rsid w:val="00C24BB9"/>
    <w:rsid w:val="00C2543F"/>
    <w:rsid w:val="00C34FC6"/>
    <w:rsid w:val="00C50037"/>
    <w:rsid w:val="00C528D0"/>
    <w:rsid w:val="00C54412"/>
    <w:rsid w:val="00C57F67"/>
    <w:rsid w:val="00C60807"/>
    <w:rsid w:val="00C61682"/>
    <w:rsid w:val="00C61B8B"/>
    <w:rsid w:val="00C77B09"/>
    <w:rsid w:val="00C8323B"/>
    <w:rsid w:val="00C847C7"/>
    <w:rsid w:val="00C867F9"/>
    <w:rsid w:val="00C87910"/>
    <w:rsid w:val="00C87C8A"/>
    <w:rsid w:val="00C909C5"/>
    <w:rsid w:val="00C95CDE"/>
    <w:rsid w:val="00CA11C1"/>
    <w:rsid w:val="00CA1A3A"/>
    <w:rsid w:val="00CA47C2"/>
    <w:rsid w:val="00CA6BAF"/>
    <w:rsid w:val="00CB3623"/>
    <w:rsid w:val="00CC4C97"/>
    <w:rsid w:val="00CD4982"/>
    <w:rsid w:val="00CE0A72"/>
    <w:rsid w:val="00CE5D3B"/>
    <w:rsid w:val="00D13B6F"/>
    <w:rsid w:val="00D30BC1"/>
    <w:rsid w:val="00D3615C"/>
    <w:rsid w:val="00D45ADE"/>
    <w:rsid w:val="00D521F9"/>
    <w:rsid w:val="00D663CA"/>
    <w:rsid w:val="00D726F8"/>
    <w:rsid w:val="00D73F62"/>
    <w:rsid w:val="00D75D35"/>
    <w:rsid w:val="00D85C7E"/>
    <w:rsid w:val="00D912E8"/>
    <w:rsid w:val="00D95F76"/>
    <w:rsid w:val="00D9732A"/>
    <w:rsid w:val="00DA4453"/>
    <w:rsid w:val="00DA5B56"/>
    <w:rsid w:val="00DB408D"/>
    <w:rsid w:val="00DC4A67"/>
    <w:rsid w:val="00DD27C9"/>
    <w:rsid w:val="00DD7311"/>
    <w:rsid w:val="00DE2A12"/>
    <w:rsid w:val="00E2548F"/>
    <w:rsid w:val="00E43AA2"/>
    <w:rsid w:val="00E538C0"/>
    <w:rsid w:val="00E53C2A"/>
    <w:rsid w:val="00E608FC"/>
    <w:rsid w:val="00E621B4"/>
    <w:rsid w:val="00E638C4"/>
    <w:rsid w:val="00E7434D"/>
    <w:rsid w:val="00E83082"/>
    <w:rsid w:val="00E920E9"/>
    <w:rsid w:val="00EB59C8"/>
    <w:rsid w:val="00EB59E3"/>
    <w:rsid w:val="00EC2E9C"/>
    <w:rsid w:val="00ED0B05"/>
    <w:rsid w:val="00ED0DC2"/>
    <w:rsid w:val="00ED1615"/>
    <w:rsid w:val="00ED4518"/>
    <w:rsid w:val="00EE64E6"/>
    <w:rsid w:val="00EF7707"/>
    <w:rsid w:val="00F04CCD"/>
    <w:rsid w:val="00F21C7F"/>
    <w:rsid w:val="00F22831"/>
    <w:rsid w:val="00F244D7"/>
    <w:rsid w:val="00F2597D"/>
    <w:rsid w:val="00F264A3"/>
    <w:rsid w:val="00F36EF9"/>
    <w:rsid w:val="00F42464"/>
    <w:rsid w:val="00F42D96"/>
    <w:rsid w:val="00F5316D"/>
    <w:rsid w:val="00F53619"/>
    <w:rsid w:val="00F62771"/>
    <w:rsid w:val="00F70047"/>
    <w:rsid w:val="00F70DE7"/>
    <w:rsid w:val="00F972A5"/>
    <w:rsid w:val="00FB3D81"/>
    <w:rsid w:val="00FB6C6D"/>
    <w:rsid w:val="00FB7C9F"/>
    <w:rsid w:val="00FC5453"/>
    <w:rsid w:val="00FC7E39"/>
    <w:rsid w:val="00FD02C3"/>
    <w:rsid w:val="00FD5C05"/>
    <w:rsid w:val="00FE08EF"/>
    <w:rsid w:val="00FE7C04"/>
    <w:rsid w:val="00FF1E3A"/>
    <w:rsid w:val="00FF7AB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358132D-E60B-4756-B68B-A9490EAD6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501A1"/>
    <w:pPr>
      <w:spacing w:after="0" w:line="240" w:lineRule="auto"/>
    </w:pPr>
    <w:rPr>
      <w:rFonts w:ascii="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3501A1"/>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3501A1"/>
    <w:pPr>
      <w:spacing w:after="200" w:line="276" w:lineRule="auto"/>
      <w:ind w:left="720"/>
      <w:contextualSpacing/>
    </w:pPr>
    <w:rPr>
      <w:rFonts w:asciiTheme="minorHAnsi" w:hAnsiTheme="minorHAnsi"/>
      <w:sz w:val="22"/>
      <w:szCs w:val="22"/>
      <w:lang w:eastAsia="en-US"/>
    </w:rPr>
  </w:style>
  <w:style w:type="paragraph" w:styleId="Textbubliny">
    <w:name w:val="Balloon Text"/>
    <w:basedOn w:val="Normlny"/>
    <w:link w:val="TextbublinyChar"/>
    <w:uiPriority w:val="99"/>
    <w:semiHidden/>
    <w:unhideWhenUsed/>
    <w:rsid w:val="003501A1"/>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3501A1"/>
    <w:rPr>
      <w:rFonts w:ascii="Tahoma" w:hAnsi="Tahoma" w:cs="Tahoma"/>
      <w:sz w:val="16"/>
      <w:szCs w:val="16"/>
      <w:lang w:eastAsia="sk-SK"/>
    </w:rPr>
  </w:style>
  <w:style w:type="paragraph" w:styleId="Hlavika">
    <w:name w:val="header"/>
    <w:basedOn w:val="Normlny"/>
    <w:link w:val="HlavikaChar"/>
    <w:uiPriority w:val="99"/>
    <w:unhideWhenUsed/>
    <w:rsid w:val="003501A1"/>
    <w:pPr>
      <w:tabs>
        <w:tab w:val="center" w:pos="4536"/>
        <w:tab w:val="right" w:pos="9072"/>
      </w:tabs>
    </w:pPr>
  </w:style>
  <w:style w:type="character" w:customStyle="1" w:styleId="HlavikaChar">
    <w:name w:val="Hlavička Char"/>
    <w:basedOn w:val="Predvolenpsmoodseku"/>
    <w:link w:val="Hlavika"/>
    <w:uiPriority w:val="99"/>
    <w:locked/>
    <w:rsid w:val="003501A1"/>
    <w:rPr>
      <w:rFonts w:ascii="Times New Roman" w:hAnsi="Times New Roman" w:cs="Times New Roman"/>
      <w:sz w:val="20"/>
      <w:szCs w:val="20"/>
      <w:lang w:eastAsia="sk-SK"/>
    </w:rPr>
  </w:style>
  <w:style w:type="paragraph" w:styleId="Pta">
    <w:name w:val="footer"/>
    <w:basedOn w:val="Normlny"/>
    <w:link w:val="PtaChar"/>
    <w:uiPriority w:val="99"/>
    <w:unhideWhenUsed/>
    <w:rsid w:val="003501A1"/>
    <w:pPr>
      <w:tabs>
        <w:tab w:val="center" w:pos="4536"/>
        <w:tab w:val="right" w:pos="9072"/>
      </w:tabs>
    </w:pPr>
  </w:style>
  <w:style w:type="character" w:customStyle="1" w:styleId="PtaChar">
    <w:name w:val="Päta Char"/>
    <w:basedOn w:val="Predvolenpsmoodseku"/>
    <w:link w:val="Pta"/>
    <w:uiPriority w:val="99"/>
    <w:locked/>
    <w:rsid w:val="003501A1"/>
    <w:rPr>
      <w:rFonts w:ascii="Times New Roman" w:hAnsi="Times New Roman" w:cs="Times New Roman"/>
      <w:sz w:val="20"/>
      <w:szCs w:val="20"/>
      <w:lang w:eastAsia="sk-SK"/>
    </w:rPr>
  </w:style>
  <w:style w:type="paragraph" w:styleId="Textpoznmkypodiarou">
    <w:name w:val="footnote text"/>
    <w:basedOn w:val="Normlny"/>
    <w:link w:val="TextpoznmkypodiarouChar"/>
    <w:uiPriority w:val="99"/>
    <w:semiHidden/>
    <w:unhideWhenUsed/>
    <w:rsid w:val="00F22831"/>
  </w:style>
  <w:style w:type="character" w:customStyle="1" w:styleId="TextpoznmkypodiarouChar">
    <w:name w:val="Text poznámky pod čiarou Char"/>
    <w:basedOn w:val="Predvolenpsmoodseku"/>
    <w:link w:val="Textpoznmkypodiarou"/>
    <w:uiPriority w:val="99"/>
    <w:semiHidden/>
    <w:locked/>
    <w:rsid w:val="00F22831"/>
    <w:rPr>
      <w:rFonts w:ascii="Times New Roman" w:hAnsi="Times New Roman" w:cs="Times New Roman"/>
      <w:sz w:val="20"/>
      <w:szCs w:val="20"/>
      <w:lang w:eastAsia="sk-SK"/>
    </w:rPr>
  </w:style>
  <w:style w:type="character" w:styleId="Odkaznapoznmkupodiarou">
    <w:name w:val="footnote reference"/>
    <w:basedOn w:val="Predvolenpsmoodseku"/>
    <w:uiPriority w:val="99"/>
    <w:semiHidden/>
    <w:unhideWhenUsed/>
    <w:rsid w:val="00F22831"/>
    <w:rPr>
      <w:rFonts w:cs="Times New Roman"/>
      <w:vertAlign w:val="superscript"/>
    </w:rPr>
  </w:style>
  <w:style w:type="character" w:styleId="Odkaznakomentr">
    <w:name w:val="annotation reference"/>
    <w:basedOn w:val="Predvolenpsmoodseku"/>
    <w:uiPriority w:val="99"/>
    <w:semiHidden/>
    <w:unhideWhenUsed/>
    <w:rsid w:val="00175FD8"/>
    <w:rPr>
      <w:rFonts w:cs="Times New Roman"/>
      <w:sz w:val="16"/>
      <w:szCs w:val="16"/>
    </w:rPr>
  </w:style>
  <w:style w:type="paragraph" w:styleId="Textkomentra">
    <w:name w:val="annotation text"/>
    <w:basedOn w:val="Normlny"/>
    <w:link w:val="TextkomentraChar"/>
    <w:uiPriority w:val="99"/>
    <w:semiHidden/>
    <w:unhideWhenUsed/>
    <w:rsid w:val="00175FD8"/>
  </w:style>
  <w:style w:type="character" w:customStyle="1" w:styleId="TextkomentraChar">
    <w:name w:val="Text komentára Char"/>
    <w:basedOn w:val="Predvolenpsmoodseku"/>
    <w:link w:val="Textkomentra"/>
    <w:uiPriority w:val="99"/>
    <w:semiHidden/>
    <w:locked/>
    <w:rsid w:val="00175FD8"/>
    <w:rPr>
      <w:rFonts w:ascii="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175FD8"/>
    <w:rPr>
      <w:b/>
      <w:bCs/>
    </w:rPr>
  </w:style>
  <w:style w:type="character" w:customStyle="1" w:styleId="PredmetkomentraChar">
    <w:name w:val="Predmet komentára Char"/>
    <w:basedOn w:val="TextkomentraChar"/>
    <w:link w:val="Predmetkomentra"/>
    <w:uiPriority w:val="99"/>
    <w:semiHidden/>
    <w:locked/>
    <w:rsid w:val="00175FD8"/>
    <w:rPr>
      <w:rFonts w:ascii="Times New Roman" w:hAnsi="Times New Roman" w:cs="Times New Roman"/>
      <w:b/>
      <w:bCs/>
      <w:sz w:val="20"/>
      <w:szCs w:val="20"/>
      <w:lang w:eastAsia="sk-SK"/>
    </w:rPr>
  </w:style>
  <w:style w:type="character" w:styleId="Zstupntext">
    <w:name w:val="Placeholder Text"/>
    <w:basedOn w:val="Predvolenpsmoodseku"/>
    <w:uiPriority w:val="99"/>
    <w:semiHidden/>
    <w:rsid w:val="00564FFB"/>
    <w:rPr>
      <w:rFonts w:ascii="Times New Roman" w:hAnsi="Times New Roman" w:cs="Times New Roman"/>
      <w:color w:val="808080"/>
    </w:rPr>
  </w:style>
  <w:style w:type="character" w:styleId="slostrany">
    <w:name w:val="page number"/>
    <w:basedOn w:val="Predvolenpsmoodseku"/>
    <w:uiPriority w:val="99"/>
    <w:rsid w:val="008D26F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074268">
      <w:marLeft w:val="0"/>
      <w:marRight w:val="0"/>
      <w:marTop w:val="0"/>
      <w:marBottom w:val="0"/>
      <w:divBdr>
        <w:top w:val="none" w:sz="0" w:space="0" w:color="auto"/>
        <w:left w:val="none" w:sz="0" w:space="0" w:color="auto"/>
        <w:bottom w:val="none" w:sz="0" w:space="0" w:color="auto"/>
        <w:right w:val="none" w:sz="0" w:space="0" w:color="auto"/>
      </w:divBdr>
      <w:divsChild>
        <w:div w:id="368074265">
          <w:marLeft w:val="0"/>
          <w:marRight w:val="0"/>
          <w:marTop w:val="0"/>
          <w:marBottom w:val="0"/>
          <w:divBdr>
            <w:top w:val="none" w:sz="0" w:space="0" w:color="auto"/>
            <w:left w:val="none" w:sz="0" w:space="0" w:color="auto"/>
            <w:bottom w:val="none" w:sz="0" w:space="0" w:color="auto"/>
            <w:right w:val="none" w:sz="0" w:space="0" w:color="auto"/>
          </w:divBdr>
        </w:div>
        <w:div w:id="368074266">
          <w:marLeft w:val="0"/>
          <w:marRight w:val="0"/>
          <w:marTop w:val="0"/>
          <w:marBottom w:val="0"/>
          <w:divBdr>
            <w:top w:val="none" w:sz="0" w:space="0" w:color="auto"/>
            <w:left w:val="none" w:sz="0" w:space="0" w:color="auto"/>
            <w:bottom w:val="none" w:sz="0" w:space="0" w:color="auto"/>
            <w:right w:val="none" w:sz="0" w:space="0" w:color="auto"/>
          </w:divBdr>
        </w:div>
        <w:div w:id="368074267">
          <w:marLeft w:val="0"/>
          <w:marRight w:val="0"/>
          <w:marTop w:val="0"/>
          <w:marBottom w:val="0"/>
          <w:divBdr>
            <w:top w:val="none" w:sz="0" w:space="0" w:color="auto"/>
            <w:left w:val="none" w:sz="0" w:space="0" w:color="auto"/>
            <w:bottom w:val="none" w:sz="0" w:space="0" w:color="auto"/>
            <w:right w:val="none" w:sz="0" w:space="0" w:color="auto"/>
          </w:divBdr>
        </w:div>
        <w:div w:id="368074269">
          <w:marLeft w:val="0"/>
          <w:marRight w:val="0"/>
          <w:marTop w:val="0"/>
          <w:marBottom w:val="0"/>
          <w:divBdr>
            <w:top w:val="none" w:sz="0" w:space="0" w:color="auto"/>
            <w:left w:val="none" w:sz="0" w:space="0" w:color="auto"/>
            <w:bottom w:val="none" w:sz="0" w:space="0" w:color="auto"/>
            <w:right w:val="none" w:sz="0" w:space="0" w:color="auto"/>
          </w:divBdr>
        </w:div>
        <w:div w:id="368074270">
          <w:marLeft w:val="0"/>
          <w:marRight w:val="0"/>
          <w:marTop w:val="0"/>
          <w:marBottom w:val="0"/>
          <w:divBdr>
            <w:top w:val="none" w:sz="0" w:space="0" w:color="auto"/>
            <w:left w:val="none" w:sz="0" w:space="0" w:color="auto"/>
            <w:bottom w:val="none" w:sz="0" w:space="0" w:color="auto"/>
            <w:right w:val="none" w:sz="0" w:space="0" w:color="auto"/>
          </w:divBdr>
        </w:div>
        <w:div w:id="368074272">
          <w:marLeft w:val="0"/>
          <w:marRight w:val="0"/>
          <w:marTop w:val="0"/>
          <w:marBottom w:val="0"/>
          <w:divBdr>
            <w:top w:val="none" w:sz="0" w:space="0" w:color="auto"/>
            <w:left w:val="none" w:sz="0" w:space="0" w:color="auto"/>
            <w:bottom w:val="none" w:sz="0" w:space="0" w:color="auto"/>
            <w:right w:val="none" w:sz="0" w:space="0" w:color="auto"/>
          </w:divBdr>
        </w:div>
        <w:div w:id="368074273">
          <w:marLeft w:val="0"/>
          <w:marRight w:val="0"/>
          <w:marTop w:val="0"/>
          <w:marBottom w:val="0"/>
          <w:divBdr>
            <w:top w:val="none" w:sz="0" w:space="0" w:color="auto"/>
            <w:left w:val="none" w:sz="0" w:space="0" w:color="auto"/>
            <w:bottom w:val="none" w:sz="0" w:space="0" w:color="auto"/>
            <w:right w:val="none" w:sz="0" w:space="0" w:color="auto"/>
          </w:divBdr>
        </w:div>
        <w:div w:id="368074274">
          <w:marLeft w:val="0"/>
          <w:marRight w:val="0"/>
          <w:marTop w:val="0"/>
          <w:marBottom w:val="0"/>
          <w:divBdr>
            <w:top w:val="none" w:sz="0" w:space="0" w:color="auto"/>
            <w:left w:val="none" w:sz="0" w:space="0" w:color="auto"/>
            <w:bottom w:val="none" w:sz="0" w:space="0" w:color="auto"/>
            <w:right w:val="none" w:sz="0" w:space="0" w:color="auto"/>
          </w:divBdr>
        </w:div>
        <w:div w:id="368074278">
          <w:marLeft w:val="0"/>
          <w:marRight w:val="0"/>
          <w:marTop w:val="0"/>
          <w:marBottom w:val="0"/>
          <w:divBdr>
            <w:top w:val="none" w:sz="0" w:space="0" w:color="auto"/>
            <w:left w:val="none" w:sz="0" w:space="0" w:color="auto"/>
            <w:bottom w:val="none" w:sz="0" w:space="0" w:color="auto"/>
            <w:right w:val="none" w:sz="0" w:space="0" w:color="auto"/>
          </w:divBdr>
        </w:div>
      </w:divsChild>
    </w:div>
    <w:div w:id="368074271">
      <w:marLeft w:val="0"/>
      <w:marRight w:val="0"/>
      <w:marTop w:val="0"/>
      <w:marBottom w:val="0"/>
      <w:divBdr>
        <w:top w:val="none" w:sz="0" w:space="0" w:color="auto"/>
        <w:left w:val="none" w:sz="0" w:space="0" w:color="auto"/>
        <w:bottom w:val="none" w:sz="0" w:space="0" w:color="auto"/>
        <w:right w:val="none" w:sz="0" w:space="0" w:color="auto"/>
      </w:divBdr>
    </w:div>
    <w:div w:id="368074275">
      <w:marLeft w:val="0"/>
      <w:marRight w:val="0"/>
      <w:marTop w:val="0"/>
      <w:marBottom w:val="0"/>
      <w:divBdr>
        <w:top w:val="none" w:sz="0" w:space="0" w:color="auto"/>
        <w:left w:val="none" w:sz="0" w:space="0" w:color="auto"/>
        <w:bottom w:val="none" w:sz="0" w:space="0" w:color="auto"/>
        <w:right w:val="none" w:sz="0" w:space="0" w:color="auto"/>
      </w:divBdr>
    </w:div>
    <w:div w:id="368074276">
      <w:marLeft w:val="0"/>
      <w:marRight w:val="0"/>
      <w:marTop w:val="0"/>
      <w:marBottom w:val="0"/>
      <w:divBdr>
        <w:top w:val="none" w:sz="0" w:space="0" w:color="auto"/>
        <w:left w:val="none" w:sz="0" w:space="0" w:color="auto"/>
        <w:bottom w:val="none" w:sz="0" w:space="0" w:color="auto"/>
        <w:right w:val="none" w:sz="0" w:space="0" w:color="auto"/>
      </w:divBdr>
    </w:div>
    <w:div w:id="36807427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f:fields xmlns:f="http://schemas.fabasoft.com/folio/2007/fields">
  <f:record ref="">
    <f:field ref="objname" par="" edit="true" text="Analýza-sociálnych-vplyvov"/>
    <f:field ref="objsubject" par="" edit="true" text=""/>
    <f:field ref="objcreatedby" par="" text="Mazancová, Tatiana, JUDr."/>
    <f:field ref="objcreatedat" par="" text="5.5.2020 14:12:05"/>
    <f:field ref="objchangedby" par="" text="Administrator, System"/>
    <f:field ref="objmodifiedat" par="" text="5.5.2020 14:12:06"/>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32110-7120-4667-95FE-8919F2D08C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3531976-CFA9-4D35-91D2-797B3B166A5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8A9591-F074-446B-902F-511FF79C122F}">
  <ds:schemaRefs>
    <ds:schemaRef ds:uri="http://schemas.fabasoft.com/folio/2007/fields"/>
  </ds:schemaRefs>
</ds:datastoreItem>
</file>

<file path=customXml/itemProps4.xml><?xml version="1.0" encoding="utf-8"?>
<ds:datastoreItem xmlns:ds="http://schemas.openxmlformats.org/officeDocument/2006/customXml" ds:itemID="{CE424BB8-EC4C-42A0-84F1-4D12D980B6D3}">
  <ds:schemaRefs>
    <ds:schemaRef ds:uri="http://schemas.microsoft.com/sharepoint/v3/contenttype/forms"/>
  </ds:schemaRefs>
</ds:datastoreItem>
</file>

<file path=customXml/itemProps5.xml><?xml version="1.0" encoding="utf-8"?>
<ds:datastoreItem xmlns:ds="http://schemas.openxmlformats.org/officeDocument/2006/customXml" ds:itemID="{FF5655A8-C647-4AAD-A191-3F2A82C21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TotalTime>
  <Pages>5</Pages>
  <Words>1838</Words>
  <Characters>10477</Characters>
  <Application>Microsoft Office Word</Application>
  <DocSecurity>0</DocSecurity>
  <Lines>87</Lines>
  <Paragraphs>24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Simoncicova Iveta</dc:creator>
  <cp:keywords/>
  <dc:description/>
  <cp:lastModifiedBy>Monika Zámečníková</cp:lastModifiedBy>
  <cp:revision>12</cp:revision>
  <cp:lastPrinted>2017-10-10T08:43:00Z</cp:lastPrinted>
  <dcterms:created xsi:type="dcterms:W3CDTF">2019-03-12T12:03:00Z</dcterms:created>
  <dcterms:modified xsi:type="dcterms:W3CDTF">2020-02-25T08:34:00Z</dcterms:modified>
</cp:coreProperties>
</file>

<file path=docProps/custom.xml><?xml version="1.0" encoding="utf-8"?>
<Properties xmlns="http://schemas.openxmlformats.org/officeDocument/2006/custom-properties" xmlns:vt="http://schemas.openxmlformats.org/officeDocument/2006/docPropsVTypes">
  <property name="FSC#SKEDITIONSLOVLEX@103.510:spravaucastverej" pid="2" fmtid="{D5CDD505-2E9C-101B-9397-08002B2CF9AE}">
    <vt:lpwstr>&lt;p align="center"&gt;&lt;strong&gt;Návrh nariadenia vlády Slovenskej republiky, ktorým sa mení a dopĺňa nariadenie vlády Slovenskej republiky č. 355/2006 Z. z. o ochrane zamestnancov pred rizikami súvisiacimi s expozíciou chemickým faktorom pri práci v znení neskorších predpisov &lt;/strong&gt;&lt;/p&gt;&lt;p&gt;&amp;nbsp;&lt;/p&gt;&lt;table border="1" cellpadding="0" cellspacing="0" style="width:0px;" width="0"&gt;_x0009_&lt;tbody&gt;_x0009__x0009_&lt;tr&gt;_x0009__x0009__x0009_&lt;td colspan="5" style="width:671px;height:16px;"&gt;_x0009__x0009__x0009_&lt;p&gt;&amp;nbsp;&lt;/p&gt;_x0009__x0009__x0009_&lt;p align="center"&gt;&lt;strong&gt;Správa o účasti verejnosti na tvorbe právneho predpisu&lt;/strong&gt;&lt;/p&gt;_x0009__x0009__x0009_&lt;p&gt;&lt;strong&gt;Scenár 1: Verejnosť je informovaná o tvorbe právneho predpisu &lt;/strong&gt;&lt;/p&gt;_x0009__x0009__x0009_&lt;/td&gt;_x0009__x0009_&lt;/tr&gt;_x0009__x0009_&lt;tr&gt;_x0009__x0009__x0009_&lt;td style="width:102px;height:5px;"&gt;_x0009__x0009__x0009_&lt;p&gt;&lt;strong&gt;Fáza procesu &lt;/strong&gt;&lt;/p&gt;_x0009__x0009__x0009_&lt;/td&gt;_x0009__x0009__x0009_&lt;td style="width:142px;height:5px;"&gt;_x0009__x0009__x0009_&lt;p&gt;&lt;strong&gt;Subfáza&lt;/strong&gt;&lt;/p&gt;_x0009__x0009__x0009_&lt;/td&gt;_x0009__x0009__x0009_&lt;td style="width:312px;height:5px;"&gt;_x0009__x0009__x0009_&lt;p&gt;&lt;strong&gt;Kontrolná otázka &lt;/strong&gt;&lt;/p&gt;_x0009__x0009__x0009_&lt;/td&gt;_x0009__x0009__x0009_&lt;td style="width:59px;height:5px;"&gt;_x0009__x0009__x0009_&lt;p align="center"&gt;&lt;strong&gt;Á&lt;/strong&gt;&lt;/p&gt;_x0009__x0009__x0009_&lt;/td&gt;_x0009__x0009__x0009_&lt;td style="width:57px;height:5px;"&gt;_x0009__x0009__x0009_&lt;p align="center"&gt;&lt;strong&gt;N&lt;/strong&gt;&lt;/p&gt;_x0009__x0009__x0009_&lt;/td&gt;_x0009__x0009_&lt;/tr&gt;_x0009__x0009_&lt;tr&gt;_x0009__x0009__x0009_&lt;td rowspan="2" style="width:102px;height:27px;"&gt;_x0009__x0009__x0009_&lt;p&gt;&lt;strong&gt;1. Príprava tvorby právneho predpisu &lt;/strong&gt;&lt;/p&gt;_x0009__x0009__x0009_&lt;/td&gt;_x0009__x0009__x0009_&lt;td style="width:142px;height:27px;"&gt;_x0009__x0009__x0009_&lt;p&gt;1.1 Identifikácia cieľa&lt;/p&gt;_x0009__x0009__x0009_&lt;/td&gt;_x0009__x0009__x0009_&lt;td style="width:312px;height:27px;"&gt;_x0009__x0009__x0009_&lt;p&gt;Bol zadefinovaný cieľ účasti verejnosti na tvorbe právneho predpisu?&lt;sup&gt;1)&lt;/sup&gt;&lt;/p&gt;_x0009__x0009__x0009_&lt;/td&gt;_x0009__x0009__x0009_&lt;td style="width:59px;height:27px;"&gt;_x0009__x0009__x0009_&lt;p align="center" style="margin-left:-2.55pt;"&gt;☒&lt;/p&gt;_x0009__x0009__x0009_&lt;/td&gt;_x0009__x0009__x0009_&lt;td style="width:57px;height:27px;"&gt;_x0009__x0009__x0009_&lt;p align="center" style="margin-left:-2.55pt;"&gt;☐&lt;/p&gt;_x0009__x0009__x0009_&lt;/td&gt;_x0009__x0009_&lt;/tr&gt;_x0009__x0009_&lt;tr&gt;_x0009__x0009__x0009_&lt;td style="width:142px;height:14px;"&gt;_x0009__x0009__x0009_&lt;p&gt;1.2 Identifikácia problému a alternatív&lt;/p&gt;_x0009__x0009__x0009_&lt;/td&gt;_x0009__x0009__x0009_&lt;td style="width:312px;height:14px;"&gt;_x0009__x0009__x0009_&lt;p&gt;Bola vykonaná identifikácia problému a alternatív riešení?&lt;sup&gt;2)&lt;/sup&gt;&lt;/p&gt;_x0009__x0009__x0009_&lt;/td&gt;_x0009__x0009__x0009_&lt;td style="width:59px;height:14px;"&gt;_x0009__x0009__x0009_&lt;p align="center" style="margin-left:-2.55pt;"&gt;☒&lt;/p&gt;_x0009__x0009__x0009_&lt;/td&gt;_x0009__x0009__x0009_&lt;td style="width:57px;height:14px;"&gt;_x0009__x0009__x0009_&lt;p align="center" style="margin-left:-2.55pt;"&gt;☐&lt;/p&gt;_x0009__x0009__x0009_&lt;/td&gt;_x0009__x0009_&lt;/tr&gt;_x0009__x0009_&lt;tr&gt;_x0009__x0009__x0009_&lt;td rowspan="9" style="width:102px;"&gt;_x0009__x0009__x0009_&lt;p&gt;&lt;strong&gt;2. Informova-nie verejnosti o&amp;nbsp;tvorbe právneho predpisu &lt;/strong&gt;&lt;/p&gt;_x0009__x0009__x0009_&lt;/td&gt;_x0009__x0009__x0009_&lt;td rowspan="3" style="width:142px;"&gt;_x0009__x0009__x0009_&lt;p&gt;2.1 Rozsah informácií&lt;/p&gt;_x0009__x0009__x0009_&lt;/td&gt;_x0009__x0009__x0009_&lt;td style="width:312px;"&gt;_x0009__x0009__x0009_&lt;p&gt;Boli verejnosti poskytnuté informácie o probléme, ktorý má predmetný právny predpis riešiť?&lt;/p&gt;_x0009__x0009__x0009_&lt;/td&gt;_x0009__x0009__x0009_&lt;td style="width:59px;"&gt;_x0009__x0009__x0009_&lt;p align="center" style="margin-left:-2.55pt;"&gt;☒&lt;/p&gt;_x0009__x0009__x0009_&lt;/td&gt;_x0009__x0009__x0009_&lt;td style="width:57px;"&gt;_x0009__x0009__x0009_&lt;p align="center" style="margin-left:-2.55pt;"&gt;☐&lt;/p&gt;_x0009__x0009__x0009_&lt;/td&gt;_x0009__x0009_&lt;/tr&gt;_x0009__x0009_&lt;tr&gt;_x0009__x0009__x0009_&lt;td style="width:312px;height:21px;"&gt;_x0009__x0009__x0009_&lt;p&gt;Boli verejnosti poskytnuté informácie o cieli účasti verejnosti na tvorbe právneho predpisu spolu s&amp;nbsp;časovým rámcom jeho tvorby?&lt;/p&gt;_x0009__x0009__x0009_&lt;/td&gt;_x0009__x0009__x0009_&lt;td style="width:59px;height:21px;"&gt;_x0009__x0009__x0009_&lt;p align="center" style="margin-left:-2.55pt;"&gt;☒&lt;/p&gt;_x0009__x0009__x0009_&lt;/td&gt;_x0009__x0009__x0009_&lt;td style="width:57px;height:21px;"&gt;_x0009__x0009__x0009_&lt;p align="center" style="margin-left:-2.55pt;"&gt;☐&lt;/p&gt;_x0009__x0009__x0009_&lt;/td&gt;_x0009__x0009_&lt;/tr&gt;_x0009__x0009_&lt;tr&gt;_x0009__x0009__x0009_&lt;td style="width:312px;height:14px;"&gt;_x0009__x0009__x0009_&lt;p&gt;Boli verejnosti poskytnuté informácie o plánovanom procese tvorby právneho predpisu?&lt;/p&gt;_x0009__x0009__x0009_&lt;/td&gt;_x0009__x0009__x0009_&lt;td style="width:59px;height:14px;"&gt;_x0009__x0009__x0009_&lt;p align="center" style="margin-left:-2.55pt;"&gt;☒&lt;/p&gt;_x0009__x0009__x0009_&lt;/td&gt;_x0009__x0009__x0009_&lt;td style="width:57px;height:14px;"&gt;_x0009__x0009__x0009_&lt;p align="center" style="margin-left:-2.55pt;"&gt;☐&lt;/p&gt;_x0009__x0009__x0009_&lt;/td&gt;_x0009__x0009_&lt;/tr&gt;_x0009__x0009_&lt;tr&gt;_x0009__x0009__x0009_&lt;td rowspan="3" style="width:142px;height:33px;"&gt;_x0009__x0009__x0009_&lt;p&gt;2.2 Kontinuita informovania&lt;/p&gt;_x0009__x0009__x0009_&lt;/td&gt;_x0009__x0009__x0009_&lt;td style="width:312px;height:33px;"&gt;_x0009__x0009__x0009_&lt;p&gt;Boli verejnosti poskytnuté relevantné informácie pred začatím tvorby právneho predpisu?&lt;/p&gt;_x0009__x0009__x0009_&lt;/td&gt;_x0009__x0009__x0009_&lt;td style="width:59px;height:33px;"&gt;_x0009__x0009__x0009_&lt;p align="center" style="margin-left:-2.55pt;"&gt;☒&lt;/p&gt;_x0009__x0009__x0009_&lt;/td&gt;_x0009__x0009__x0009_&lt;td style="width:57px;height:33px;"&gt;_x0009__x0009__x0009_&lt;p align="center" style="margin-left:-2.55pt;"&gt;☐&lt;/p&gt;_x0009__x0009__x0009_&lt;/td&gt;_x0009__x0009_&lt;/tr&gt;_x0009__x0009_&lt;tr&gt;_x0009__x0009__x0009_&lt;td style="width:312px;height:14px;"&gt;_x0009__x0009__x0009_&lt;p&gt;Boli verejnosti poskytnuté relevantné informácie počas tvorby právneho predpisu?&lt;/p&gt;_x0009__x0009__x0009_&lt;/td&gt;_x0009__x0009__x0009_&lt;td style="width:59px;height:14px;"&gt;_x0009__x0009__x0009_&lt;p align="center" style="margin-left:-2.55pt;"&gt;☒&lt;/p&gt;_x0009__x0009__x0009_&lt;/td&gt;_x0009__x0009__x0009_&lt;td style="width:57px;height:14px;"&gt;_x0009__x0009__x0009_&lt;p align="center" style="margin-left:-2.55pt;"&gt;☐&lt;/p&gt;_x0009__x0009__x0009_&lt;/td&gt;_x0009__x0009_&lt;/tr&gt;_x0009__x0009_&lt;tr&gt;_x0009__x0009__x0009_&lt;td style="width:312px;height:14px;"&gt;_x0009__x0009__x0009_&lt;p&gt;Boli verejnosti poskytnuté relevantné informácie aj po ukončení tvorby právneho predpisu?&lt;/p&gt;_x0009__x0009__x0009_&lt;/td&gt;_x0009__x0009__x0009_&lt;td style="width:59px;height:14px;"&gt;_x0009__x0009__x0009_&lt;p align="center" style="margin-left:-2.55pt;"&gt;☒&lt;/p&gt;_x0009__x0009__x0009_&lt;/td&gt;_x0009__x0009__x0009_&lt;td style="width:57px;height:14px;"&gt;_x0009__x0009__x0009_&lt;p align="center" style="margin-left:-2.55pt;"&gt;☐&lt;/p&gt;_x0009__x0009__x0009_&lt;/td&gt;_x0009__x0009_&lt;/tr&gt;_x0009__x0009_&lt;tr&gt;_x0009__x0009__x0009_&lt;td rowspan="2" style="width:142px;height:25px;"&gt;_x0009__x0009__x0009_&lt;p&gt;2.3 Kvalita a včasnosť informácií&lt;/p&gt;_x0009__x0009__x0009_&lt;/td&gt;_x0009__x0009__x0009_&lt;td style="width:312px;height:25px;"&gt;_x0009__x0009__x0009_&lt;p&gt;Boli relevantné informácie o tvorbe právneho predpisu verejnosti poskytnuté včas?&lt;/p&gt;_x0009__x0009__x0009_&lt;/td&gt;_x0009__x0009__x0009_&lt;td style="width:59px;height:25px;"&gt;_x0009__x0009__x0009_&lt;p align="center" style="margin-left:-2.55pt;"&gt;☒&lt;/p&gt;_x0009__x0009__x0009_&lt;/td&gt;_x0009__x0009__x0009_&lt;td style="width:57px;height:25px;"&gt;_x0009__x0009__x0009_&lt;p align="center" style="margin-left:-2.55pt;"&gt;☐&lt;/p&gt;_x0009__x0009__x0009_&lt;/td&gt;_x0009__x0009_&lt;/tr&gt;_x0009__x0009_&lt;tr&gt;_x0009__x0009__x0009_&lt;td style="width:312px;height:21px;"&gt;_x0009__x0009__x0009_&lt;p&gt;Boli relevantné informácie o tvorbe právneho predpisu a o samotnom právnom predpise poskytnuté vo vyhovujúcej technickej kvalite?&lt;sup&gt;3)&lt;/sup&gt;&lt;/p&gt;_x0009__x0009__x0009_&lt;/td&gt;_x0009__x0009__x0009_&lt;td style="width:59px;height:21px;"&gt;_x0009__x0009__x0009_&lt;p align="center" style="margin-left:-2.55pt;"&gt;☒&lt;/p&gt;_x0009__x0009__x0009_&lt;/td&gt;_x0009__x0009__x0009_&lt;td style="width:57px;height:21px;"&gt;_x0009__x0009__x0009_&lt;p align="center" style="margin-left:-2.55pt;"&gt;☐&lt;/p&gt;_x0009__x0009__x0009_&lt;/td&gt;_x0009__x0009_&lt;/tr&gt;_x0009__x0009_&lt;tr&gt;_x0009__x0009__x0009_&lt;td style="width:142px;height:21px;"&gt;_x0009__x0009__x0009_&lt;p&gt;2.4 Adresnosť informácií&lt;/p&gt;_x0009__x0009__x0009_&lt;/td&gt;_x0009__x0009__x0009_&lt;td style="width:312px;height:21px;"&gt;_x0009__x0009__x0009_&lt;p&gt;Boli zvolené komunikačné kanály dostatočné vzhľadom na prenos relevantných informácií o&amp;nbsp;právnom predpise smerom k verejnosti?&lt;/p&gt;_x0009__x0009__x0009_&lt;/td&gt;_x0009__x0009__x0009_&lt;td style="width:59px;height:21px;"&gt;_x0009__x0009__x0009_&lt;p align="center" style="margin-left:-2.55pt;"&gt;☒&lt;/p&gt;_x0009__x0009__x0009_&lt;/td&gt;_x0009__x0009__x0009_&lt;td style="width:57px;height:21px;"&gt;_x0009__x0009__x0009_&lt;p align="center" style="margin-left:-2.55pt;"&gt;☐&lt;/p&gt;_x0009__x0009__x0009_&lt;/td&gt;_x0009__x0009_&lt;/tr&gt;_x0009__x0009_&lt;tr&gt;_x0009__x0009__x0009_&lt;td rowspan="3" style="width:102px;"&gt;_x0009__x0009__x0009_&lt;p&gt;&lt;strong&gt;3. Vyhodnote-nie procesu tvorby právneho predpisu &lt;/strong&gt;&lt;/p&gt;_x0009__x0009__x0009_&lt;/td&gt;_x0009__x0009__x0009_&lt;td rowspan="3" style="width:142px;"&gt;_x0009__x0009__x0009_&lt;p&gt;3.1 Hodnotenie procesu&lt;/p&gt;_x0009__x0009__x0009_&lt;/td&gt;_x0009__x0009__x0009_&lt;td style="width:312px;"&gt;_x0009__x0009__x0009_&lt;p&gt;Bolo vykonané hodnotenie procesu tvorby právneho predpisu?&lt;/p&gt;_x0009__x0009__x0009_&lt;/td&gt;_x0009__x0009__x0009_&lt;td style="width:59px;"&gt;_x0009__x0009__x0009_&lt;p align="center" style="margin-left:-2.55pt;"&gt;☐&lt;/p&gt;_x0009__x0009__x0009_&lt;/td&gt;_x0009__x0009__x0009_&lt;td style="width:57px;"&gt;_x0009__x0009__x0009_&lt;p align="center" style="margin-left:-2.55pt;"&gt;☒&lt;/p&gt;_x0009__x0009__x0009_&lt;/td&gt;_x0009__x0009_&lt;/tr&gt;_x0009__x0009_&lt;tr&gt;_x0009__x0009__x0009_&lt;td style="width:312px;height:14px;"&gt;_x0009__x0009__x0009_&lt;p&gt;Bola zverejnená hodnotiaca správa procesu tvorby právneho predpisu?&lt;sup&gt;4)&lt;/sup&gt;&lt;/p&gt;_x0009__x0009__x0009_&lt;/td&gt;_x0009__x0009__x0009_&lt;td style="width:59px;height:14px;"&gt;_x0009__x0009__x0009_&lt;p align="center" style="margin-left:-2.55pt;"&gt;☐&lt;/p&gt;_x0009__x0009__x0009_&lt;/td&gt;_x0009__x0009__x0009_&lt;td style="width:57px;height:14px;"&gt;_x0009__x0009__x0009_&lt;p align="center" style="margin-left:-2.55pt;"&gt;☒&lt;/p&gt;_x0009__x0009__x0009_&lt;/td&gt;_x0009__x0009_&lt;/tr&gt;_x0009__x0009_&lt;tr&gt;_x0009__x0009__x0009_&lt;td style="width:312px;height:14px;"&gt;_x0009__x0009__x0009_&lt;p&gt;Bol splnený cieľ účasti verejnosti na tvorbe právneho predpisu?&lt;/p&gt;_x0009__x0009__x0009_&lt;/td&gt;_x0009__x0009__x0009_&lt;td style="width:59px;height:14px;"&gt;_x0009__x0009__x0009_&lt;p align="center" style="margin-left:-2.55pt;"&gt;☒&lt;/p&gt;_x0009__x0009__x0009_&lt;/td&gt;_x0009__x0009__x0009_&lt;td style="width:57px;height:14px;"&gt;_x0009__x0009__x0009_&lt;p align="center" style="margin-left:-2.55pt;"&gt;☐&lt;/p&gt;_x0009__x0009__x0009_&lt;/td&gt;_x0009__x0009_&lt;/tr&gt;_x0009_&lt;/tbody&gt;&lt;/table&gt;&lt;p&gt;&amp;nbsp;&lt;strong&gt;Vysvetlivky: &lt;/strong&gt;&lt;/p&gt;&lt;p&gt;1) Cieľ účasti verejnosti na tvorbe právneho predpisu závisí od zamýšľanej intenzity zapojenia verejnosti do tvorby právneho predpisu:&lt;/p&gt;&lt;p&gt;• Scenár 1 – informovať verejnosť o procese tvorby právneho predpisu&lt;/p&gt;&lt;p&gt;• Scenár 2 – zapojiť verejnosť do diskusie o tvorbe právneho predpisu&lt;/p&gt;&lt;p&gt;• Scenár 3 – zapojiť verejnosť do tvorby právneho predpisu&lt;/p&gt;&lt;p&gt;• Scenár 4 – zapojiť čo najširšiu verejnosť do tvorby právneho predpisu v rovnocennom postavení s predkladateľom právneho predpisu&lt;/p&gt;&lt;p&gt;Cieľ účasti verejnosti na tvorbe právneho predpisu je súčasťou hodnotiacej správy procesu tvorby právneho predpisu (pozri vysvetlivku č. 4).&lt;/p&gt;&lt;p&gt;2) Vypĺňa sa na základe hodnotiacej správy (pozri vysvetlivku č. 4).&lt;/p&gt;&lt;p&gt;3) Informácie boli poskytnuté v takej forme, aby boli prístupné aj osobám so zdravotným postihnutím a ďalším skupinám osôb znevýhodneným obmedzeným prístupom k informáciám a vo forme, ktorá je strojovo spracovateľná.&lt;/p&gt;&lt;p&gt;4) Hodnotiaca správa procesu tvorby právneho predpisu obsahuje najmä:&lt;/p&gt;&lt;p&gt;• cieľ účasti verejnosti na tvorbe právneho predpisu,&lt;/p&gt;&lt;p&gt;• spôsob identifikácie problému a alternatív riešení,&lt;/p&gt;&lt;p&gt;Hodnotiaca správa je prílohou k správe o účasti verejnosti na tvorbe právneho predpisu, ak je vypracovaná.&lt;/p&gt;&lt;p&gt;&amp;nbsp;&lt;/p&gt;&lt;p&gt;&amp;nbsp;&lt;/p&gt;&lt;p&gt;&amp;nbsp;&lt;/p&gt;&lt;p&gt;Verejnosť bola o&amp;nbsp;príprave návrhu nariadenia vlády Slovenskej republiky, ktorým sa mení a dopĺňa nariadenie vlády Slovenskej republiky č. 355/2006 Z. z. o ochrane zamestnancov pred rizikami súvisiacimi s expozíciou chemickým faktorom pri práci v znení neskorších predpisov (ďalej „návrh nariadenia vlády“) informovaná prostredníctvom predbežnej informácie č. PI/2020/21 zverejnenej na portáli právnych predpisov Slov-Lex. Pripomienkové konanie prebiehalo od 04.02.2020 do 24.02.2020. K&amp;nbsp;predbežnej informácii k&amp;nbsp;návrhu nariadenia vlády nevzniesla verejnosť pripomienky.&lt;/p&gt;&lt;p&gt;Odborná verejnosť bola do prípravy predloženého návrhu nariadenia vlády zapojená aj prostredníctvom konzultácie s dotknutými subjektami, ktorú zabezpečilo Ministerstvo hospodárstva SR podľa Jednotnej metodiky na posudzovanie vybraných vplyvov. Konzultácie prebiehali od 04.02.2020 do 24.02.2020 s odôvodnením, že ďalší priestor na pripomienkovanie poskytne medzirezortné pripomienkové konanie.&lt;/p&gt;&lt;p&gt;Počas konzultácií s dotknutými subjektami si ani jeden oslovený subjekt nevyžiadal podrobnejšie informácie o&amp;nbsp;pripravovanom návrhu nariadenia vlády a nepredložil ani jednu pripomienku k návrhu nariadenia vlády.&lt;/p&gt;</vt:lpwstr>
  </property>
  <property name="FSC#SKEDITIONSLOVLEX@103.510:typpredpis" pid="3" fmtid="{D5CDD505-2E9C-101B-9397-08002B2CF9AE}">
    <vt:lpwstr>Nariadenie vlády Slovenskej republiky</vt:lpwstr>
  </property>
  <property name="FSC#SKEDITIONSLOVLEX@103.510:aktualnyrok" pid="4" fmtid="{D5CDD505-2E9C-101B-9397-08002B2CF9AE}">
    <vt:lpwstr>2020</vt:lpwstr>
  </property>
  <property name="FSC#SKEDITIONSLOVLEX@103.510:cisloparlamenttlac" pid="5" fmtid="{D5CDD505-2E9C-101B-9397-08002B2CF9AE}">
    <vt:lpwstr/>
  </property>
  <property name="FSC#SKEDITIONSLOVLEX@103.510:stavpredpis" pid="6" fmtid="{D5CDD505-2E9C-101B-9397-08002B2CF9AE}">
    <vt:lpwstr>Vyhodnotenie medzirezortného pripomienkového konania</vt:lpwstr>
  </property>
  <property name="FSC#SKEDITIONSLOVLEX@103.510:povodpredpis" pid="7" fmtid="{D5CDD505-2E9C-101B-9397-08002B2CF9AE}">
    <vt:lpwstr>Slovlex (eLeg)</vt:lpwstr>
  </property>
  <property name="FSC#SKEDITIONSLOVLEX@103.510:legoblast" pid="8" fmtid="{D5CDD505-2E9C-101B-9397-08002B2CF9AE}">
    <vt:lpwstr>Správne právo</vt:lpwstr>
  </property>
  <property name="FSC#SKEDITIONSLOVLEX@103.510:uzemplat" pid="9" fmtid="{D5CDD505-2E9C-101B-9397-08002B2CF9AE}">
    <vt:lpwstr/>
  </property>
  <property name="FSC#SKEDITIONSLOVLEX@103.510:vztahypredpis" pid="10" fmtid="{D5CDD505-2E9C-101B-9397-08002B2CF9AE}">
    <vt:lpwstr/>
  </property>
  <property name="FSC#SKEDITIONSLOVLEX@103.510:predkladatel" pid="11" fmtid="{D5CDD505-2E9C-101B-9397-08002B2CF9AE}">
    <vt:lpwstr>JUDr. Tatiana Mazancová</vt:lpwstr>
  </property>
  <property name="FSC#SKEDITIONSLOVLEX@103.510:zodppredkladatel" pid="12" fmtid="{D5CDD505-2E9C-101B-9397-08002B2CF9AE}">
    <vt:lpwstr>Marek Krajčí</vt:lpwstr>
  </property>
  <property name="FSC#SKEDITIONSLOVLEX@103.510:dalsipredkladatel" pid="13" fmtid="{D5CDD505-2E9C-101B-9397-08002B2CF9AE}">
    <vt:lpwstr/>
  </property>
  <property name="FSC#SKEDITIONSLOVLEX@103.510:nazovpredpis" pid="14" fmtid="{D5CDD505-2E9C-101B-9397-08002B2CF9AE}">
    <vt:lpwstr> ktorým sa mení a dopĺňa nariadenie vlády Slovenskej republiky č. 355/2006 Z. z. o ochrane zamestnancov pred rizikami súvisiacimi s expozíciou chemickým faktorom pri práci v znení neskorších predpisov</vt:lpwstr>
  </property>
  <property name="FSC#SKEDITIONSLOVLEX@103.510:nazovpredpis1" pid="15" fmtid="{D5CDD505-2E9C-101B-9397-08002B2CF9AE}">
    <vt:lpwstr/>
  </property>
  <property name="FSC#SKEDITIONSLOVLEX@103.510:nazovpredpis2" pid="16" fmtid="{D5CDD505-2E9C-101B-9397-08002B2CF9AE}">
    <vt:lpwstr/>
  </property>
  <property name="FSC#SKEDITIONSLOVLEX@103.510:nazovpredpis3" pid="17" fmtid="{D5CDD505-2E9C-101B-9397-08002B2CF9AE}">
    <vt:lpwstr/>
  </property>
  <property name="FSC#SKEDITIONSLOVLEX@103.510:cislopredpis" pid="18" fmtid="{D5CDD505-2E9C-101B-9397-08002B2CF9AE}">
    <vt:lpwstr/>
  </property>
  <property name="FSC#SKEDITIONSLOVLEX@103.510:zodpinstitucia" pid="19" fmtid="{D5CDD505-2E9C-101B-9397-08002B2CF9AE}">
    <vt:lpwstr>Ministerstvo zdravotníctva Slovenskej republiky</vt:lpwstr>
  </property>
  <property name="FSC#SKEDITIONSLOVLEX@103.510:pripomienkovatelia" pid="20" fmtid="{D5CDD505-2E9C-101B-9397-08002B2CF9AE}">
    <vt:lpwstr/>
  </property>
  <property name="FSC#SKEDITIONSLOVLEX@103.510:autorpredpis" pid="21" fmtid="{D5CDD505-2E9C-101B-9397-08002B2CF9AE}">
    <vt:lpwstr/>
  </property>
  <property name="FSC#SKEDITIONSLOVLEX@103.510:podnetpredpis" pid="22" fmtid="{D5CDD505-2E9C-101B-9397-08002B2CF9AE}">
    <vt:lpwstr>iniciatívny materiál</vt:lpwstr>
  </property>
  <property name="FSC#SKEDITIONSLOVLEX@103.510:plnynazovpredpis" pid="23" fmtid="{D5CDD505-2E9C-101B-9397-08002B2CF9AE}">
    <vt:lpwstr> Nariadenie vlády  Slovenskej republiky ktorým sa mení a dopĺňa nariadenie vlády Slovenskej republiky č. 355/2006 Z. z. o ochrane zamestnancov pred rizikami súvisiacimi s expozíciou chemickým faktorom pri práci v znení neskorších predpisov</vt:lpwstr>
  </property>
  <property name="FSC#SKEDITIONSLOVLEX@103.510:plnynazovpredpis1" pid="24" fmtid="{D5CDD505-2E9C-101B-9397-08002B2CF9AE}">
    <vt:lpwstr/>
  </property>
  <property name="FSC#SKEDITIONSLOVLEX@103.510:plnynazovpredpis2" pid="25" fmtid="{D5CDD505-2E9C-101B-9397-08002B2CF9AE}">
    <vt:lpwstr/>
  </property>
  <property name="FSC#SKEDITIONSLOVLEX@103.510:plnynazovpredpis3" pid="26" fmtid="{D5CDD505-2E9C-101B-9397-08002B2CF9AE}">
    <vt:lpwstr/>
  </property>
  <property name="FSC#SKEDITIONSLOVLEX@103.510:rezortcislopredpis" pid="27" fmtid="{D5CDD505-2E9C-101B-9397-08002B2CF9AE}">
    <vt:lpwstr>S09487-2020-OL</vt:lpwstr>
  </property>
  <property name="FSC#SKEDITIONSLOVLEX@103.510:citaciapredpis" pid="28" fmtid="{D5CDD505-2E9C-101B-9397-08002B2CF9AE}">
    <vt:lpwstr/>
  </property>
  <property name="FSC#SKEDITIONSLOVLEX@103.510:spiscislouv" pid="29" fmtid="{D5CDD505-2E9C-101B-9397-08002B2CF9AE}">
    <vt:lpwstr/>
  </property>
  <property name="FSC#SKEDITIONSLOVLEX@103.510:datumschvalpredpis" pid="30" fmtid="{D5CDD505-2E9C-101B-9397-08002B2CF9AE}">
    <vt:lpwstr/>
  </property>
  <property name="FSC#SKEDITIONSLOVLEX@103.510:platneod" pid="31" fmtid="{D5CDD505-2E9C-101B-9397-08002B2CF9AE}">
    <vt:lpwstr/>
  </property>
  <property name="FSC#SKEDITIONSLOVLEX@103.510:platnedo" pid="32" fmtid="{D5CDD505-2E9C-101B-9397-08002B2CF9AE}">
    <vt:lpwstr/>
  </property>
  <property name="FSC#SKEDITIONSLOVLEX@103.510:ucinnostod" pid="33" fmtid="{D5CDD505-2E9C-101B-9397-08002B2CF9AE}">
    <vt:lpwstr/>
  </property>
  <property name="FSC#SKEDITIONSLOVLEX@103.510:ucinnostdo" pid="34" fmtid="{D5CDD505-2E9C-101B-9397-08002B2CF9AE}">
    <vt:lpwstr/>
  </property>
  <property name="FSC#SKEDITIONSLOVLEX@103.510:datumplatnosti" pid="35" fmtid="{D5CDD505-2E9C-101B-9397-08002B2CF9AE}">
    <vt:lpwstr/>
  </property>
  <property name="FSC#SKEDITIONSLOVLEX@103.510:cislolp" pid="36" fmtid="{D5CDD505-2E9C-101B-9397-08002B2CF9AE}">
    <vt:lpwstr>LP/2020/139</vt:lpwstr>
  </property>
  <property name="FSC#SKEDITIONSLOVLEX@103.510:typsprievdok" pid="37" fmtid="{D5CDD505-2E9C-101B-9397-08002B2CF9AE}">
    <vt:lpwstr>Doložka prednosti medzinarodnej zmluvy pred zákonmi</vt:lpwstr>
  </property>
  <property name="FSC#SKEDITIONSLOVLEX@103.510:cislopartlac" pid="38" fmtid="{D5CDD505-2E9C-101B-9397-08002B2CF9AE}">
    <vt:lpwstr/>
  </property>
  <property name="FSC#SKEDITIONSLOVLEX@103.510:AttrStrListDocPropUcelPredmetZmluvy" pid="39" fmtid="{D5CDD505-2E9C-101B-9397-08002B2CF9AE}">
    <vt:lpwstr/>
  </property>
  <property name="FSC#SKEDITIONSLOVLEX@103.510:AttrStrListDocPropUpravaPravFOPRO" pid="40" fmtid="{D5CDD505-2E9C-101B-9397-08002B2CF9AE}">
    <vt:lpwstr/>
  </property>
  <property name="FSC#SKEDITIONSLOVLEX@103.510:AttrStrListDocPropUpravaPredmetuZmluvy" pid="41" fmtid="{D5CDD505-2E9C-101B-9397-08002B2CF9AE}">
    <vt:lpwstr/>
  </property>
  <property name="FSC#SKEDITIONSLOVLEX@103.510:AttrStrListDocPropKategoriaZmluvy74" pid="42" fmtid="{D5CDD505-2E9C-101B-9397-08002B2CF9AE}">
    <vt:lpwstr/>
  </property>
  <property name="FSC#SKEDITIONSLOVLEX@103.510:AttrStrListDocPropKategoriaZmluvy75" pid="43" fmtid="{D5CDD505-2E9C-101B-9397-08002B2CF9AE}">
    <vt:lpwstr/>
  </property>
  <property name="FSC#SKEDITIONSLOVLEX@103.510:AttrStrListDocPropDopadyPrijatiaZmluvy" pid="44" fmtid="{D5CDD505-2E9C-101B-9397-08002B2CF9AE}">
    <vt:lpwstr/>
  </property>
  <property name="FSC#SKEDITIONSLOVLEX@103.510:AttrStrListDocPropProblematikaPPa" pid="45" fmtid="{D5CDD505-2E9C-101B-9397-08002B2CF9AE}">
    <vt:lpwstr>je upravený v práve Európskej únie</vt:lpwstr>
  </property>
  <property name="FSC#SKEDITIONSLOVLEX@103.510:AttrStrListDocPropPrimarnePravoEU" pid="46" fmtid="{D5CDD505-2E9C-101B-9397-08002B2CF9AE}">
    <vt:lpwstr>v Zmluve o fungovaní Európskej únie v článku 168</vt:lpwstr>
  </property>
  <property name="FSC#SKEDITIONSLOVLEX@103.510:AttrStrListDocPropSekundarneLegPravoPO" pid="47" fmtid="{D5CDD505-2E9C-101B-9397-08002B2CF9AE}">
    <vt:lpwstr>- v smernici Rady 98/24/ES zo 7. apríla 1998 o ochrane zdravia a bezpečnosti pracovníkov pred rizikami súvisiacimi s chemickými faktormi pri práci (štrnásta samostatná smernica podľa článku 16 ods. 1 smernice 89/391/EHS) (Ú. v. ES L 131, 5.5.1998, Mimoriadne vydanie: Ú. v. EÚ, kap. 05/zv. 3) v platnom znení, gestor Ministerstvo zdravotníctva Slovenskej republiky,       _x0009__x0009__x0009__x0009__x0009_         - v smernici Komisie 91/322/EHS z 29. mája 1991 o stanovovaní indikačných limitných hodnôt implementáciou smernice Rady 80/1107/EHS o ochrane pracovníkov pred rizikami spôsobenými ohrozením chemickými, fyzikálnymi a biologickými faktormi pri práci (Ú. v. EÚ L 177, 5.7.1991; Mimoriadne vydanie Ú. v. EÚ, kap. 05/zv. 1) v platnom znení, gestor Ministerstvo zdravotníctva Slovenskej republiky,  - v smernici Komisie 2000/39/ES z 8. júna 2000, ktorou sa ustanovuje prvý zoznam smerných najvyšších prípustných hodnôt vystavenia pri práci na vykonanie smernice Rady 98/24/ES o ochrane zdravia a bezpečnosti pracovníkov pred rizikami súvisiacimi s chemickými faktormi pri práci) (Ú. v. EÚ 142, 16.6.2000; Mimoriadne vydanie Ú. v. EÚ, kap. 05/zv. 3) v platnom znení, gestor Ministerstvo zdravotníctva Slovenskej republiky, - v smernici Komisie 2006/15/ES zo 7. februára 2006, ktorou sa ustanovuje druhý zoznam smerných najvyšších prípustných hodnôt vystavenia pri práci na implementáciu smernice Rady 98/24/ES a ktorou sa menia a dopĺňajú smernice 91/322/EHS a 2000/39/ES (Ú. v. EÚ L 38, 9.2.2006), gestor Ministerstvo zdravotníctva Slovenskej republiky, - v nariadení Európskeho parlamentu a Rady (ES) č. 1907/2006 z 18. decembra 2006 o registrácii, hodnotení, autorizácii a obmedzovaní chemických látok (REACH) a o zriadení Európskej chemickej agentúry, a o zmene a doplnení smernice 1999/45/ES a o zrušení nariadenia Rady (EHS) č. 793/93 a nariadenia Komisie (ES) č. 1488/94, smernice Rady 76/769/EHS a smerníc Komisie 91/155/EHS, 93/67/EHS, 93/105/ES a 2000/21/ES (Ú. v. EÚ L 396, 30.12.2006) v platnom znení, gestor Ministerstvo zdravotníctva Slovenskej republiky, - v smernici Komisie 2009/161/EÚ zo 17. decembra 2009, ktorou sa ustanovuje tretí zoznam smerných najvyšších prípustných hodnôt vystavenia pri práci na vykonanie smernice Rady 98/24/ES a ktorou sa mení a dopĺňa smernica Komisie 2000/39/ES (Ú. v. EÚ L 338, 19.12.2009), gestor Ministerstvo zdravotníctva Slovenskej republiky, - v smernici Európskeho parlamentu a Rady 2014/27/EÚ z 26. februára 2014, ktorou sa menia smernice Rady 92/58/EHS, 92/85/EHS, 94/33/ES, 98/24/ES a smernica Európskeho parlamentu a Rady 2004/37/ES s cieľom zosúladiť ich s nariadením (ES) č. 1272/2008 o klasifikácii, označovaní a balení látok a zmesí (Ú. v. EÚ L 65, 5.3.2014), gestor Ministerstvo zdravotníctva Slovenskej republiky,  - v nariadení Európskeho parlamentu a Rady (ES) č. 1272/2008 z 16. decembra 2008 o klasifikácii, označovaní a balení látok a zmesí, o zmene, doplnení a zrušení smerníc 67/548/EHS a 1999/45/ES a o zmene a doplnení nariadenia (ES) č. 1907/2006 (Ú. v. EÚ L 353, 31.12.2008) v platnom znení, gestor Ministerstvo zdravotníctva Slovenskej republiky, - v smernici Komisie (EÚ) 2017/164 z 31. januára 2017, ktorou sa stanovuje štvrtý zoznam indikatívnych limitných hodnôt ohrozenia pri práci podľa smernice Rady 98/24/ES a ktorou sa menia smernice Komisie 91/322/EHS, 2000/39/ES a 2009/161/EÚ (Ú. v. EÚ L 27, 1. 2. 2017), gestor Ministerstvo zdravotníctva Slovenskej republiky,  - v smernici Komisie (EÚ) 2019/1831 z 24. októbra 2019, ktorou sa stanovuje piaty zoznam smerných najvyšších prípustných hodnôt vystavenia pri práci podľa smernice Rady 98/24/ES a ktorou sa mení smernica 2000/39/ES (Ú. v. EÚ L 279, 31.10.2019), gestor Ministerstvo zdravotníctva Slovenskej republiky</vt:lpwstr>
  </property>
  <property name="FSC#SKEDITIONSLOVLEX@103.510:AttrStrListDocPropSekundarneNelegPravoPO" pid="48" fmtid="{D5CDD505-2E9C-101B-9397-08002B2CF9AE}">
    <vt:lpwstr/>
  </property>
  <property name="FSC#SKEDITIONSLOVLEX@103.510:AttrStrListDocPropSekundarneLegPravoDO" pid="49" fmtid="{D5CDD505-2E9C-101B-9397-08002B2CF9AE}">
    <vt:lpwstr/>
  </property>
  <property name="FSC#SKEDITIONSLOVLEX@103.510:AttrStrListDocPropProblematikaPPb" pid="50" fmtid="{D5CDD505-2E9C-101B-9397-08002B2CF9AE}">
    <vt:lpwstr/>
  </property>
  <property name="FSC#SKEDITIONSLOVLEX@103.510:AttrStrListDocPropNazovPredpisuEU" pid="51" fmtid="{D5CDD505-2E9C-101B-9397-08002B2CF9AE}">
    <vt:lpwstr>nie je </vt:lpwstr>
  </property>
  <property name="FSC#SKEDITIONSLOVLEX@103.510:AttrStrListDocPropLehotaPrebratieSmernice" pid="52" fmtid="{D5CDD505-2E9C-101B-9397-08002B2CF9AE}">
    <vt:lpwstr>smernica Komisie (EÚ) 2019/1831 T : 20. mája 2021</vt:lpwstr>
  </property>
  <property name="FSC#SKEDITIONSLOVLEX@103.510:AttrStrListDocPropLehotaNaPredlozenie" pid="53" fmtid="{D5CDD505-2E9C-101B-9397-08002B2CF9AE}">
    <vt:lpwstr/>
  </property>
  <property name="FSC#SKEDITIONSLOVLEX@103.510:AttrStrListDocPropInfoZaciatokKonania" pid="54" fmtid="{D5CDD505-2E9C-101B-9397-08002B2CF9AE}">
    <vt:lpwstr>nie je vedené konanie</vt:lpwstr>
  </property>
  <property name="FSC#SKEDITIONSLOVLEX@103.510:AttrStrListDocPropInfoUzPreberanePP" pid="55" fmtid="{D5CDD505-2E9C-101B-9397-08002B2CF9AE}">
    <vt:lpwstr>bezpredmetné</vt:lpwstr>
  </property>
  <property name="FSC#SKEDITIONSLOVLEX@103.510:AttrStrListDocPropStupenZlucitelnostiPP" pid="56" fmtid="{D5CDD505-2E9C-101B-9397-08002B2CF9AE}">
    <vt:lpwstr>úplne</vt:lpwstr>
  </property>
  <property name="FSC#SKEDITIONSLOVLEX@103.510:AttrStrListDocPropGestorSpolupRezorty" pid="57" fmtid="{D5CDD505-2E9C-101B-9397-08002B2CF9AE}">
    <vt:lpwstr/>
  </property>
  <property name="FSC#SKEDITIONSLOVLEX@103.510:AttrDateDocPropZaciatokPKK" pid="58" fmtid="{D5CDD505-2E9C-101B-9397-08002B2CF9AE}">
    <vt:lpwstr>18. 3. 2020</vt:lpwstr>
  </property>
  <property name="FSC#SKEDITIONSLOVLEX@103.510:AttrDateDocPropUkonceniePKK" pid="59" fmtid="{D5CDD505-2E9C-101B-9397-08002B2CF9AE}">
    <vt:lpwstr>31. 3. 2020</vt:lpwstr>
  </property>
  <property name="FSC#SKEDITIONSLOVLEX@103.510:AttrStrDocPropVplyvRozpocetVS" pid="60" fmtid="{D5CDD505-2E9C-101B-9397-08002B2CF9AE}">
    <vt:lpwstr>Žiadne</vt:lpwstr>
  </property>
  <property name="FSC#SKEDITIONSLOVLEX@103.510:AttrStrDocPropVplyvPodnikatelskeProstr" pid="61" fmtid="{D5CDD505-2E9C-101B-9397-08002B2CF9AE}">
    <vt:lpwstr>Pozitívne_x000d__x000a_Negatívne</vt:lpwstr>
  </property>
  <property name="FSC#SKEDITIONSLOVLEX@103.510:AttrStrDocPropVplyvSocialny" pid="62" fmtid="{D5CDD505-2E9C-101B-9397-08002B2CF9AE}">
    <vt:lpwstr>Pozitívne</vt:lpwstr>
  </property>
  <property name="FSC#SKEDITIONSLOVLEX@103.510:AttrStrDocPropVplyvNaZivotProstr" pid="63" fmtid="{D5CDD505-2E9C-101B-9397-08002B2CF9AE}">
    <vt:lpwstr>Žiadne</vt:lpwstr>
  </property>
  <property name="FSC#SKEDITIONSLOVLEX@103.510:AttrStrDocPropVplyvNaInformatizaciu" pid="64" fmtid="{D5CDD505-2E9C-101B-9397-08002B2CF9AE}">
    <vt:lpwstr>Žiadne</vt:lpwstr>
  </property>
  <property name="FSC#SKEDITIONSLOVLEX@103.510:AttrStrListDocPropPoznamkaVplyv" pid="65" fmtid="{D5CDD505-2E9C-101B-9397-08002B2CF9AE}">
    <vt:lpwstr>&lt;p&gt;Využitie 10 chemických faktorov, ktorým sa smernicou dopĺňa alebo reviduje NPEL (v&amp;nbsp;tabuľke č. 1 na konci doložky).&lt;/p&gt;Porovnanie zmien pri expozícii 6 chemickým faktorom, ktoré už sú zavedené v&amp;nbsp;legislatíve SR a u&amp;nbsp;ktorých sa smernicou sprísňuje priemerný NPEL (v&amp;nbsp;tabuľke č. 2 na konci doložky).</vt:lpwstr>
  </property>
  <property name="FSC#SKEDITIONSLOVLEX@103.510:AttrStrListDocPropAltRiesenia" pid="66" fmtid="{D5CDD505-2E9C-101B-9397-08002B2CF9AE}">
    <vt:lpwstr>Uplatnenie nulového variantu (neprijatie právnej úpravy) neumožňuje európska smernica, ktorá vyžaduje, aby členské štáty uviedli do účinnosti zákony, iné právne predpisy a správne opatrenia potrebné na dosiahnutie súladu s touto smernicou najneskôr do 20. mája 2021.Spôsob transpozície nadväzuje na transpozíciu predchádzajúcich zoznamov najvyšších prípustných hodnôt vystavenia chemickým faktorom pri práci (prvého, druhého, tretieho a štvrtého zoznamu), ktoré sú súčasťou príslušných smerníc Komisie uvedených v doložke zlučiteľnosti</vt:lpwstr>
  </property>
  <property name="FSC#SKEDITIONSLOVLEX@103.510:AttrStrListDocPropStanoviskoGest" pid="67" fmtid="{D5CDD505-2E9C-101B-9397-08002B2CF9AE}">
    <vt:lpwstr>&lt;table border="1" cellpadding="0" cellspacing="0" width="0"&gt;_x0009_&lt;tbody&gt;_x0009__x0009_&lt;tr&gt;_x0009__x0009__x0009_&lt;td style="width:612px;"&gt;_x0009__x0009__x0009_&lt;p&gt;&amp;nbsp;&lt;/p&gt;_x0009__x0009__x0009_&lt;p style="margin-left:283.6pt;"&gt;Bratislava: 01.04.2020&lt;/p&gt;_x0009__x0009__x0009_&lt;p style="margin-left:283.6pt;"&gt;Číslo: 022/2020&lt;/p&gt;_x0009__x0009__x0009_&lt;p style="margin-left:10.0cm;"&gt;Vybavuje: MGR.VISELKOVÁ&lt;/p&gt;_x0009__x0009__x0009_&lt;h4&gt;stanovisko komisie&lt;/h4&gt;_x0009__x0009__x0009_&lt;p align="center"&gt;&lt;strong&gt;(predbežné pripomienkové konanie)&lt;/strong&gt;&lt;/p&gt;_x0009__x0009__x0009_&lt;p align="center"&gt;&lt;strong&gt;k&amp;nbsp;materiálu&lt;/strong&gt;&lt;/p&gt;_x0009__x0009__x0009_&lt;p align="center"&gt;&lt;strong&gt;NÁVRH NARIADENIA VLÁDY SLOVENSKEJ REPUBLIKY, KTORÝM SA MENÍ A DOPĹŇA NARIADENIE VLÁDY SLOVENSKEJ REPUBLIKY Č. 355/2006 Z. Z. O&amp;nbsp;OCHRANE ZAMESTNANCOV PRED RIZIKAMI SÚVISIACIMI S&amp;nbsp;EXPOZÍCIOU CHEMICKÝM FAKTOROM PRI PRÁCI V&amp;nbsp;ZNENÍ NARIADENIA VLÁDY SLOVENSKEJ REPUBLIKY Č. 300/2007 Z. Z., Č. 471/2011 Z. Z.,&amp;nbsp;Č. 82/2015 Z. Z. A&amp;nbsp;Č. 33/2018 Z. Z. &lt;/strong&gt;&lt;/p&gt;_x0009__x0009__x0009_&lt;ol style="list-style-type:upper-roman;"&gt;_x0009__x0009__x0009__x0009_&lt;li&gt;&lt;strong&gt;Úvod: &lt;/strong&gt;Úrad verejného zdravotníctva SR dňa 18. marca 2020 predložil Stálej pracovnej komisii na posudzovanie vybraných vplyvov (ďalej len „Komisia“) na&amp;nbsp;predbežné pripomienkové konanie materiál:&lt;em&gt; „Návrh nariadenia vlády Slovenskej republiky, ktorým sa mení a dopĺňa nariadenie vlády Slovenskej republiky č. 355/2006 Z. z. o&amp;nbsp;ochrane zamestnancov pred rizikami súvisiacimi s&amp;nbsp;expozíciou chemickým faktorom pri práci v&amp;nbsp;znení nariadenia vlády Slovenskej republiky č. 300/2007 Z. z., č. 471/2011 Z. z.,&amp;nbsp;č. 82/2015 Z. z. a&amp;nbsp;č. 33/2018 Z. z.“&lt;/em&gt;&lt;/li&gt;_x0009__x0009__x0009_&lt;/ol&gt;_x0009__x0009__x0009_&lt;p style="margin-left:50.2pt;"&gt;&amp;nbsp;&lt;/p&gt;_x0009__x0009__x0009_&lt;p&gt;&lt;strong&gt;II. P&lt;/strong&gt;&lt;strong&gt;ripomienky a návrhy zmien: &lt;/strong&gt;Komisia uplatňuje k&amp;nbsp;materiálu zásadné pripomienky a&amp;nbsp;odporúčania:&lt;/p&gt;_x0009__x0009__x0009_&lt;p&gt;&amp;nbsp;&lt;/p&gt;_x0009__x0009__x0009_&lt;p&gt;&lt;strong&gt;K analýze vplyvov na podnikateľské prostredie&lt;/strong&gt;&lt;/p&gt;_x0009__x0009__x0009_&lt;p&gt;Komisia sa oboznámila s&amp;nbsp;predkladateľom priloženými podkladmi a&amp;nbsp;dospela k&amp;nbsp;záveru, že posudzovaný materiál zakladá &lt;strong&gt;pozitívno-negatívny vplyv na podnikateľské prostredie, vrátane pozitívno-negatívneho vplyvu na MSP. &lt;/strong&gt;&lt;/p&gt;_x0009__x0009__x0009_&lt;p&gt;Komisia žiada predkladateľa o&amp;nbsp;&lt;strong&gt;výpočet nákladov súvisiacich s&amp;nbsp;kvalitatívne popísanými zmenami, a&amp;nbsp;to tak na 1 podnikateľa&lt;/strong&gt;, v&amp;nbsp;rozsahu nákladov, ktoré sú podľa kvalitatívneho popisu známe, vrátane odhadov ako predkladateľ uvádza v&amp;nbsp;prípade merania faktorov v&amp;nbsp;pracovnom ovzduší (uvedenie približných cien). &lt;strong&gt;Súčasne Komisia žiada o&amp;nbsp;odhad nákladov aj na celú skupinu zasiahnutých podnikateľských subjektov&lt;/strong&gt;. Osobitne je dôležité uviesť &lt;strong&gt;&lt;u&gt;náklad na MSP&lt;/u&gt;&lt;/strong&gt;, u ktorých sa podľa predkladateľa predpokladajú najvyššie náklady.&lt;/p&gt;_x0009__x0009__x0009_&lt;p&gt;Vyjadrenie predkladateľa: Pripomienka neakceptovaná.&lt;/p&gt;_x0009__x0009__x0009_&lt;p&gt;Okruh dotknutých subjektov nie je možné vyšpecifikovať číselne, pretože by to bol ničím nepodložený (a teda zavádzajúci) údaj. Keď nie je možné náklady alebo okruh dotknutých subjektov vyčísliť, popisujeme ich a&amp;nbsp;to maximálne podrobne, k&amp;nbsp;Doložke vybraných vplyvov dopĺňame popis využitia chemických faktorov, ktorým sa smernicou dopĺňa alebo reviduje NPEL, ako aj prehľadné porovnanie vývoja limitov (sprísnenie).&lt;/p&gt;_x0009__x0009__x0009_&lt;p&gt;Keď nie je možné vyšpecifikovať číselne jednotlivé náklady a okruh dotknutých subjektov, nie je možné vypočítať náklady na jedného podnikateľa, ani na celú dotknutú skupinu.&lt;/p&gt;_x0009__x0009__x0009_&lt;p&gt;&amp;nbsp;&lt;/p&gt;_x0009__x0009__x0009_&lt;p&gt;Komisia vo forme &lt;em&gt;obyčajnej pripomienky&lt;/em&gt; žiada predkladateľa o&amp;nbsp;vyplnenie časti 3.3.1 a&amp;nbsp;3.3.2 podľa obsahu, ktorý prináleží uvedeným častiam, teda v súlade s&amp;nbsp;rozdelením na priame, resp. nepriame finančné náklady. Predkladateľ totiž v&amp;nbsp;časti 3.3.1 uvádza negatívne vplyvy a&amp;nbsp;v&amp;nbsp;časti 3.3.2 pozitívne vplyvy, čo obsahovo príslušným častiam nezodpovedá. Komisia odporúča, aby predkladateľ uviedol pozitívne vplyvy, ktoré súvisia s&amp;nbsp;úsporou PFN do časti 3.3.1 a&amp;nbsp;a&amp;nbsp;tie, ktoré súvisia s&amp;nbsp;úsporou NFN do časti 3.3.2; to isté platí pre rozdelenie negatívnych vplyvov.&lt;/p&gt;_x0009__x0009__x0009_&lt;p&gt;Vyjadrenie predkladateľa: Pripomienka neakceptovaná.&lt;/p&gt;_x0009__x0009__x0009_&lt;p&gt;Máme za to, že podľa obsahu sú priame aj nepriame finančné náklady rozdelené v&amp;nbsp;príslušných podkapitolách správne a&amp;nbsp;skutočnosť, že je možné zároveň ich označiť ako pozitívne a&amp;nbsp;negatívne nie je chyba analýzy.&lt;/p&gt;_x0009__x0009__x0009_&lt;p&gt;&amp;nbsp;&lt;/p&gt;_x0009__x0009__x0009_&lt;p&gt;&lt;strong&gt;K&amp;nbsp;doložke vybraných vplyvov&lt;/strong&gt;&lt;/p&gt;_x0009__x0009__x0009_&lt;p&gt;V doložke vybraných vplyvov je označený žiadny vplyv na rozpočet verejnej správy. Komisia upozorňuje, že v prípade ak materiál nemá vplyv na rozpočet verejnej správy, nie je potrebné označiť žiadnu z možností v riadku „z toho rozpočtovo zabezpečené vplyvy“.&amp;nbsp;&amp;nbsp;&amp;nbsp;&lt;/p&gt;_x0009__x0009__x0009_&lt;p&gt;Vyjadrenie predkladateľa: Pripomienka akceptovaná, text upravený.&amp;nbsp;&amp;nbsp;&amp;nbsp;&amp;nbsp;&amp;nbsp;&amp;nbsp;&amp;nbsp;&amp;nbsp;&amp;nbsp;&amp;nbsp;&amp;nbsp;&amp;nbsp;&amp;nbsp;&amp;nbsp;&amp;nbsp;&amp;nbsp;&amp;nbsp;&lt;/p&gt;_x0009__x0009__x0009_&lt;p&gt;&amp;nbsp;&lt;/p&gt;_x0009__x0009__x0009_&lt;p&gt;&lt;strong&gt;III. Záver: &lt;/strong&gt;Stála pracovná komisia na posudzovanie vybraných vplyvov vyjadruje&lt;/p&gt;_x0009__x0009__x0009_&lt;p align="center"&gt;&amp;nbsp;&lt;/p&gt;_x0009__x0009__x0009_&lt;p align="center"&gt;&lt;strong&gt;nesúhlasné stanovisko &lt;/strong&gt;&lt;/p&gt;_x0009__x0009__x0009_&lt;p&gt;&amp;nbsp;&lt;/p&gt;_x0009__x0009__x0009_&lt;p&gt;s&amp;nbsp;materiálom predloženým na predbežné pripomienkové konanie s&amp;nbsp;odporúčaním na&amp;nbsp;jeho dopracovanie podľa pripomienok v&amp;nbsp;bode II.&lt;/p&gt;_x0009__x0009__x0009_&lt;p&gt;&amp;nbsp;&lt;/p&gt;_x0009__x0009__x0009_&lt;p&gt;&lt;strong&gt;IV. Poznámka:&lt;/strong&gt; Predkladateľ zapracuje pripomienky a odporúčania na úpravu uvedené v bode II a uvedie stanovisko Komisie do doložky vybraných vplyvov spolu s vyhodnotením pripomienok.&lt;/p&gt;_x0009__x0009__x0009_&lt;p align="center" style="margin-left:8.0cm;"&gt;&amp;nbsp;&lt;/p&gt;_x0009__x0009__x0009_&lt;p&gt;Nesúhlasné stanovisko Komisie neznamená&amp;nbsp;zastavenie ďalšieho schvaľovacieho procesu. Stanovisko Komisie slúži ako podklad pre informované rozhodovanie vlády Slovenskej republiky a ďalších subjektov v rámci schvaľovacieho procesu. Predkladateľ má možnosť dopracovať materiál podľa pripomienok a zaslať ho&amp;nbsp;na&amp;nbsp;opätovné schválenie Komisie, ktorá môže následne zmeniť svoje stanovisko.&lt;/p&gt;_x0009__x0009__x0009_&lt;p align="center" style="margin-left:8.0cm;"&gt;&amp;nbsp;&lt;/p&gt;_x0009__x0009__x0009_&lt;p align="center" style="margin-left:8.0cm;"&gt;&amp;nbsp;&lt;/p&gt;_x0009__x0009__x0009_&lt;p align="center" style="margin-left:8.0cm;"&gt;&lt;strong&gt;Ing. Rastislav Chovanec, PhD.&lt;/strong&gt;&lt;/p&gt;_x0009__x0009__x0009_&lt;p style="margin-left:297.7pt;"&gt;predseda Komisie&lt;/p&gt;_x0009__x0009__x0009_&lt;/td&gt;_x0009__x0009_&lt;/tr&gt;_x0009__x0009_&lt;tr&gt;_x0009__x0009__x0009_&lt;td style="width:612px;"&gt;_x0009__x0009__x0009_&lt;p&gt;&amp;nbsp;&lt;/p&gt;_x0009__x0009__x0009_&lt;/td&gt;_x0009__x0009_&lt;/tr&gt;_x0009_&lt;/tbody&gt;&lt;/table&gt;&lt;p align="center"&gt;&amp;nbsp;&lt;/p&gt;&lt;p align="center"&gt;&amp;nbsp;&lt;/p&gt;&lt;p&gt;&amp;nbsp;&lt;/p&gt;&lt;p&gt;&amp;nbsp;&lt;/p&gt;&lt;p&gt;&amp;nbsp;&lt;/p&gt;&lt;p&gt;Tabuľka č. 1&lt;/p&gt;&lt;p align="center"&gt;&lt;strong&gt;Využitie 10 chemických faktorov, ktorým sa smernicou dopĺňa alebo reviduje NPEL&lt;/strong&gt;&lt;/p&gt;&lt;p align="right"&gt;&amp;nbsp;&lt;/p&gt;&lt;table border="1" cellpadding="0" cellspacing="0" width="0"&gt;_x0009_&lt;tbody&gt;_x0009__x0009_&lt;tr&gt;_x0009__x0009__x0009_&lt;td style="width:42px;height:47px;"&gt;_x0009__x0009__x0009_&lt;p align="center"&gt;&lt;strong&gt;Por. číslo&lt;/strong&gt;&lt;/p&gt;_x0009__x0009__x0009_&lt;/td&gt;_x0009__x0009__x0009_&lt;td style="width:113px;height:47px;"&gt;_x0009__x0009__x0009_&lt;p align="center"&gt;&lt;strong&gt;Názov chemického faktora&lt;/strong&gt;&lt;/p&gt;_x0009__x0009__x0009_&lt;/td&gt;_x0009__x0009__x0009_&lt;td style="width:76px;height:47px;"&gt;_x0009__x0009__x0009_&lt;p align="center"&gt;&lt;strong&gt;CAS č.&lt;/strong&gt;&lt;/p&gt;_x0009__x0009__x0009_&lt;/td&gt;_x0009__x0009__x0009_&lt;td style="width:416px;height:47px;"&gt;_x0009__x0009__x0009_&lt;p align="center"&gt;&lt;strong&gt;Využitie&lt;/strong&gt;&lt;/p&gt;_x0009__x0009__x0009_&lt;p align="center"&gt;(voľne dostupné informácie z&amp;nbsp;internetu)&lt;/p&gt;_x0009__x0009__x0009_&lt;/td&gt;_x0009__x0009__x0009_&lt;td height="47" style="height:47px;"&gt;&amp;nbsp;&lt;/td&gt;_x0009__x0009_&lt;/tr&gt;_x0009__x0009_&lt;tr&gt;_x0009__x0009__x0009_&lt;td rowspan="2" style="width:42px;height:51px;"&gt;_x0009__x0009__x0009_&lt;p align="center"&gt;1.&lt;/p&gt;_x0009__x0009__x0009_&lt;/td&gt;_x0009__x0009__x0009_&lt;td rowspan="2" style="width:113px;height:51px;"&gt;_x0009__x0009__x0009_&lt;p&gt;Anilín&lt;/p&gt;_x0009__x0009__x0009_&lt;/td&gt;_x0009__x0009__x0009_&lt;td rowspan="2" style="width:76px;height:51px;"&gt;_x0009__x0009__x0009_&lt;p&gt;62-53-3&lt;/p&gt;_x0009__x0009__x0009_&lt;/td&gt;_x0009__x0009__x0009_&lt;td rowspan="2" style="width:416px;height:51px;"&gt;_x0009__x0009__x0009_&lt;p&gt;Anilín je priemyselne vyrábaná látka, ktorá sa používa výlučne na ďalšie spracovanie v&amp;nbsp;chemickom priemysle; viac ako 70 % anilínu sa spracuje na metyléndianilín, ktorý je východiskovou látkou pre polyuretánové plasty. Ostatné množstvo sa spracuje vo výrobe gumárenských chemikálií, farbív, pesticídov, rôznych liečiv; využitie má aj v&amp;nbsp;laboratórnej praxi.&lt;/p&gt;_x0009__x0009__x0009_&lt;/td&gt;_x0009__x0009__x0009_&lt;td height="51" style="height:51px;"&gt;&amp;nbsp;&lt;/td&gt;_x0009__x0009_&lt;/tr&gt;_x0009__x0009_&lt;tr&gt;_x0009__x0009__x0009_&lt;td height="15" style="height:15px;"&gt;&amp;nbsp;&lt;/td&gt;_x0009__x0009_&lt;/tr&gt;_x0009__x0009_&lt;tr&gt;_x0009__x0009__x0009_&lt;td rowspan="2" style="width:42px;height:29px;"&gt;_x0009__x0009__x0009_&lt;p align="center"&gt;2.&lt;/p&gt;_x0009__x0009__x0009_&lt;/td&gt;_x0009__x0009__x0009_&lt;td rowspan="2" style="width:113px;height:29px;"&gt;_x0009__x0009__x0009_&lt;p&gt;Chlórmetán&lt;/p&gt;_x0009__x0009__x0009_&lt;/td&gt;_x0009__x0009__x0009_&lt;td rowspan="2" style="width:76px;height:29px;"&gt;_x0009__x0009__x0009_&lt;p&gt;74-87-3&lt;/p&gt;_x0009__x0009__x0009_&lt;/td&gt;_x0009__x0009__x0009_&lt;td rowspan="2" style="width:416px;height:29px;"&gt;_x0009__x0009__x0009_&lt;p&gt;Prekurzor pri výrobe silikónu, rozpúšťadlo v&amp;nbsp;ropných rafinériách, rozpúšťadlo pri výrobe butylových gúm, metylačné a&amp;nbsp;chloračné činidlo, použitie aj ako herbicíd.&lt;/p&gt;_x0009__x0009__x0009_&lt;/td&gt;_x0009__x0009__x0009_&lt;td height="29" style="height:29px;"&gt;&amp;nbsp;&lt;/td&gt;_x0009__x0009_&lt;/tr&gt;_x0009__x0009_&lt;tr&gt;_x0009__x0009__x0009_&lt;td height="15" style="height:15px;"&gt;&amp;nbsp;&lt;/td&gt;_x0009__x0009_&lt;/tr&gt;_x0009__x0009_&lt;tr&gt;_x0009__x0009__x0009_&lt;td style="width:42px;height:29px;"&gt;_x0009__x0009__x0009_&lt;p align="center"&gt;3.&lt;/p&gt;_x0009__x0009__x0009_&lt;/td&gt;_x0009__x0009__x0009_&lt;td style="width:113px;height:29px;"&gt;_x0009__x0009__x0009_&lt;p&gt;Trimetylamín&lt;/p&gt;_x0009__x0009__x0009_&lt;/td&gt;_x0009__x0009__x0009_&lt;td style="width:76px;height:29px;"&gt;_x0009__x0009__x0009_&lt;p&gt;75-50-3&lt;/p&gt;_x0009__x0009__x0009_&lt;/td&gt;_x0009__x0009__x0009_&lt;td style="width:416px;height:29px;"&gt;_x0009__x0009__x0009_&lt;p&gt;Využiteľný vo forenznej chémii (typický zápach pri rozklade tkanív).&lt;/p&gt;_x0009__x0009__x0009_&lt;/td&gt;_x0009__x0009__x0009_&lt;td height="29" style="height:29px;"&gt;&amp;nbsp;&lt;/td&gt;_x0009__x0009_&lt;/tr&gt;_x0009__x0009_&lt;tr&gt;_x0009__x0009__x0009_&lt;td style="width:42px;height:29px;"&gt;_x0009__x0009__x0009_&lt;p align="center"&gt;4.&lt;/p&gt;_x0009__x0009__x0009_&lt;/td&gt;_x0009__x0009__x0009_&lt;td style="width:113px;height:29px;"&gt;_x0009__x0009__x0009_&lt;p&gt;2-Fenylpropán (kumén)&lt;/p&gt;_x0009__x0009__x0009_&lt;/td&gt;_x0009__x0009__x0009_&lt;td style="width:76px;height:29px;"&gt;_x0009__x0009__x0009_&lt;p&gt;98-82-8&lt;/p&gt;_x0009__x0009__x0009_&lt;/td&gt;_x0009__x0009__x0009_&lt;td style="width:416px;height:29px;"&gt;_x0009__x0009__x0009_&lt;p&gt;Zložka surovej ropy a&amp;nbsp;rafinovaných palív; využíva sa tiež pre syntézu iných priemyselne dôležitých chemikálií.&lt;/p&gt;_x0009__x0009__x0009_&lt;/td&gt;_x0009__x0009__x0009_&lt;td height="29" style="height:29px;"&gt;&amp;nbsp;&lt;/td&gt;_x0009__x0009_&lt;/tr&gt;_x0009__x0009_&lt;tr&gt;_x0009__x0009__x0009_&lt;td style="width:42px;height:28px;"&gt;_x0009__x0009__x0009_&lt;p align="center"&gt;5.&lt;/p&gt;_x0009__x0009__x0009_&lt;/td&gt;_x0009__x0009__x0009_&lt;td style="width:113px;height:28px;"&gt;_x0009__x0009__x0009_&lt;p&gt;sek-Butylacetát&lt;/p&gt;_x0009__x0009__x0009_&lt;/td&gt;_x0009__x0009__x0009_&lt;td style="width:76px;height:28px;"&gt;_x0009__x0009__x0009_&lt;p&gt;105-46-4&lt;/p&gt;_x0009__x0009__x0009_&lt;/td&gt;_x0009__x0009__x0009_&lt;td rowspan="3" style="width:416px;height:28px;"&gt;_x0009__x0009__x0009_&lt;p&gt;Butylacetáty majú široké použitie v&amp;nbsp;laboratórnej praxi ako laboratórne činidlá; využívajú sa tiež v&amp;nbsp;chemickom priemysle pri formulácii zmesí,&amp;nbsp; a&amp;nbsp;tiež ako chemikálie pre náterové hmoty, farby a&amp;nbsp;riedidlá; technické kvapaliny, základné suroviny pre chemický priemysel.&lt;/p&gt;_x0009__x0009__x0009_&lt;/td&gt;_x0009__x0009__x0009_&lt;td height="28" style="height:28px;"&gt;&amp;nbsp;&lt;/td&gt;_x0009__x0009_&lt;/tr&gt;_x0009__x0009_&lt;tr&gt;_x0009__x0009__x0009_&lt;td style="width:42px;height:19px;"&gt;_x0009__x0009__x0009_&lt;p align="center"&gt;6.&lt;/p&gt;_x0009__x0009__x0009_&lt;/td&gt;_x0009__x0009__x0009_&lt;td style="width:113px;height:19px;"&gt;_x0009__x0009__x0009_&lt;p&gt;izo-Butylacetát&lt;/p&gt;_x0009__x0009__x0009_&lt;/td&gt;_x0009__x0009__x0009_&lt;td style="width:76px;height:19px;"&gt;_x0009__x0009__x0009_&lt;p&gt;110-19-0&lt;/p&gt;_x0009__x0009__x0009_&lt;/td&gt;_x0009__x0009__x0009_&lt;td height="19" style="height:19px;"&gt;&amp;nbsp;&lt;/td&gt;_x0009__x0009_&lt;/tr&gt;_x0009__x0009_&lt;tr&gt;_x0009__x0009__x0009_&lt;td style="width:42px;height:25px;"&gt;_x0009__x0009__x0009_&lt;p align="center"&gt;7.&lt;/p&gt;_x0009__x0009__x0009_&lt;/td&gt;_x0009__x0009__x0009_&lt;td style="width:113px;height:25px;"&gt;_x0009__x0009__x0009_&lt;p&gt;&lt;em&gt;n&lt;/em&gt;-Butylacetát&lt;/p&gt;_x0009__x0009__x0009_&lt;/td&gt;_x0009__x0009__x0009_&lt;td style="width:76px;height:25px;"&gt;_x0009__x0009__x0009_&lt;p&gt;123-86-4&lt;/p&gt;_x0009__x0009__x0009_&lt;/td&gt;_x0009__x0009__x0009_&lt;td height="25" style="height:25px;"&gt;&amp;nbsp;&lt;/td&gt;_x0009__x0009_&lt;/tr&gt;_x0009__x0009_&lt;tr&gt;_x0009__x0009__x0009_&lt;td style="width:42px;height:24px;"&gt;_x0009__x0009__x0009_&lt;p align="center"&gt;8.&lt;/p&gt;_x0009__x0009__x0009_&lt;/td&gt;_x0009__x0009__x0009_&lt;td style="width:113px;height:24px;"&gt;_x0009__x0009__x0009_&lt;p&gt;Izoamylalkohol&lt;/p&gt;_x0009__x0009__x0009_&lt;/td&gt;_x0009__x0009__x0009_&lt;td style="width:76px;height:24px;"&gt;_x0009__x0009__x0009_&lt;p&gt;123-51-3&lt;/p&gt;_x0009__x0009__x0009_&lt;/td&gt;_x0009__x0009__x0009_&lt;td style="width:416px;height:24px;"&gt;_x0009__x0009__x0009_&lt;p&gt;Laboratórna chemikália; chemikália pre syntézu.&lt;/p&gt;_x0009__x0009__x0009_&lt;/td&gt;_x0009__x0009__x0009_&lt;td height="24" style="height:24px;"&gt;&amp;nbsp;&lt;/td&gt;_x0009__x0009_&lt;/tr&gt;_x0009__x0009_&lt;tr&gt;_x0009__x0009__x0009_&lt;td style="width:42px;height:24px;"&gt;_x0009__x0009__x0009_&lt;p align="center"&gt;9.&lt;/p&gt;_x0009__x0009__x0009_&lt;/td&gt;_x0009__x0009__x0009_&lt;td style="width:113px;height:24px;"&gt;_x0009__x0009__x0009_&lt;p&gt;4-Metylanilín&lt;/p&gt;_x0009__x0009__x0009_&lt;/td&gt;_x0009__x0009__x0009_&lt;td style="width:76px;height:24px;"&gt;_x0009__x0009__x0009_&lt;p&gt;106-49-0&lt;/p&gt;_x0009__x0009__x0009_&lt;/td&gt;_x0009__x0009__x0009_&lt;td style="width:416px;height:24px;"&gt;_x0009__x0009__x0009_&lt;p&gt;Súčasť rodenticídnych látok.&lt;/p&gt;_x0009__x0009__x0009_&lt;/td&gt;_x0009__x0009__x0009_&lt;td height="24" style="height:24px;"&gt;&amp;nbsp;&lt;/td&gt;_x0009__x0009_&lt;/tr&gt;_x0009__x0009_&lt;tr&gt;_x0009__x0009__x0009_&lt;td style="width:42px;height:29px;"&gt;_x0009__x0009__x0009_&lt;p align="center"&gt;10.&lt;/p&gt;_x0009__x0009__x0009_&lt;/td&gt;_x0009__x0009__x0009_&lt;td style="width:113px;height:29px;"&gt;_x0009__x0009__x0009_&lt;p&gt;Trichlorid-oxid fosforečný&lt;/p&gt;_x0009__x0009__x0009_&lt;/td&gt;_x0009__x0009__x0009_&lt;td style="width:76px;height:29px;"&gt;_x0009__x0009__x0009_&lt;p&gt;10025-87-3&lt;/p&gt;_x0009__x0009__x0009_&lt;/td&gt;_x0009__x0009__x0009_&lt;td style="width:416px;height:29px;"&gt;_x0009__x0009__x0009_&lt;p&gt;Najvýznamnejším použitím je výroba triarylfosfátov, ktoré sa používajú ako spomaľovače horenia a&amp;nbsp;plastifikátory do PVC. Používa sa tiež ako bezpečný kvapalný zdroj fosforu v&amp;nbsp;difúznych procesoch – vystupuje ako dopant pre výrobu polovodičových vrstiev typu N. V&amp;nbsp;laboratórnych podmienkach sa používa ako dehydratačné činidlo.&lt;/p&gt;_x0009__x0009__x0009_&lt;/td&gt;_x0009__x0009__x0009_&lt;td height="29" style="height:29px;"&gt;&amp;nbsp;&lt;/td&gt;_x0009__x0009_&lt;/tr&gt;_x0009_&lt;/tbody&gt;&lt;/table&gt;&lt;p&gt;Vysvetlivky:&lt;/p&gt;&lt;p&gt;chemický faktor na šedom podklade = nový v&amp;nbsp;legislatíve SR&lt;/p&gt;&lt;p align="center"&gt;&amp;nbsp;&lt;/p&gt;&lt;p align="center"&gt;&amp;nbsp;&lt;/p&gt;&lt;p align="center"&gt;&amp;nbsp;&lt;/p&gt;&lt;p align="center"&gt;&amp;nbsp;&lt;/p&gt;&lt;p align="center"&gt;&amp;nbsp;&lt;/p&gt;&lt;p align="center"&gt;&amp;nbsp;&lt;/p&gt;&lt;p&gt;&amp;nbsp;&lt;/p&gt;&lt;p&gt;Tabuľka č. 2&lt;/p&gt;&lt;p align="center"&gt;&lt;strong&gt;Porovnanie zmien pri expozícii 7 chemickým faktorom, &lt;/strong&gt;&lt;/p&gt;&lt;p align="center"&gt;&lt;strong&gt;ktoré už sú zavedené v&amp;nbsp;legislatíve SR &lt;/strong&gt;&lt;/p&gt;&lt;p align="right"&gt;&amp;nbsp;&lt;/p&gt;&lt;table border="1" cellpadding="0" cellspacing="0" width="0"&gt;_x0009_&lt;tbody&gt;_x0009__x0009_&lt;tr&gt;_x0009__x0009__x0009_&lt;td rowspan="3" style="width:28px;height:47px;"&gt;_x0009__x0009__x0009_&lt;p align="center"&gt;&lt;strong&gt;Por. číslo&lt;/strong&gt;&lt;/p&gt;_x0009__x0009__x0009_&lt;p align="center"&gt;&amp;nbsp;&lt;/p&gt;_x0009__x0009__x0009_&lt;/td&gt;_x0009__x0009__x0009_&lt;td rowspan="3" style="width:94px;height:47px;"&gt;_x0009__x0009__x0009_&lt;p align="center"&gt;&lt;strong&gt;Názov chemického faktora&lt;/strong&gt;&lt;/p&gt;_x0009__x0009__x0009_&lt;/td&gt;_x0009__x0009__x0009_&lt;td rowspan="3" style="width:76px;height:47px;"&gt;_x0009__x0009__x0009_&lt;p align="center"&gt;&lt;strong&gt;CAS č.&lt;/strong&gt;&lt;/p&gt;_x0009__x0009__x0009_&lt;/td&gt;_x0009__x0009__x0009_&lt;td colspan="4" style="width:170px;height:47px;"&gt;_x0009__x0009__x0009_&lt;p align="center"&gt;&lt;strong&gt;Aktuálne NPEL podľa NV SR č. 355/2006 Z. z.&lt;/strong&gt;&lt;/p&gt;_x0009__x0009__x0009_&lt;/td&gt;_x0009__x0009__x0009_&lt;td colspan="4" style="width:170px;height:47px;"&gt;_x0009__x0009__x0009_&lt;p align="center"&gt;&lt;strong&gt;Limitné hodnoty podľa smernice Komisie (EÚ) &lt;/strong&gt;&lt;/p&gt;_x0009__x0009__x0009_&lt;/td&gt;_x0009__x0009__x0009_&lt;td rowspan="3" style="width:104px;height:47px;"&gt;_x0009__x0009__x0009_&lt;p align="center"&gt;&lt;strong&gt;Poznámka&lt;/strong&gt;&lt;/p&gt;_x0009__x0009__x0009_&lt;/td&gt;_x0009__x0009_&lt;/tr&gt;_x0009__x0009_&lt;tr&gt;_x0009__x0009__x0009_&lt;td colspan="2" style="width:85px;height:47px;"&gt;_x0009__x0009__x0009_&lt;p align="center"&gt;priemerný&lt;/p&gt;_x0009__x0009__x0009_&lt;/td&gt;_x0009__x0009__x0009_&lt;td colspan="2" style="width:85px;height:47px;"&gt;_x0009__x0009__x0009_&lt;p align="center"&gt;krátkodobý&lt;/p&gt;_x0009__x0009__x0009_&lt;/td&gt;_x0009__x0009__x0009_&lt;td colspan="2" style="width:85px;height:47px;"&gt;_x0009__x0009__x0009_&lt;p align="center"&gt;pre 8-hod. expozíciu&lt;/p&gt;_x0009__x0009__x0009_&lt;/td&gt;_x0009__x0009__x0009_&lt;td colspan="2" style="width:85px;height:47px;"&gt;_x0009__x0009__x0009_&lt;p align="center"&gt;pre krátkodobú expozíciu&lt;/p&gt;_x0009__x0009__x0009_&lt;/td&gt;_x0009__x0009_&lt;/tr&gt;_x0009__x0009_&lt;tr&gt;_x0009__x0009__x0009_&lt;td style="width:47px;height:27px;"&gt;_x0009__x0009__x0009_&lt;p align="center"&gt;mg.m&lt;sup&gt;-3&lt;/sup&gt;&lt;/p&gt;_x0009__x0009__x0009_&lt;/td&gt;_x0009__x0009__x0009_&lt;td style="width:38px;height:27px;"&gt;_x0009__x0009__x0009_&lt;p align="center"&gt;ppm&lt;/p&gt;_x0009__x0009__x0009_&lt;/td&gt;_x0009__x0009__x0009_&lt;td style="width:47px;height:27px;"&gt;_x0009__x0009__x0009_&lt;p align="center"&gt;mg.m&lt;sup&gt;-3&lt;/sup&gt;&lt;/p&gt;_x0009__x0009__x0009_&lt;/td&gt;_x0009__x0009__x0009_&lt;td style="width:38px;height:27px;"&gt;_x0009__x0009__x0009_&lt;p align="center"&gt;ppm&lt;/p&gt;_x0009__x0009__x0009_&lt;/td&gt;_x0009__x0009__x0009_&lt;td style="width:47px;height:27px;"&gt;_x0009__x0009__x0009_&lt;p align="center"&gt;mg.m&lt;sup&gt;-3&lt;/sup&gt;&lt;/p&gt;_x0009__x0009__x0009_&lt;/td&gt;_x0009__x0009__x0009_&lt;td style="width:38px;height:27px;"&gt;_x0009__x0009__x0009_&lt;p align="center"&gt;ppm&lt;/p&gt;_x0009__x0009__x0009_&lt;/td&gt;_x0009__x0009__x0009_&lt;td style="width:47px;height:27px;"&gt;_x0009__x0009__x0009_&lt;p align="center"&gt;mg.m&lt;sup&gt;-3&lt;/sup&gt;&lt;/p&gt;_x0009__x0009__x0009_&lt;/td&gt;_x0009__x0009__x0009_&lt;td style="width:38px;height:27px;"&gt;_x0009__x0009__x0009_&lt;p align="center"&gt;ppm&lt;/p&gt;_x0009__x0009__x0009_&lt;/td&gt;_x0009__x0009_&lt;/tr&gt;_x0009__x0009_&lt;tr&gt;_x0009__x0009__x0009_&lt;td rowspan="2" style="width:28px;height:15px;"&gt;_x0009__x0009__x0009_&lt;p align="center"&gt;1.&lt;/p&gt;_x0009__x0009__x0009_&lt;/td&gt;_x0009__x0009__x0009_&lt;td rowspan="2" style="width:94px;height:15px;"&gt;_x0009__x0009__x0009_&lt;p&gt;Anilín&lt;/p&gt;_x0009__x0009__x0009_&lt;/td&gt;_x0009__x0009__x0009_&lt;td rowspan="2" style="width:76px;height:15px;"&gt;_x0009__x0009__x0009_&lt;p&gt;62-53-3&lt;/p&gt;_x0009__x0009__x0009_&lt;/td&gt;_x0009__x0009__x0009_&lt;td rowspan="2" style="width:47px;height:15px;"&gt;_x0009__x0009__x0009_&lt;p align="center"&gt;7,7&lt;/p&gt;_x0009__x0009__x0009_&lt;/td&gt;_x0009__x0009__x0009_&lt;td rowspan="2" style="width:38px;height:15px;"&gt;_x0009__x0009__x0009_&lt;p align="center"&gt;2&lt;/p&gt;_x0009__x0009__x0009_&lt;/td&gt;_x0009__x0009__x0009_&lt;td rowspan="2" style="width:47px;height:15px;"&gt;_x0009__x0009__x0009_&lt;p align="center"&gt;-&lt;/p&gt;_x0009__x0009__x0009_&lt;/td&gt;_x0009__x0009__x0009_&lt;td rowspan="2" style="width:38px;height:15px;"&gt;_x0009__x0009__x0009_&lt;p align="center"&gt;-&lt;/p&gt;_x0009__x0009__x0009_&lt;/td&gt;_x0009__x0009__x0009_&lt;td rowspan="2" style="width:47px;height:15px;"&gt;_x0009__x0009__x0009_&lt;p align="center"&gt;7,74&lt;/p&gt;_x0009__x0009__x0009_&lt;/td&gt;_x0009__x0009__x0009_&lt;td rowspan="2" style="width:38px;height:15px;"&gt;_x0009__x0009__x0009_&lt;p align="center"&gt;2&lt;/p&gt;_x0009__x0009__x0009_&lt;/td&gt;_x0009__x0009__x0009_&lt;td rowspan="2" style="width:47px;height:15px;"&gt;_x0009__x0009__x0009_&lt;p align="center"&gt;19,35&lt;/p&gt;_x0009__x0009__x0009_&lt;/td&gt;_x0009__x0009__x0009_&lt;td rowspan="2" style="width:38px;height:15px;"&gt;_x0009__x0009__x0009_&lt;p align="center"&gt;5&lt;/p&gt;_x0009__x0009__x0009_&lt;/td&gt;_x0009__x0009__x0009_&lt;td style="width:104px;height:15px;"&gt;_x0009__x0009__x0009_&lt;p align="center"&gt;K&lt;/p&gt;_x0009__x0009__x0009_&lt;/td&gt;_x0009__x0009_&lt;/tr&gt;_x0009__x0009_&lt;tr&gt;_x0009__x0009__x0009_&lt;td style="width:104px;height:39px;"&gt;_x0009__x0009__x0009_&lt;p align="center"&gt;Minimálne zmäkčenie priemerného NPEL&lt;/p&gt;_x0009__x0009__x0009_&lt;/td&gt;_x0009__x0009_&lt;/tr&gt;_x0009__x0009_&lt;tr&gt;_x0009__x0009__x0009_&lt;td style="width:28px;height:37px;"&gt;_x0009__x0009__x0009_&lt;p align="center"&gt;2.&lt;/p&gt;_x0009__x0009__x0009_&lt;/td&gt;_x0009__x0009__x0009_&lt;td style="width:94px;height:37px;"&gt;_x0009__x0009__x0009_&lt;p&gt;Chlórmetán&lt;/p&gt;_x0009__x0009__x0009_&lt;/td&gt;_x0009__x0009__x0009_&lt;td style="width:76px;height:37px;"&gt;_x0009__x0009__x0009_&lt;p&gt;74-87-3&lt;/p&gt;_x0009__x0009__x0009_&lt;/td&gt;_x0009__x0009__x0009_&lt;td style="width:47px;height:37px;"&gt;_x0009__x0009__x0009_&lt;p align="center"&gt;100&lt;/p&gt;_x0009__x0009__x0009_&lt;/td&gt;_x0009__x0009__x0009_&lt;td style="width:38px;height:37px;"&gt;_x0009__x0009__x0009_&lt;p align="center"&gt;50&lt;/p&gt;_x0009__x0009__x0009_&lt;/td&gt;_x0009__x0009__x0009_&lt;td style="width:47px;height:37px;"&gt;_x0009__x0009__x0009_&lt;p align="center"&gt;200&lt;/p&gt;_x0009__x0009__x0009_&lt;/td&gt;_x0009__x0009__x0009_&lt;td style="width:38px;height:37px;"&gt;_x0009__x0009__x0009_&lt;p align="center"&gt;100&lt;/p&gt;_x0009__x0009__x0009_&lt;/td&gt;_x0009__x0009__x0009_&lt;td style="width:47px;height:37px;"&gt;_x0009__x0009__x0009_&lt;p align="center"&gt;42&lt;/p&gt;_x0009__x0009__x0009_&lt;/td&gt;_x0009__x0009__x0009_&lt;td style="width:38px;height:37px;"&gt;_x0009__x0009__x0009_&lt;p align="center"&gt;20&lt;/p&gt;_x0009__x0009__x0009_&lt;/td&gt;_x0009__x0009__x0009_&lt;td style="width:47px;height:37px;"&gt;_x0009__x0009__x0009_&lt;p align="center"&gt;-&lt;/p&gt;_x0009__x0009__x0009_&lt;/td&gt;_x0009__x0009__x0009_&lt;td style="width:38px;height:37px;"&gt;_x0009__x0009__x0009_&lt;p align="center"&gt;-&lt;/p&gt;_x0009__x0009__x0009_&lt;/td&gt;_x0009__x0009__x0009_&lt;td style="width:104px;height:37px;"&gt;_x0009__x0009__x0009_&lt;p align="center"&gt;Sprísnenie priemerného NPEL 2,5 x&lt;/p&gt;_x0009__x0009__x0009_&lt;/td&gt;_x0009__x0009_&lt;/tr&gt;_x0009__x0009_&lt;tr&gt;_x0009__x0009__x0009_&lt;td rowspan="2" style="width:28px;height:16px;"&gt;_x0009__x0009__x0009_&lt;p align="center"&gt;3.&lt;/p&gt;_x0009__x0009__x0009_&lt;/td&gt;_x0009__x0009__x0009_&lt;td rowspan="2" style="width:94px;height:16px;"&gt;_x0009__x0009__x0009_&lt;p&gt;2-Fenylpropán (kumén)&lt;/p&gt;_x0009__x0009__x0009_&lt;/td&gt;_x0009__x0009__x0009_&lt;td rowspan="2" style="width:76px;height:16px;"&gt;_x0009__x0009__x0009_&lt;p&gt;98-82-8&lt;/p&gt;_x0009__x0009__x0009_&lt;/td&gt;_x0009__x0009__x0009_&lt;td rowspan="2" style="width:47px;height:16px;"&gt;_x0009__x0009__x0009_&lt;p align="center"&gt;246&lt;/p&gt;_x0009__x0009__x0009_&lt;/td&gt;_x0009__x0009__x0009_&lt;td rowspan="2" style="width:38px;height:16px;"&gt;_x0009__x0009__x0009_&lt;p align="center"&gt;50&lt;/p&gt;_x0009__x0009__x0009_&lt;/td&gt;_x0009__x0009__x0009_&lt;td rowspan="2" style="width:47px;height:16px;"&gt;_x0009__x0009__x0009_&lt;p align="center"&gt;492&lt;/p&gt;_x0009__x0009__x0009_&lt;/td&gt;_x0009__x0009__x0009_&lt;td rowspan="2" style="width:38px;height:16px;"&gt;_x0009__x0009__x0009_&lt;p align="center"&gt;100&lt;/p&gt;_x0009__x0009__x0009_&lt;/td&gt;_x0009__x0009__x0009_&lt;td rowspan="2" style="width:47px;height:16px;"&gt;_x0009__x0009__x0009_&lt;p align="center"&gt;50&lt;/p&gt;_x0009__x0009__x0009_&lt;/td&gt;_x0009__x0009__x0009_&lt;td rowspan="2" style="width:38px;height:16px;"&gt;_x0009__x0009__x0009_&lt;p align="center"&gt;10&lt;/p&gt;_x0009__x0009__x0009_&lt;/td&gt;_x0009__x0009__x0009_&lt;td rowspan="2" style="width:47px;height:16px;"&gt;_x0009__x0009__x0009_&lt;p align="center"&gt;250&lt;/p&gt;_x0009__x0009__x0009_&lt;/td&gt;_x0009__x0009__x0009_&lt;td rowspan="2" style="width:38px;height:16px;"&gt;_x0009__x0009__x0009_&lt;p align="center"&gt;50&lt;/p&gt;_x0009__x0009__x0009_&lt;/td&gt;_x0009__x0009__x0009_&lt;td style="width:104px;height:16px;"&gt;_x0009__x0009__x0009_&lt;p align="center"&gt;K&lt;/p&gt;_x0009__x0009__x0009_&lt;/td&gt;_x0009__x0009_&lt;/tr&gt;_x0009__x0009_&lt;tr&gt;_x0009__x0009__x0009_&lt;td style="width:104px;height:23px;"&gt;_x0009__x0009__x0009_&lt;p align="center"&gt;Sprísnenie priemerného NPEL 4,9 x&lt;/p&gt;_x0009__x0009__x0009_&lt;/td&gt;_x0009__x0009_&lt;/tr&gt;_x0009__x0009_&lt;tr&gt;_x0009__x0009__x0009_&lt;td style="width:28px;height:36px;"&gt;_x0009__x0009__x0009_&lt;p align="center"&gt;4.&lt;/p&gt;_x0009__x0009__x0009_&lt;/td&gt;_x0009__x0009__x0009_&lt;td style="width:94px;height:36px;"&gt;_x0009__x0009__x0009_&lt;p&gt;sek-Butylacetát&lt;/p&gt;_x0009__x0009__x0009_&lt;/td&gt;_x0009__x0009__x0009_&lt;td style="width:76px;height:36px;"&gt;_x0009__x0009__x0009_&lt;p&gt;105-46-4&lt;/p&gt;_x0009__x0009__x0009_&lt;/td&gt;_x0009__x0009__x0009_&lt;td style="width:47px;height:36px;"&gt;_x0009__x0009__x0009_&lt;p align="center"&gt;500&lt;/p&gt;_x0009__x0009__x0009_&lt;/td&gt;_x0009__x0009__x0009_&lt;td style="width:38px;height:36px;"&gt;_x0009__x0009__x0009_&lt;p align="center"&gt;100&lt;/p&gt;_x0009__x0009__x0009_&lt;/td&gt;_x0009__x0009__x0009_&lt;td style="width:47px;height:36px;"&gt;_x0009__x0009__x0009_&lt;p align="center"&gt;700&lt;/p&gt;_x0009__x0009__x0009_&lt;/td&gt;_x0009__x0009__x0009_&lt;td style="width:38px;height:36px;"&gt;_x0009__x0009__x0009_&lt;p align="center"&gt;150&lt;/p&gt;_x0009__x0009__x0009_&lt;/td&gt;_x0009__x0009__x0009_&lt;td style="width:47px;height:36px;"&gt;_x0009__x0009__x0009_&lt;p align="center"&gt;241&lt;/p&gt;_x0009__x0009__x0009_&lt;/td&gt;_x0009__x0009__x0009_&lt;td style="width:38px;height:36px;"&gt;_x0009__x0009__x0009_&lt;p align="center"&gt;50&lt;/p&gt;_x0009__x0009__x0009_&lt;/td&gt;_x0009__x0009__x0009_&lt;td style="width:47px;height:36px;"&gt;_x0009__x0009__x0009_&lt;p align="center"&gt;723&lt;/p&gt;_x0009__x0009__x0009_&lt;/td&gt;_x0009__x0009__x0009_&lt;td style="width:38px;height:36px;"&gt;_x0009__x0009__x0009_&lt;p align="center"&gt;150&lt;/p&gt;_x0009__x0009__x0009_&lt;/td&gt;_x0009__x0009__x0009_&lt;td style="width:104px;height:36px;"&gt;_x0009__x0009__x0009_&lt;p align="center"&gt;Sprísnenie priemerného NPEL&lt;/p&gt;_x0009__x0009__x0009_&lt;p align="center"&gt;2 x&lt;/p&gt;_x0009__x0009__x0009_&lt;/td&gt;_x0009__x0009_&lt;/tr&gt;_x0009__x0009_&lt;tr&gt;_x0009__x0009__x0009_&lt;td style="width:28px;height:36px;"&gt;_x0009__x0009__x0009_&lt;p align="center"&gt;5.&lt;/p&gt;_x0009__x0009__x0009_&lt;/td&gt;_x0009__x0009__x0009_&lt;td style="width:94px;height:36px;"&gt;_x0009__x0009__x0009_&lt;p&gt;izo-Butylacetát&lt;/p&gt;_x0009__x0009__x0009_&lt;/td&gt;_x0009__x0009__x0009_&lt;td style="width:76px;height:36px;"&gt;_x0009__x0009__x0009_&lt;p&gt;110-19-0&lt;/p&gt;_x0009__x0009__x0009_&lt;/td&gt;_x0009__x0009__x0009_&lt;td style="width:47px;height:36px;"&gt;_x0009__x0009__x0009_&lt;p align="center"&gt;500&lt;/p&gt;_x0009__x0009__x0009_&lt;/td&gt;_x0009__x0009__x0009_&lt;td style="width:38px;height:36px;"&gt;_x0009__x0009__x0009_&lt;p align="center"&gt;100&lt;/p&gt;_x0009__x0009__x0009_&lt;/td&gt;_x0009__x0009__x0009_&lt;td style="width:47px;height:36px;"&gt;_x0009__x0009__x0009_&lt;p align="center"&gt;700&lt;/p&gt;_x0009__x0009__x0009_&lt;/td&gt;_x0009__x0009__x0009_&lt;td style="width:38px;height:36px;"&gt;_x0009__x0009__x0009_&lt;p align="center"&gt;150&lt;/p&gt;_x0009__x0009__x0009_&lt;/td&gt;_x0009__x0009__x0009_&lt;td style="width:47px;height:36px;"&gt;_x0009__x0009__x0009_&lt;p align="center"&gt;241&lt;/p&gt;_x0009__x0009__x0009_&lt;/td&gt;_x0009__x0009__x0009_&lt;td style="width:38px;height:36px;"&gt;_x0009__x0009__x0009_&lt;p align="center"&gt;50&lt;/p&gt;_x0009__x0009__x0009_&lt;/td&gt;_x0009__x0009__x0009_&lt;td style="width:47px;height:36px;"&gt;_x0009__x0009__x0009_&lt;p align="center"&gt;723&lt;/p&gt;_x0009__x0009__x0009_&lt;/td&gt;_x0009__x0009__x0009_&lt;td style="width:38px;height:36px;"&gt;_x0009__x0009__x0009_&lt;p align="center"&gt;150&lt;/p&gt;_x0009__x0009__x0009_&lt;/td&gt;_x0009__x0009__x0009_&lt;td style="width:104px;height:36px;"&gt;_x0009__x0009__x0009_&lt;p align="center"&gt;Sprísnenie priemerného NPEL&lt;/p&gt;_x0009__x0009__x0009_&lt;p align="center"&gt;2 x&lt;/p&gt;_x0009__x0009__x0009_&lt;/td&gt;_x0009__x0009_&lt;/tr&gt;_x0009__x0009_&lt;tr&gt;_x0009__x0009__x0009_&lt;td style="width:28px;height:38px;"&gt;_x0009__x0009__x0009_&lt;p align="center"&gt;6.&lt;/p&gt;_x0009__x0009__x0009_&lt;/td&gt;_x0009__x0009__x0009_&lt;td style="width:94px;height:38px;"&gt;_x0009__x0009__x0009_&lt;p&gt;&lt;em&gt;n&lt;/em&gt;-Butylacetát&lt;/p&gt;_x0009__x0009__x0009_&lt;/td&gt;_x0009__x0009__x0009_&lt;td style="width:76px;height:38px;"&gt;_x0009__x0009__x0009_&lt;p&gt;123-86-4&lt;/p&gt;_x0009__x0009__x0009_&lt;/td&gt;_x0009__x0009__x0009_&lt;td style="width:47px;height:38px;"&gt;_x0009__x0009__x0009_&lt;p align="center"&gt;500&lt;/p&gt;_x0009__x0009__x0009_&lt;/td&gt;_x0009__x0009__x0009_&lt;td style="width:38px;height:38px;"&gt;_x0009__x0009__x0009_&lt;p align="center"&gt;100&lt;/p&gt;_x0009__x0009__x0009_&lt;/td&gt;_x0009__x0009__x0009_&lt;td style="width:47px;height:38px;"&gt;_x0009__x0009__x0009_&lt;p align="center"&gt;700&lt;/p&gt;_x0009__x0009__x0009_&lt;/td&gt;_x0009__x0009__x0009_&lt;td style="width:38px;height:38px;"&gt;_x0009__x0009__x0009_&lt;p align="center"&gt;150&lt;/p&gt;_x0009__x0009__x0009_&lt;/td&gt;_x0009__x0009__x0009_&lt;td style="width:47px;height:38px;"&gt;_x0009__x0009__x0009_&lt;p align="center"&gt;241&lt;/p&gt;_x0009__x0009__x0009_&lt;/td&gt;_x0009__x0009__x0009_&lt;td style="width:38px;height:38px;"&gt;_x0009__x0009__x0009_&lt;p align="center"&gt;50&lt;/p&gt;_x0009__x0009__x0009_&lt;/td&gt;_x0009__x0009__x0009_&lt;td style="width:47px;height:38px;"&gt;_x0009__x0009__x0009_&lt;p align="center"&gt;723&lt;/p&gt;_x0009__x0009__x0009_&lt;/td&gt;_x0009__x0009__x0009_&lt;td style="width:38px;height:38px;"&gt;_x0009__x0009__x0009_&lt;p align="center"&gt;150&lt;/p&gt;_x0009__x0009__x0009_&lt;/td&gt;_x0009__x0009__x0009_&lt;td style="width:104px;height:38px;"&gt;_x0009__x0009__x0009_&lt;p align="center"&gt;Sprísnenie priemerného NPEL&lt;/p&gt;_x0009__x0009__x0009_&lt;p align="center"&gt;2 x&lt;/p&gt;_x0009__x0009__x0009_&lt;/td&gt;_x0009__x0009_&lt;/tr&gt;_x0009__x0009_&lt;tr&gt;_x0009__x0009__x0009_&lt;td style="width:28px;height:28px;"&gt;_x0009__x0009__x0009_&lt;p align="center"&gt;7.&lt;/p&gt;_x0009__x0009__x0009_&lt;/td&gt;_x0009__x0009__x0009_&lt;td style="width:94px;height:28px;"&gt;_x0009__x0009__x0009_&lt;p&gt;Trichlorid-oxid fosforečný&lt;/p&gt;_x0009__x0009__x0009_&lt;/td&gt;_x0009__x0009__x0009_&lt;td style="width:76px;height:28px;"&gt;_x0009__x0009__x0009_&lt;p&gt;10025-87-3&lt;/p&gt;_x0009__x0009__x0009_&lt;/td&gt;_x0009__x0009__x0009_&lt;td style="width:47px;height:28px;"&gt;_x0009__x0009__x0009_&lt;p align="center"&gt;1,3&lt;/p&gt;_x0009__x0009__x0009_&lt;/td&gt;_x0009__x0009__x0009_&lt;td style="width:38px;height:28px;"&gt;_x0009__x0009__x0009_&lt;p align="center"&gt;0,2&lt;/p&gt;_x0009__x0009__x0009_&lt;/td&gt;_x0009__x0009__x0009_&lt;td style="width:47px;height:28px;"&gt;_x0009__x0009__x0009_&lt;p align="center"&gt;-&lt;/p&gt;_x0009__x0009__x0009_&lt;/td&gt;_x0009__x0009__x0009_&lt;td style="width:38px;height:28px;"&gt;_x0009__x0009__x0009_&lt;p align="center"&gt;-&lt;/p&gt;_x0009__x0009__x0009_&lt;/td&gt;_x0009__x0009__x0009_&lt;td style="width:47px;height:28px;"&gt;_x0009__x0009__x0009_&lt;p align="center"&gt;0,064&lt;/p&gt;_x0009__x0009__x0009_&lt;/td&gt;_x0009__x0009__x0009_&lt;td style="width:38px;height:28px;"&gt;_x0009__x0009__x0009_&lt;p align="center"&gt;0,01&lt;/p&gt;_x0009__x0009__x0009_&lt;/td&gt;_x0009__x0009__x0009_&lt;td style="width:47px;height:28px;"&gt;_x0009__x0009__x0009_&lt;p align="center"&gt;0,12&lt;/p&gt;_x0009__x0009__x0009_&lt;/td&gt;_x0009__x0009__x0009_&lt;td style="width:38px;height:28px;"&gt;_x0009__x0009__x0009_&lt;p align="center"&gt;0,02&lt;/p&gt;_x0009__x0009__x0009_&lt;/td&gt;_x0009__x0009__x0009_&lt;td style="width:104px;height:28px;"&gt;_x0009__x0009__x0009_&lt;p align="center"&gt;Sprísnenie&lt;/p&gt;_x0009__x0009__x0009_&lt;p align="center"&gt;priemerného NPEL&lt;/p&gt;_x0009__x0009__x0009_&lt;p align="center"&gt;20 x&lt;/p&gt;_x0009__x0009__x0009_&lt;/td&gt;_x0009__x0009_&lt;/tr&gt;_x0009_&lt;/tbody&gt;&lt;/table&gt;&lt;p&gt;Vysvetlivky:&lt;/p&gt;&lt;p&gt;K – prienik cez kožu: Niektoré faktory môžu prenikať ľahko cez kožu a spôsobovať smrteľné otravy často bez varovných príznakov.&lt;/p&gt;&lt;p&gt;&amp;nbsp;&lt;/p&gt;&lt;p&gt;&amp;nbsp;&lt;/p&gt;&lt;p&gt;&amp;nbsp;&lt;/p&gt;</vt:lpwstr>
  </property>
  <property name="FSC#SKEDITIONSLOVLEX@103.510:AttrStrListDocPropTextKomunike" pid="68" fmtid="{D5CDD505-2E9C-101B-9397-08002B2CF9AE}">
    <vt:lpwstr/>
  </property>
  <property name="FSC#SKEDITIONSLOVLEX@103.510:AttrStrListDocPropUznesenieCastA" pid="69" fmtid="{D5CDD505-2E9C-101B-9397-08002B2CF9AE}">
    <vt:lpwstr/>
  </property>
  <property name="FSC#SKEDITIONSLOVLEX@103.510:AttrStrListDocPropUznesenieZodpovednyA1" pid="70" fmtid="{D5CDD505-2E9C-101B-9397-08002B2CF9AE}">
    <vt:lpwstr/>
  </property>
  <property name="FSC#SKEDITIONSLOVLEX@103.510:AttrStrListDocPropUznesenieTextA1" pid="71" fmtid="{D5CDD505-2E9C-101B-9397-08002B2CF9AE}">
    <vt:lpwstr/>
  </property>
  <property name="FSC#SKEDITIONSLOVLEX@103.510:AttrStrListDocPropUznesenieTerminA1" pid="72" fmtid="{D5CDD505-2E9C-101B-9397-08002B2CF9AE}">
    <vt:lpwstr/>
  </property>
  <property name="FSC#SKEDITIONSLOVLEX@103.510:AttrStrListDocPropUznesenieBODA1" pid="73" fmtid="{D5CDD505-2E9C-101B-9397-08002B2CF9AE}">
    <vt:lpwstr/>
  </property>
  <property name="FSC#SKEDITIONSLOVLEX@103.510:AttrStrListDocPropUznesenieZodpovednyA2" pid="74" fmtid="{D5CDD505-2E9C-101B-9397-08002B2CF9AE}">
    <vt:lpwstr/>
  </property>
  <property name="FSC#SKEDITIONSLOVLEX@103.510:AttrStrListDocPropUznesenieTextA2" pid="75" fmtid="{D5CDD505-2E9C-101B-9397-08002B2CF9AE}">
    <vt:lpwstr/>
  </property>
  <property name="FSC#SKEDITIONSLOVLEX@103.510:AttrStrListDocPropUznesenieTerminA2" pid="76" fmtid="{D5CDD505-2E9C-101B-9397-08002B2CF9AE}">
    <vt:lpwstr/>
  </property>
  <property name="FSC#SKEDITIONSLOVLEX@103.510:AttrStrListDocPropUznesenieBODA3" pid="77" fmtid="{D5CDD505-2E9C-101B-9397-08002B2CF9AE}">
    <vt:lpwstr/>
  </property>
  <property name="FSC#SKEDITIONSLOVLEX@103.510:AttrStrListDocPropUznesenieZodpovednyA3" pid="78" fmtid="{D5CDD505-2E9C-101B-9397-08002B2CF9AE}">
    <vt:lpwstr/>
  </property>
  <property name="FSC#SKEDITIONSLOVLEX@103.510:AttrStrListDocPropUznesenieTextA3" pid="79" fmtid="{D5CDD505-2E9C-101B-9397-08002B2CF9AE}">
    <vt:lpwstr/>
  </property>
  <property name="FSC#SKEDITIONSLOVLEX@103.510:AttrStrListDocPropUznesenieTerminA3" pid="80" fmtid="{D5CDD505-2E9C-101B-9397-08002B2CF9AE}">
    <vt:lpwstr/>
  </property>
  <property name="FSC#SKEDITIONSLOVLEX@103.510:AttrStrListDocPropUznesenieBODA4" pid="81" fmtid="{D5CDD505-2E9C-101B-9397-08002B2CF9AE}">
    <vt:lpwstr/>
  </property>
  <property name="FSC#SKEDITIONSLOVLEX@103.510:AttrStrListDocPropUznesenieZodpovednyA4" pid="82" fmtid="{D5CDD505-2E9C-101B-9397-08002B2CF9AE}">
    <vt:lpwstr/>
  </property>
  <property name="FSC#SKEDITIONSLOVLEX@103.510:AttrStrListDocPropUznesenieTextA4" pid="83" fmtid="{D5CDD505-2E9C-101B-9397-08002B2CF9AE}">
    <vt:lpwstr/>
  </property>
  <property name="FSC#SKEDITIONSLOVLEX@103.510:AttrStrListDocPropUznesenieTerminA4" pid="84" fmtid="{D5CDD505-2E9C-101B-9397-08002B2CF9AE}">
    <vt:lpwstr/>
  </property>
  <property name="FSC#SKEDITIONSLOVLEX@103.510:AttrStrListDocPropUznesenieCastB" pid="85" fmtid="{D5CDD505-2E9C-101B-9397-08002B2CF9AE}">
    <vt:lpwstr/>
  </property>
  <property name="FSC#SKEDITIONSLOVLEX@103.510:AttrStrListDocPropUznesenieBODB1" pid="86" fmtid="{D5CDD505-2E9C-101B-9397-08002B2CF9AE}">
    <vt:lpwstr/>
  </property>
  <property name="FSC#SKEDITIONSLOVLEX@103.510:AttrStrListDocPropUznesenieZodpovednyB1" pid="87" fmtid="{D5CDD505-2E9C-101B-9397-08002B2CF9AE}">
    <vt:lpwstr/>
  </property>
  <property name="FSC#SKEDITIONSLOVLEX@103.510:AttrStrListDocPropUznesenieTextB1" pid="88" fmtid="{D5CDD505-2E9C-101B-9397-08002B2CF9AE}">
    <vt:lpwstr/>
  </property>
  <property name="FSC#SKEDITIONSLOVLEX@103.510:AttrStrListDocPropUznesenieTerminB1" pid="89" fmtid="{D5CDD505-2E9C-101B-9397-08002B2CF9AE}">
    <vt:lpwstr/>
  </property>
  <property name="FSC#SKEDITIONSLOVLEX@103.510:AttrStrListDocPropUznesenieBODB2" pid="90" fmtid="{D5CDD505-2E9C-101B-9397-08002B2CF9AE}">
    <vt:lpwstr/>
  </property>
  <property name="FSC#SKEDITIONSLOVLEX@103.510:AttrStrListDocPropUznesenieZodpovednyB2" pid="91" fmtid="{D5CDD505-2E9C-101B-9397-08002B2CF9AE}">
    <vt:lpwstr/>
  </property>
  <property name="FSC#SKEDITIONSLOVLEX@103.510:AttrStrListDocPropUznesenieTextB2" pid="92" fmtid="{D5CDD505-2E9C-101B-9397-08002B2CF9AE}">
    <vt:lpwstr/>
  </property>
  <property name="FSC#SKEDITIONSLOVLEX@103.510:AttrStrListDocPropUznesenieTerminB2" pid="93" fmtid="{D5CDD505-2E9C-101B-9397-08002B2CF9AE}">
    <vt:lpwstr/>
  </property>
  <property name="FSC#SKEDITIONSLOVLEX@103.510:AttrStrListDocPropUznesenieBODB3" pid="94" fmtid="{D5CDD505-2E9C-101B-9397-08002B2CF9AE}">
    <vt:lpwstr/>
  </property>
  <property name="FSC#SKEDITIONSLOVLEX@103.510:AttrStrListDocPropUznesenieZodpovednyB3" pid="95" fmtid="{D5CDD505-2E9C-101B-9397-08002B2CF9AE}">
    <vt:lpwstr/>
  </property>
  <property name="FSC#SKEDITIONSLOVLEX@103.510:AttrStrListDocPropUznesenieTextB3" pid="96" fmtid="{D5CDD505-2E9C-101B-9397-08002B2CF9AE}">
    <vt:lpwstr/>
  </property>
  <property name="FSC#SKEDITIONSLOVLEX@103.510:AttrStrListDocPropUznesenieTerminB3" pid="97" fmtid="{D5CDD505-2E9C-101B-9397-08002B2CF9AE}">
    <vt:lpwstr/>
  </property>
  <property name="FSC#SKEDITIONSLOVLEX@103.510:AttrStrListDocPropUznesenieBODB4" pid="98" fmtid="{D5CDD505-2E9C-101B-9397-08002B2CF9AE}">
    <vt:lpwstr/>
  </property>
  <property name="FSC#SKEDITIONSLOVLEX@103.510:AttrStrListDocPropUznesenieZodpovednyB4" pid="99" fmtid="{D5CDD505-2E9C-101B-9397-08002B2CF9AE}">
    <vt:lpwstr/>
  </property>
  <property name="FSC#SKEDITIONSLOVLEX@103.510:AttrStrListDocPropUznesenieTextB4" pid="100" fmtid="{D5CDD505-2E9C-101B-9397-08002B2CF9AE}">
    <vt:lpwstr/>
  </property>
  <property name="FSC#SKEDITIONSLOVLEX@103.510:AttrStrListDocPropUznesenieTerminB4" pid="101" fmtid="{D5CDD505-2E9C-101B-9397-08002B2CF9AE}">
    <vt:lpwstr/>
  </property>
  <property name="FSC#SKEDITIONSLOVLEX@103.510:AttrStrListDocPropUznesenieCastC" pid="102" fmtid="{D5CDD505-2E9C-101B-9397-08002B2CF9AE}">
    <vt:lpwstr/>
  </property>
  <property name="FSC#SKEDITIONSLOVLEX@103.510:AttrStrListDocPropUznesenieBODC1" pid="103" fmtid="{D5CDD505-2E9C-101B-9397-08002B2CF9AE}">
    <vt:lpwstr/>
  </property>
  <property name="FSC#SKEDITIONSLOVLEX@103.510:AttrStrListDocPropUznesenieZodpovednyC1" pid="104" fmtid="{D5CDD505-2E9C-101B-9397-08002B2CF9AE}">
    <vt:lpwstr/>
  </property>
  <property name="FSC#SKEDITIONSLOVLEX@103.510:AttrStrListDocPropUznesenieTextC1" pid="105" fmtid="{D5CDD505-2E9C-101B-9397-08002B2CF9AE}">
    <vt:lpwstr/>
  </property>
  <property name="FSC#SKEDITIONSLOVLEX@103.510:AttrStrListDocPropUznesenieTerminC1" pid="106" fmtid="{D5CDD505-2E9C-101B-9397-08002B2CF9AE}">
    <vt:lpwstr/>
  </property>
  <property name="FSC#SKEDITIONSLOVLEX@103.510:AttrStrListDocPropUznesenieBODC2" pid="107" fmtid="{D5CDD505-2E9C-101B-9397-08002B2CF9AE}">
    <vt:lpwstr/>
  </property>
  <property name="FSC#SKEDITIONSLOVLEX@103.510:AttrStrListDocPropUznesenieZodpovednyC2" pid="108" fmtid="{D5CDD505-2E9C-101B-9397-08002B2CF9AE}">
    <vt:lpwstr/>
  </property>
  <property name="FSC#SKEDITIONSLOVLEX@103.510:AttrStrListDocPropUznesenieTextC2" pid="109" fmtid="{D5CDD505-2E9C-101B-9397-08002B2CF9AE}">
    <vt:lpwstr/>
  </property>
  <property name="FSC#SKEDITIONSLOVLEX@103.510:AttrStrListDocPropUznesenieTerminC2" pid="110" fmtid="{D5CDD505-2E9C-101B-9397-08002B2CF9AE}">
    <vt:lpwstr/>
  </property>
  <property name="FSC#SKEDITIONSLOVLEX@103.510:AttrStrListDocPropUznesenieBODC3" pid="111" fmtid="{D5CDD505-2E9C-101B-9397-08002B2CF9AE}">
    <vt:lpwstr/>
  </property>
  <property name="FSC#SKEDITIONSLOVLEX@103.510:AttrStrListDocPropUznesenieZodpovednyC3" pid="112" fmtid="{D5CDD505-2E9C-101B-9397-08002B2CF9AE}">
    <vt:lpwstr/>
  </property>
  <property name="FSC#SKEDITIONSLOVLEX@103.510:AttrStrListDocPropUznesenieTextC3" pid="113" fmtid="{D5CDD505-2E9C-101B-9397-08002B2CF9AE}">
    <vt:lpwstr/>
  </property>
  <property name="FSC#SKEDITIONSLOVLEX@103.510:AttrStrListDocPropUznesenieTerminC3" pid="114" fmtid="{D5CDD505-2E9C-101B-9397-08002B2CF9AE}">
    <vt:lpwstr/>
  </property>
  <property name="FSC#SKEDITIONSLOVLEX@103.510:AttrStrListDocPropUznesenieBODC4" pid="115" fmtid="{D5CDD505-2E9C-101B-9397-08002B2CF9AE}">
    <vt:lpwstr/>
  </property>
  <property name="FSC#SKEDITIONSLOVLEX@103.510:AttrStrListDocPropUznesenieZodpovednyC4" pid="116" fmtid="{D5CDD505-2E9C-101B-9397-08002B2CF9AE}">
    <vt:lpwstr/>
  </property>
  <property name="FSC#SKEDITIONSLOVLEX@103.510:AttrStrListDocPropUznesenieTextC4" pid="117" fmtid="{D5CDD505-2E9C-101B-9397-08002B2CF9AE}">
    <vt:lpwstr/>
  </property>
  <property name="FSC#SKEDITIONSLOVLEX@103.510:AttrStrListDocPropUznesenieTerminC4" pid="118" fmtid="{D5CDD505-2E9C-101B-9397-08002B2CF9AE}">
    <vt:lpwstr/>
  </property>
  <property name="FSC#SKEDITIONSLOVLEX@103.510:AttrStrListDocPropUznesenieCastD" pid="119" fmtid="{D5CDD505-2E9C-101B-9397-08002B2CF9AE}">
    <vt:lpwstr/>
  </property>
  <property name="FSC#SKEDITIONSLOVLEX@103.510:AttrStrListDocPropUznesenieBODD1" pid="120" fmtid="{D5CDD505-2E9C-101B-9397-08002B2CF9AE}">
    <vt:lpwstr/>
  </property>
  <property name="FSC#SKEDITIONSLOVLEX@103.510:AttrStrListDocPropUznesenieZodpovednyD1" pid="121" fmtid="{D5CDD505-2E9C-101B-9397-08002B2CF9AE}">
    <vt:lpwstr/>
  </property>
  <property name="FSC#SKEDITIONSLOVLEX@103.510:AttrStrListDocPropUznesenieTextD1" pid="122" fmtid="{D5CDD505-2E9C-101B-9397-08002B2CF9AE}">
    <vt:lpwstr/>
  </property>
  <property name="FSC#SKEDITIONSLOVLEX@103.510:AttrStrListDocPropUznesenieTerminD1" pid="123" fmtid="{D5CDD505-2E9C-101B-9397-08002B2CF9AE}">
    <vt:lpwstr/>
  </property>
  <property name="FSC#SKEDITIONSLOVLEX@103.510:AttrStrListDocPropUznesenieBODD2" pid="124" fmtid="{D5CDD505-2E9C-101B-9397-08002B2CF9AE}">
    <vt:lpwstr/>
  </property>
  <property name="FSC#SKEDITIONSLOVLEX@103.510:AttrStrListDocPropUznesenieZodpovednyD2" pid="125" fmtid="{D5CDD505-2E9C-101B-9397-08002B2CF9AE}">
    <vt:lpwstr/>
  </property>
  <property name="FSC#SKEDITIONSLOVLEX@103.510:AttrStrListDocPropUznesenieTextD2" pid="126" fmtid="{D5CDD505-2E9C-101B-9397-08002B2CF9AE}">
    <vt:lpwstr/>
  </property>
  <property name="FSC#SKEDITIONSLOVLEX@103.510:AttrStrListDocPropUznesenieTerminD2" pid="127" fmtid="{D5CDD505-2E9C-101B-9397-08002B2CF9AE}">
    <vt:lpwstr/>
  </property>
  <property name="FSC#SKEDITIONSLOVLEX@103.510:AttrStrListDocPropUznesenieBODD3" pid="128" fmtid="{D5CDD505-2E9C-101B-9397-08002B2CF9AE}">
    <vt:lpwstr/>
  </property>
  <property name="FSC#SKEDITIONSLOVLEX@103.510:AttrStrListDocPropUznesenieZodpovednyD3" pid="129" fmtid="{D5CDD505-2E9C-101B-9397-08002B2CF9AE}">
    <vt:lpwstr/>
  </property>
  <property name="FSC#SKEDITIONSLOVLEX@103.510:AttrStrListDocPropUznesenieTextD3" pid="130" fmtid="{D5CDD505-2E9C-101B-9397-08002B2CF9AE}">
    <vt:lpwstr/>
  </property>
  <property name="FSC#SKEDITIONSLOVLEX@103.510:AttrStrListDocPropUznesenieTerminD3" pid="131" fmtid="{D5CDD505-2E9C-101B-9397-08002B2CF9AE}">
    <vt:lpwstr/>
  </property>
  <property name="FSC#SKEDITIONSLOVLEX@103.510:AttrStrListDocPropUznesenieBODD4" pid="132" fmtid="{D5CDD505-2E9C-101B-9397-08002B2CF9AE}">
    <vt:lpwstr/>
  </property>
  <property name="FSC#SKEDITIONSLOVLEX@103.510:AttrStrListDocPropUznesenieZodpovednyD4" pid="133" fmtid="{D5CDD505-2E9C-101B-9397-08002B2CF9AE}">
    <vt:lpwstr/>
  </property>
  <property name="FSC#SKEDITIONSLOVLEX@103.510:AttrStrListDocPropUznesenieTextD4" pid="134" fmtid="{D5CDD505-2E9C-101B-9397-08002B2CF9AE}">
    <vt:lpwstr/>
  </property>
  <property name="FSC#SKEDITIONSLOVLEX@103.510:AttrStrListDocPropUznesenieTerminD4" pid="135" fmtid="{D5CDD505-2E9C-101B-9397-08002B2CF9AE}">
    <vt:lpwstr/>
  </property>
  <property name="FSC#SKEDITIONSLOVLEX@103.510:AttrStrListDocPropUznesenieVykonaju" pid="136" fmtid="{D5CDD505-2E9C-101B-9397-08002B2CF9AE}">
    <vt:lpwstr>predseda vlády Slovenskej republiky</vt:lpwstr>
  </property>
  <property name="FSC#SKEDITIONSLOVLEX@103.510:AttrStrListDocPropUznesenieNaVedomie" pid="137" fmtid="{D5CDD505-2E9C-101B-9397-08002B2CF9AE}">
    <vt:lpwstr/>
  </property>
  <property name="FSC#SKEDITIONSLOVLEX@103.510:funkciaPred" pid="138" fmtid="{D5CDD505-2E9C-101B-9397-08002B2CF9AE}">
    <vt:lpwstr/>
  </property>
  <property name="FSC#SKEDITIONSLOVLEX@103.510:funkciaPredAkuzativ" pid="139" fmtid="{D5CDD505-2E9C-101B-9397-08002B2CF9AE}">
    <vt:lpwstr/>
  </property>
  <property name="FSC#SKEDITIONSLOVLEX@103.510:funkciaPredDativ" pid="140" fmtid="{D5CDD505-2E9C-101B-9397-08002B2CF9AE}">
    <vt:lpwstr/>
  </property>
  <property name="FSC#SKEDITIONSLOVLEX@103.510:funkciaZodpPred" pid="141" fmtid="{D5CDD505-2E9C-101B-9397-08002B2CF9AE}">
    <vt:lpwstr>minister</vt:lpwstr>
  </property>
  <property name="FSC#SKEDITIONSLOVLEX@103.510:funkciaZodpPredAkuzativ" pid="142" fmtid="{D5CDD505-2E9C-101B-9397-08002B2CF9AE}">
    <vt:lpwstr>ministra</vt:lpwstr>
  </property>
  <property name="FSC#SKEDITIONSLOVLEX@103.510:funkciaZodpPredDativ" pid="143" fmtid="{D5CDD505-2E9C-101B-9397-08002B2CF9AE}">
    <vt:lpwstr>ministrovi</vt:lpwstr>
  </property>
  <property name="FSC#SKEDITIONSLOVLEX@103.510:funkciaDalsiPred" pid="144" fmtid="{D5CDD505-2E9C-101B-9397-08002B2CF9AE}">
    <vt:lpwstr/>
  </property>
  <property name="FSC#SKEDITIONSLOVLEX@103.510:funkciaDalsiPredAkuzativ" pid="145" fmtid="{D5CDD505-2E9C-101B-9397-08002B2CF9AE}">
    <vt:lpwstr/>
  </property>
  <property name="FSC#SKEDITIONSLOVLEX@103.510:funkciaDalsiPredDativ" pid="146" fmtid="{D5CDD505-2E9C-101B-9397-08002B2CF9AE}">
    <vt:lpwstr/>
  </property>
  <property name="FSC#SKEDITIONSLOVLEX@103.510:predkladateliaObalSD" pid="147" fmtid="{D5CDD505-2E9C-101B-9397-08002B2CF9AE}">
    <vt:lpwstr>Marek Krajčí_x000d__x000a_minister</vt:lpwstr>
  </property>
  <property name="FSC#SKEDITIONSLOVLEX@103.510:AttrStrListDocPropTextVseobPrilohy" pid="148" fmtid="{D5CDD505-2E9C-101B-9397-08002B2CF9AE}">
    <vt:lpwstr/>
  </property>
  <property name="FSC#SKEDITIONSLOVLEX@103.510:AttrStrListDocPropTextPredklSpravy" pid="149" fmtid="{D5CDD505-2E9C-101B-9397-08002B2CF9AE}">
    <vt:lpwstr>&lt;p&gt;Návrhom nariadenia vlády Slovenskej republiky, ktorým sa mení a&amp;nbsp;dopĺňa nariadenie vlády Slovenskej republiky č. 355/2006 Z. z. o&amp;nbsp;ochrane zamestnancov pred rizikami súvisiacimi s&amp;nbsp;expozíciou chemickým faktorom pri práci v&amp;nbsp;znení neskorších predpisov sa do právneho poriadku Slovenskej republiky preberá smernica&amp;nbsp;Komisie &amp;nbsp;(EÚ) 2019/1831 z&amp;nbsp;24. októbra 2019, ktorou sa stanovuje piaty zoznam smerných najvyšších prípustných hodnôt vystavenia pri práci podľa smernice Rady 98/24/ES a&amp;nbsp;ktorou sa mení smernica Komisie 2000/39/ES (ďalej „smernica Komisie (EÚ) 2019/1831“).&lt;/p&gt;&lt;p&gt;Do návrhu nariadenia vlády sa zo smernice Komisie (EÚ) 2019/1831 transponujú limitné hodnoty expozície pri práci pre 10 chemických faktorov, ktoré boli revidované a&amp;nbsp;odvodené z&amp;nbsp;najnovších dostupných vedeckých údajov s&amp;nbsp;ohľadom na ochranu zdravia pri práci a&amp;nbsp;odporúčaných kritérií a&amp;nbsp;metód Vedeckého výboru pre najvyššie prípustné hodnoty vystavenia&amp;nbsp; chemickým faktorom pri práci (SCOEL) zriadeného rozhodnutím Európskej Komisie, pričom berú do úvahy dostupnosť meracích techník. Stanovujú sa ako najvyššie prípustné expozičné limity (ďalej „NPEL“) chemických faktorov v&amp;nbsp;pracovnom ovzduší, pod úrovňou ktorých sa nepredpokladá škodlivý účinok jednotlivých chemických faktorov na zdravie zamestnancov pri krátkodobej alebo dlhodobej expozícii počas celého trvania pracovného života. Každý zamestnanec má právo na zdravé a&amp;nbsp;bezpečné pracovné prostredie, ktoré je prispôsobené profesionálnym potrebám zamestnancov, zahŕňa aj ochranu pred expozíciou chemickým faktorom pri práci.&lt;/p&gt;&lt;p&gt;Do návrhu nariadenia vlády sa dopĺňajú NPEL pre 3 chemické faktory v pracovnom ovzduší, ktoré doteraz neboli súčasťou legislatívy Slovenskej republiky&amp;nbsp; a&amp;nbsp;revidujú sa NPEL pre 7 chemických faktorov v pracovnom ovzduší, ktoré v&amp;nbsp;súčasnosti už sú súčasťou prílohy č. 1 nariadenia vlády Slovenskej republiky č. 355/2006 Z. z. o&amp;nbsp;ochrane zamestnancov pred rizikami súvisiacimi s&amp;nbsp;expozíciou chemickým faktorom pri práci v&amp;nbsp;znení neskorších predpisov.&amp;nbsp; Zavedenie nových NPEL pre konkrétne chemické faktory znamená lepšiu ochranu zdravia zamestnancov zabezpečenú dodržiavaním určených limitov chemických faktorov v pracovnom ovzduší. Šesť zo siedmych revidovaných NPEL má klesajúcu tendenciu, čím je v&amp;nbsp;súlade s&amp;nbsp;európskym cieľom zabezpečená lepšia ochrana zdravia zamestnancov pri práci.&lt;/p&gt;&lt;p&gt;Do návrhu nariadenia vlády sa na základe požiadavky smernice Komisie (EÚ) 2019/1831 dopĺňa biologická medzná hodnota pre&amp;nbsp; biologické monitorovanie expozície jedného chemického&amp;nbsp; faktoru, ktorá doteraz nebola súčasťou legislatívy Slovenskej republiky.&amp;nbsp;&lt;/p&gt;&lt;p&gt;Návrh nariadenia vlády je v súlade s Ústavou Slovenskej republiky, s&amp;nbsp;ústavnými zákonmi a&amp;nbsp;nálezmi Ústavného súdu Slovenskej republiky, so zákonom č. 355/2007 Z. z., inými zákonmi a ďalšími všeobecne záväznými právnymi predpismi ako aj s medzinárodnými zmluvami a medzinárodnými dokumentmi, ktorými je Slovenská republika viazaná a s právom Európskej únie.&lt;/p&gt;&lt;p&gt;Predložený návrh nariadenia vlády nemá vplyv na rozpočet verejnej správy, vplyv na životné prostredie, vplyv na informatizáciu spoločnosti ani vplyv na služby verejnej správy pre občana. Predpokladá sa pozitívny aj negatívny vplyv na podnikateľské prostredie, pozitívne sociálne vplyvy.&lt;/p&gt;&lt;p&gt;Návrh nariadenia vlády nie je predmetom vnútrokomunitárneho pripomienkového konania.&lt;/p&gt;&lt;p&gt;&amp;nbsp;&lt;/p&gt;</vt:lpwstr>
  </property>
  <property name="FSC#SKEDITIONSLOVLEX@103.510:vytvorenedna" pid="150" fmtid="{D5CDD505-2E9C-101B-9397-08002B2CF9AE}">
    <vt:lpwstr>5. 5. 2020</vt:lpwstr>
  </property>
  <property name="FSC#COOSYSTEM@1.1:Container" pid="151" fmtid="{D5CDD505-2E9C-101B-9397-08002B2CF9AE}">
    <vt:lpwstr>COO.2145.1000.3.3859182</vt:lpwstr>
  </property>
  <property name="FSC#FSCFOLIO@1.1001:docpropproject" pid="152" fmtid="{D5CDD505-2E9C-101B-9397-08002B2CF9AE}">
    <vt:lpwstr/>
  </property>
</Properties>
</file>