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577D8F" w:rsidRDefault="00577D8F">
      <w:pPr>
        <w:jc w:val="center"/>
        <w:divId w:val="171095129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chránený areál Jurský chlm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577D8F" w:rsidP="00577D8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77D8F" w:rsidP="00577D8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77D8F" w:rsidP="00577D8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77D8F" w:rsidP="00577D8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77D8F" w:rsidP="00577D8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224C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  <w:r w:rsidR="00C868ED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: s MPRV SR sa uskutočnilo viacero rozporových rokovaní, </w:t>
            </w:r>
            <w:r w:rsidR="00B224CE">
              <w:rPr>
                <w:rFonts w:ascii="Times New Roman" w:hAnsi="Times New Roman" w:cs="Calibri"/>
                <w:bCs/>
                <w:sz w:val="25"/>
                <w:szCs w:val="25"/>
              </w:rPr>
              <w:t>rozpory</w:t>
            </w:r>
            <w:bookmarkStart w:id="0" w:name="_GoBack"/>
            <w:bookmarkEnd w:id="0"/>
            <w:r w:rsidR="00C868ED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boli odstránené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  <w:p w:rsidR="00C868ED" w:rsidRPr="000032C8" w:rsidRDefault="00C868ED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577D8F" w:rsidRDefault="00577D8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577D8F">
        <w:trPr>
          <w:divId w:val="181745010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7D8F">
        <w:trPr>
          <w:divId w:val="18174501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 (13o,2z)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D8F" w:rsidRDefault="00577D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577D8F" w:rsidRDefault="00577D8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Do všeobecnej časti dôvodovej správy odporúčame doplniť zhrnutie vplyvov podľa doložky vybraných vplyvov (čl. 19 ods. 2 Legislatívne pravidlá vlády SR).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. Beriem na vedomie, že návrh bude mať v roku 2019 negatívny vplyv na rozpočet verejnej správy súvisiaci so zabezpečením označenia chráneného areálu Jurský chlm v sume 823 eur, ktorý je rozpočtovo zabezpečený v rámci schválených limitov kapitoly Ministerstva životného prostredia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poznámke pod čiarou k odkazu 2 na konci pripojiť slová „(oznámenie č. 450/2004 Z. z.)“, v § 5 vypustiť odsek 2 a uviesť ho ako zrušovacie ustanovenie v súlade s bodom 63.1 prílohy LPV, v § 5 ods. 2 písm. a) slová „tridsiaty šiesty bod“ nahradiť slovami „bod 36“ a za slová „č. 83/1993“ vložiť skratku „Z. z.“, v písmene b) slová „štrnásty bod“ nahradiť slovami „bod 14“, v prílohe č. 2 poznámke druhej vete slová „európskeho a“ nahradiť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slovami „európskeho významu a druhy“, doložku zlučiteľnosti zosúladiť s platnými Legislatívnymi pravidlami vlády SR].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Ministerstvo pôdohospodárstva a rozvoja vidieka Slovenskej republiky nesúhlasí s vymedzením územia chráneného areálu podľa § 1 ods. 2 v prílohe č. 1 a žiada o presné vymedzenie na základe zameraných lomových bodov vymedzujúcich chránené územie a uvedenie zoznamu súradníc lomových bodov hranice chráneného územia v prílohe č. 1. Táto pripomienka je zásadná. Odôvodnenie: „Vymedzenie hranice chráneného areálu“ na základe popisu hranice podľa prílohy č. 1 nepovažujeme za dostačujúce, je nesprávne a vyvolávajúce právnu neistotu. Dôkazom nejednoznačnosti vymedzenia hranice chráneného územia v príloha č. 1 je napr. uvádzanie špecifikáciu pre katastrálne územie Mužla „8537 – časť“, čo za jednoznačné vylíšenie hraníc chráneného územia považovať nemožno. Vymedzenie hraníc chráneného územia zameranými lomovými bodmi je z hľadiska uplatňovania ochrany chráneného územia a zabezpečenia právnej istoty nevyhnutné. Bez jednoznačného určenia hranice nie je možné ani jednoznačne určiť subjekty, na ktoré bude mať vyhlásenie chráneného územia dopad. Predkladateľ v § 1 ods. 2 deklaruje, že „zoznam súradníc lomových bodov určujúcich vymedzenia CHA je vedený v štátnom zozname osobitne chránených území“, čo však z hľadiska potenciálnych dopadov nepovažujeme za dostatočné. Z uvedeného zároveň vyplýva, že predkladateľ týmito súradnicami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disponuje a teda nie je žiadny problém, aby boli súčasťou vyhlasovacieho predpisu.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výsledkov rozporového rokovania s MPRV SR bola doplnená predkladacia správa a dôvodová správa nasledovne: Predkladacia správa: “MŽP SR prostredníctvom ním poverenej odbornej organizácie ochrany prírody poskytne správcovi informačného systému lesného hospodárstva, ktorým je Národné lesnícke centrum (elektronicky na adresu: nlc@nlcsk.org), vrstvu hraníc chráneného areálu XY pred predložením materiálu na rokovanie vlády SR a pred zápisom chráneného areálu XY do katastra nehnuteľností“. Dôvodová správa: „MŽP prostredníctvom ním poverenej odbornej organizácie ochrany prírody v rámci schvaľovacieho procesu ako aj pred zápisom do katastra nehnuteľností doručí správcovi informačného systému (§ 38 ods. 2 zákona 326/2005 Z. z) na adresu nlc@nlcsk. org a nlc-ulzi@lcsk.org hranice chráneného územia v dátovom formáte pre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ukladanie vektorových priestorových dát pre geografické informačné systémy (napr. Esri shapefile), ktorý priestorovo popisuje geometrické body, línie a plochy hranice.“.</w:t>
            </w: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Ministerstvo pôdohospodárstva a rozvoja vidieka Slovenskej republiky žiada, aby súčasťou predkladaného návrhu bol „Projekt ochrany chránených území“ podľa § 54 ods. 12 písm. a) zákona č. 543/2002 Z. z. o ochrane prírody a krajiny v znení neskorších predpisov a zároveň aj program starostlivosti o chránené územie, ktorý sa podľa § 21 vyhlášky MŽP SR č. 2004/2003 Z. z., ktorou sa vykonáva zákon č. 543/2002 Z. z. o ochrane prírody a krajiny v znení neskorších predpisov, vypracúva spravidla súbežne s projektom ochrany územia. Táto pripomienka je zásadná. Odôvodnenie: Projekt ochrany obsahuje najmä základné údaje, podrobnosti o podmienkach ochrany, návrh ich technického vybavenia, tabuľkové prehľady a mapové prílohy s vyznačením hraníc navrhovaného chráneného územia a jeho ochranného pásma. Projekty ochrany chránených území sa vyhotovujú ako podklad na vyhlasovanie ochrany alebo zmeny ochrany chránených území, chránených stromov a ich ochranných pásiem a sú pre spracovanie ďalšej dokumentácie ochrany prírody a krajiny záväzné. Predkladateľ deklaruje v § 1 ods. 4 návrhu, že ciele starostlivosti o chránený areál a opatrenia na ich dosiahnutie upraví program starostlivosti o chránené územie. Podľa § 21 ods. 3 vyhlášky MŽP SR č. 2004/2003 Z. z., ktorou sa vykonáva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zákon č. 543/2002 Z. z. o ochrane prírody a krajiny, v znení neskorších predpisov, sa program starostlivosti o chránené územie (chránený areál) vypracúva spravidla súbežne s projektom ochrany chráneného územia. Bez tejto dokumentácie ochrany prírody nie je možné zhodnotiť opodstatnenosť a správnosť návrhu ani jeho dopady na rozpočet verejnej správy, podnikateľov a obyvateľov.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predloženom materiáli je uvedený link webového sídla ŠOP SR.</w:t>
            </w: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§ 5 vypustiť odsek 2 a obsah ustanovenia písmena a) odporúčame upraviť v zrušovacom ustanovení v paragrafe predchádzajúcom ustanoveniu o účinnosti. Súčasne je potrebné zrušiť označenie odseku 1.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</w:t>
            </w:r>
            <w:r>
              <w:rPr>
                <w:rFonts w:ascii="Times" w:hAnsi="Times" w:cs="Times"/>
                <w:sz w:val="25"/>
                <w:szCs w:val="25"/>
              </w:rPr>
              <w:br/>
              <w:t>K § 1: Vzhľadom na široký okruh adresátov nariadenia vlády navrhujeme v odseku 4 na konci vložiť nad slovo „areál“ odkaz na novú poznámku pod čiarou „3)“. „Poznámka pod čiarou k odkazu 3 znie: 4) § 67 zákona č. 543/2002 Z. z. v znení neskorších predpisov.“.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Navrhovaný odkaz, ako aj poznámku pod čiarou, nepovažujeme za potrebný, systematicky správny a ani vecne vhodný.</w:t>
            </w: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§ 4: Navrhujeme § 4 vrátane nadpisu vypustiť. Odôvodnenie: splnomocňovacie ustanovenia podľa úvodnej vety neumožňujú v návrhu nariadenia upravovať vyznačovanie chráneného areálu v zmysle navrhovaného § 4. Splnomocňovacie ustanovenia splnomocňujú vládu na „vymedzenie hraníc chráneného areálu“. Vymedzenie hraníc je upravene v § 1 ods. 2 druhej vete návrhu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nariadenia. Termín „Vyznačenie chráneného areálu“ podľa navrhovaného § 4 z dôvodu zachovania terminologickej presnosti a tiež z hľadiska obsahovej odlišnosti nie je možné subsumovať pod termín „vymedzenie chráneného areálu“ podľa splnomocňovacieho ustanovenia § 21 ods. 4 zákona č. 543/2002 Z. z.. Vzhľadom na znenie § 51 zákona č. 543/2002 Z. z. sa ustanovenia navrhovaného § 4 navyše javia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4 bol vypustený a čiastočne zapracovaný do § 1 ods. 3, ktorý upravuje vymedzenie hraníc. Na základe splnomocňujúce ustanovenia v § 21 ods. 4 zákona č. 543/2002 Z. z. o ochrane prírody a krajiny v znení neskorších predpisov vláda nariadením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ustanovuje aj podrobnosti o územnej ochrane chráneného areálu a jeho ochranného pásma.</w:t>
            </w: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</w:t>
            </w:r>
            <w:r>
              <w:rPr>
                <w:rFonts w:ascii="Times" w:hAnsi="Times" w:cs="Times"/>
                <w:sz w:val="25"/>
                <w:szCs w:val="25"/>
              </w:rPr>
              <w:br/>
              <w:t>K § 5: Odsek 2 odporúčame označiť ako osobitný paragraf s názvom „Zrušovacie ustanovenia“. Tento paragraf je potrebné umiestniť pred paragraf s názvom „Účinnosť“.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 3 písm. c) doložky odporúčame prepracovať v súlade s prílohou č. 2 k Legislatívnym pravidlám vlády SR a v informácii o judikatúre Súdneho dvora Európskej únie doplniť k číslam súdnych rozhodnutí ich názvy a stručne ich výroky alebo relevantné právne vety. V bode 4 písm. a) doložky odporúčame konkretizovať právny akt, ku ktorému sa uvedená lehota vzťahuje.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Odsek 2 odporúčame vypustiť. Navrhované legislatívne riešenie v odseku 2 písm. a) (strata platnosti bodu 36 prílohy vyhlášky Ministerstva životného prostredia Slovenskej republiky č. 83/1993 o štátnych prírodných rezerváciách) nie je v súlade s § 6 zákona č. 400/2015 Z. z. o tvorbe právnych predpisov a o Zbierke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zákonov Slovenskej republiky a o zmene a doplnení niektorých zákonov v znení neskorších predpisov. Sledovaná zmena by mala byť vykonaná novelizáciou citovanej vyhlášky formou vypustenia predmetného ustanovenia. Vypustenie písmena b) v odseku 2 sa navrhuje v nadväznosti na ustanovenie § 5 ods. 5 a § 12 ods. 1 písm. a) zákona č. 400/2015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2 § 5 je v súlade s pripomienkou iných pripomienkujúcich subjektov vyňatý z § 5 a je onačený ako zrušovacie ustanovenie (§ 4).</w:t>
            </w: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Pripomienka k § 5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5 ods. 2 písm. a) odporúčame zosúladiť s čl. 8 ods. 6 poslednou vetou Legislatívnych pravidiel vlády Slovenskej republiky v znení neskorších predpisov („... rovnako je neprípustné zrušiť len niektoré ustanovenie zákona.“) v spojení s čl. 37 ods. 1 Legislatívnych pravidiel vlády Slovenskej republiky v znení neskorších predpisov.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2 § 5 je v súlade s pripomienkou iných pripomienkujúcich subjektov vyňatý z § 5 a je onačený ako zrušovacie ustanovenie (§ 4).</w:t>
            </w: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Pripomienka k § 5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5 ods. 2 písm. a) odporúčame zosúladiť s čl. 8 ods. 6 poslednou vetou Legislatívnych pravidiel vlády Slovenskej republiky v znení neskorších predpisov („... rovnako je neprípustné zrušiť len niektoré ustanovenie zákona.“) v spojení s čl. 37 ods. 1 Legislatívnych pravidiel vlády Slovenskej republiky v znení neskorších predpisov.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2 § 5 je v súlade s pripomienkou iných pripomienkujúcich subjektov vyňatý z § 5 a je onačený ako zrušovacie ustanovenie (§ 4).</w:t>
            </w:r>
          </w:p>
        </w:tc>
      </w:tr>
      <w:tr w:rsidR="00577D8F">
        <w:trPr>
          <w:divId w:val="124710652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Zrušovacie ustanovenie je potrebné zosúladiť s požiadavkami podľa čl. 8 ods. 6 Legislatívnych pravidiel vlády a s bodom 63.1 a 63.2 prílohy č. 1 k Legislatívny,m pravidlám vlády. Legislatívno 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D8F" w:rsidRDefault="00577D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2 § 5 je vyňatý z § 5 a je označený ako zrušovacie ustanovenie (§ 4).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5E" w:rsidRDefault="0040345E" w:rsidP="000A67D5">
      <w:pPr>
        <w:spacing w:after="0" w:line="240" w:lineRule="auto"/>
      </w:pPr>
      <w:r>
        <w:separator/>
      </w:r>
    </w:p>
  </w:endnote>
  <w:endnote w:type="continuationSeparator" w:id="0">
    <w:p w:rsidR="0040345E" w:rsidRDefault="0040345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5E" w:rsidRDefault="0040345E" w:rsidP="000A67D5">
      <w:pPr>
        <w:spacing w:after="0" w:line="240" w:lineRule="auto"/>
      </w:pPr>
      <w:r>
        <w:separator/>
      </w:r>
    </w:p>
  </w:footnote>
  <w:footnote w:type="continuationSeparator" w:id="0">
    <w:p w:rsidR="0040345E" w:rsidRDefault="0040345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345E"/>
    <w:rsid w:val="004075B2"/>
    <w:rsid w:val="00436C44"/>
    <w:rsid w:val="00474A9D"/>
    <w:rsid w:val="00532574"/>
    <w:rsid w:val="00577D8F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D69F0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224CE"/>
    <w:rsid w:val="00B721A5"/>
    <w:rsid w:val="00B76589"/>
    <w:rsid w:val="00B8767E"/>
    <w:rsid w:val="00BD1FAB"/>
    <w:rsid w:val="00BE7302"/>
    <w:rsid w:val="00BF7CE0"/>
    <w:rsid w:val="00C868ED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8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2.2020 9:36:05"/>
    <f:field ref="objchangedby" par="" text="Administrator, System"/>
    <f:field ref="objmodifiedat" par="" text="4.2.2020 9:36:0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2020-02-04T08:43:00Z</dcterms:created>
  <dcterms:modified xsi:type="dcterms:W3CDTF">2020-02-04T09:48:00Z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Jurský chlm bol Okresným úradom Nitra oznámený v zmysle § 50 zákona č. 543/2002 Z. z. o&amp;nbsp;ochrane prírody a&amp;nbsp;krajiny v&amp;nbsp;znení neskorších predpisov vlastníkom, správcom a&amp;nbsp;nájomco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Jurský chlm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27 ods. 9 zákona č. 543/2002 Z. z. o ochrane prírody a krajiny v znení neskorších predpisov</vt:lpwstr>
  </property>
  <property fmtid="{D5CDD505-2E9C-101B-9397-08002B2CF9AE}" pid="22" name="FSC#SKEDITIONSLOVLEX@103.510:plnynazovpredpis">
    <vt:lpwstr> Nariadenie vlády  Slovenskej republiky, ktorým sa vyhlasuje chránený areál Jurský chlm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6865/2019-9.1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LP/2019/265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191 až 193 Zmluvy o fungovaní Európskej únie v platnom znení.</vt:lpwstr>
  </property>
  <property fmtid="{D5CDD505-2E9C-101B-9397-08002B2CF9AE}" pid="46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napr. C-67/99, C-71/99, C-220/99</vt:lpwstr>
  </property>
  <property fmtid="{D5CDD505-2E9C-101B-9397-08002B2CF9AE}" pid="51" name="FSC#SKEDITIONSLOVLEX@103.510:AttrStrListDocPropLehotaPrebratieSmernice">
    <vt:lpwstr>15. január 2014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4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8. 3. 2019</vt:lpwstr>
  </property>
  <property fmtid="{D5CDD505-2E9C-101B-9397-08002B2CF9AE}" pid="58" name="FSC#SKEDITIONSLOVLEX@103.510:AttrDateDocPropUkonceniePKK">
    <vt:lpwstr>22. 3. 2019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5" name="FSC#SKEDITIONSLOVLEX@103.510:AttrStrListDocPropAltRiesenia">
    <vt:lpwstr>Alternatívne riešenie sa týka celkovo vyhlásenia/nevyhlásenia chráneného areálu (CHA) Jurský chlm.Vyhlásenie CHA Jurský chlm vyplýva z § 27 ods. 9 zákona, podľa ktorého vyhlási vláda územie európskeho významu schválené Európskou komisiou za chránené územi</vt:lpwstr>
  </property>
  <property fmtid="{D5CDD505-2E9C-101B-9397-08002B2CF9AE}" pid="66" name="FSC#SKEDITIONSLOVLEX@103.510:AttrStrListDocPropStanoviskoGest">
    <vt:lpwstr>&lt;p style="text-align: justify;"&gt;Komisia v&amp;nbsp;stanovisku č. 043/2019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životného prostredia Slovenskej republiky</vt:lpwstr>
  </property>
  <property fmtid="{D5CDD505-2E9C-101B-9397-08002B2CF9AE}" pid="141" name="FSC#SKEDITIONSLOVLEX@103.510:funkciaZodpPredAkuzativ">
    <vt:lpwstr>podpredsedovi vlády a ministrovi životného prostredia Slovenskej republiky</vt:lpwstr>
  </property>
  <property fmtid="{D5CDD505-2E9C-101B-9397-08002B2CF9AE}" pid="142" name="FSC#SKEDITIONSLOVLEX@103.510:funkciaZodpPredDativ">
    <vt:lpwstr>podpredsedu vlády a ministra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podpredseda vlády a 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vyhlasuje chránený areál Jurský chlm (ďalej len „návrh nariadenia vlády“), predkladá Ministerstvo životného prostredia Slovenskej republiky v&amp;nbsp;súlade s ustanovením </vt:lpwstr>
  </property>
  <property fmtid="{D5CDD505-2E9C-101B-9397-08002B2CF9AE}" pid="149" name="FSC#COOSYSTEM@1.1:Container">
    <vt:lpwstr>COO.2145.1000.3.3796588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4. 2. 2020</vt:lpwstr>
  </property>
</Properties>
</file>