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F0C89" w:rsidRDefault="002F0C89">
      <w:pPr>
        <w:jc w:val="center"/>
        <w:divId w:val="460197523"/>
        <w:rPr>
          <w:rFonts w:ascii="Times" w:hAnsi="Times" w:cs="Times"/>
          <w:sz w:val="25"/>
          <w:szCs w:val="25"/>
        </w:rPr>
      </w:pPr>
      <w:r>
        <w:rPr>
          <w:rFonts w:ascii="Times" w:hAnsi="Times" w:cs="Times"/>
          <w:sz w:val="25"/>
          <w:szCs w:val="25"/>
        </w:rPr>
        <w:t>Nariadenie vlády Slovenskej republiky, ktorým sa vyhlasuje chránený areál Nesvadské piesky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F0C89" w:rsidP="002F0C89">
            <w:pPr>
              <w:spacing w:after="0" w:line="240" w:lineRule="auto"/>
              <w:rPr>
                <w:rFonts w:ascii="Times New Roman" w:hAnsi="Times New Roman" w:cs="Calibri"/>
                <w:sz w:val="20"/>
                <w:szCs w:val="20"/>
              </w:rPr>
            </w:pPr>
            <w:r>
              <w:rPr>
                <w:rFonts w:ascii="Times" w:hAnsi="Times" w:cs="Times"/>
                <w:sz w:val="25"/>
                <w:szCs w:val="25"/>
              </w:rPr>
              <w:t>22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F0C89" w:rsidP="002F0C89">
            <w:pPr>
              <w:spacing w:after="0" w:line="240" w:lineRule="auto"/>
              <w:rPr>
                <w:rFonts w:ascii="Times New Roman" w:hAnsi="Times New Roman" w:cs="Calibri"/>
                <w:sz w:val="20"/>
                <w:szCs w:val="20"/>
              </w:rPr>
            </w:pPr>
            <w:r>
              <w:rPr>
                <w:rFonts w:ascii="Times" w:hAnsi="Times" w:cs="Times"/>
                <w:sz w:val="25"/>
                <w:szCs w:val="25"/>
              </w:rPr>
              <w:t>22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F0C89" w:rsidP="002F0C89">
            <w:pPr>
              <w:spacing w:after="0" w:line="240" w:lineRule="auto"/>
              <w:rPr>
                <w:rFonts w:ascii="Times New Roman" w:hAnsi="Times New Roman" w:cs="Calibri"/>
                <w:sz w:val="20"/>
                <w:szCs w:val="20"/>
              </w:rPr>
            </w:pPr>
            <w:r>
              <w:rPr>
                <w:rFonts w:ascii="Times" w:hAnsi="Times" w:cs="Times"/>
                <w:sz w:val="25"/>
                <w:szCs w:val="25"/>
              </w:rPr>
              <w:t>18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F0C89" w:rsidP="002F0C89">
            <w:pPr>
              <w:spacing w:after="0" w:line="240" w:lineRule="auto"/>
              <w:rPr>
                <w:rFonts w:ascii="Times New Roman" w:hAnsi="Times New Roman" w:cs="Calibri"/>
                <w:sz w:val="20"/>
                <w:szCs w:val="20"/>
              </w:rPr>
            </w:pPr>
            <w:r>
              <w:rPr>
                <w:rFonts w:ascii="Times" w:hAnsi="Times" w:cs="Times"/>
                <w:sz w:val="25"/>
                <w:szCs w:val="25"/>
              </w:rPr>
              <w:t>2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F0C89" w:rsidP="002F0C89">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A5396B"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Rozporové konanie (s kým, kedy, s akým výsledkom)</w:t>
            </w:r>
          </w:p>
          <w:p w:rsidR="00A5396B" w:rsidRPr="00A5396B" w:rsidRDefault="00A5396B" w:rsidP="00A5396B">
            <w:pPr>
              <w:pStyle w:val="Odsekzoznamu"/>
              <w:numPr>
                <w:ilvl w:val="0"/>
                <w:numId w:val="1"/>
              </w:numPr>
              <w:spacing w:after="0" w:line="240" w:lineRule="auto"/>
              <w:rPr>
                <w:rFonts w:ascii="Times New Roman" w:hAnsi="Times New Roman" w:cs="Calibri"/>
                <w:bCs/>
                <w:sz w:val="25"/>
                <w:szCs w:val="25"/>
              </w:rPr>
            </w:pPr>
            <w:r w:rsidRPr="00A5396B">
              <w:rPr>
                <w:rFonts w:ascii="Times New Roman" w:hAnsi="Times New Roman" w:cs="Calibri"/>
                <w:bCs/>
                <w:sz w:val="25"/>
                <w:szCs w:val="25"/>
              </w:rPr>
              <w:t xml:space="preserve">s MP RV SR sa uskutočnilo viacero rozporových rokovaní, rozpory boli odstránené </w:t>
            </w:r>
          </w:p>
          <w:p w:rsidR="00A5396B" w:rsidRPr="00A5396B" w:rsidRDefault="00A5396B" w:rsidP="00A5396B">
            <w:pPr>
              <w:pStyle w:val="Odsekzoznamu"/>
              <w:numPr>
                <w:ilvl w:val="0"/>
                <w:numId w:val="1"/>
              </w:numPr>
              <w:spacing w:after="0" w:line="240" w:lineRule="auto"/>
              <w:rPr>
                <w:rFonts w:ascii="Times New Roman" w:hAnsi="Times New Roman" w:cs="Calibri"/>
                <w:bCs/>
                <w:sz w:val="25"/>
                <w:szCs w:val="25"/>
              </w:rPr>
            </w:pPr>
            <w:bookmarkStart w:id="0" w:name="_GoBack"/>
            <w:bookmarkEnd w:id="0"/>
            <w:r w:rsidRPr="00A5396B">
              <w:rPr>
                <w:rFonts w:ascii="Times New Roman" w:hAnsi="Times New Roman" w:cs="Calibri"/>
                <w:bCs/>
                <w:sz w:val="25"/>
                <w:szCs w:val="25"/>
              </w:rPr>
              <w:t>s BROZ sa uskutočnilo rozporové rokovanie 21.1.2020, po vysvetlení BROZ na pripomienke netrvá, rozpor bol odstránený</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F0C89" w:rsidRDefault="002F0C8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2F0C89">
        <w:trPr>
          <w:divId w:val="129494830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Vôbec nezaslali</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Bratislavské regionálne ochranárske združenie</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sz w:val="20"/>
                <w:szCs w:val="20"/>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sz w:val="20"/>
                <w:szCs w:val="20"/>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sz w:val="20"/>
                <w:szCs w:val="20"/>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sz w:val="20"/>
                <w:szCs w:val="20"/>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sz w:val="20"/>
                <w:szCs w:val="20"/>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sz w:val="20"/>
                <w:szCs w:val="20"/>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sz w:val="20"/>
                <w:szCs w:val="20"/>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sz w:val="20"/>
                <w:szCs w:val="20"/>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sz w:val="20"/>
                <w:szCs w:val="20"/>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sz w:val="20"/>
                <w:szCs w:val="20"/>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sz w:val="20"/>
                <w:szCs w:val="20"/>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x</w:t>
            </w:r>
          </w:p>
        </w:tc>
      </w:tr>
      <w:tr w:rsidR="002F0C89">
        <w:trPr>
          <w:divId w:val="1294948305"/>
          <w:jc w:val="center"/>
        </w:trPr>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22 (20o,2z)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0C89" w:rsidRDefault="002F0C8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F0C89" w:rsidRDefault="002F0C8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Spôsob vyhodnotenia</w:t>
            </w: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BROZ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Návrhu vlastného materiálu</w:t>
            </w:r>
            <w:r>
              <w:rPr>
                <w:rFonts w:ascii="Times" w:hAnsi="Times" w:cs="Times"/>
                <w:sz w:val="25"/>
                <w:szCs w:val="25"/>
              </w:rPr>
              <w:br/>
              <w:t>Bratislavské regionálne ochranárske združenie navrhuje zmeniť znenie navrhovaného nariadenia vlády Slovenskej republiky, ktorým sa vyhlasuje chránený areál Nesvadské piesky tak, aby sa na celom území chráneného areálu Nesvadské piesky uplatňoval štvrtý stupeň ochrany podľa § 15 zákona. Odôvodnenie: Navrhovaný chránený areál Nesvadské piesky pokrýva územie európskeho významu SKUEV0098 Nesvadské piesky a jeho doplnok SKUEV2098 Nesvadské piesky. Predmetom ochrany dotknutých území európskeho významu sú prioritné biotopy európskeho významu Pi2 Suchomilné travinno-bylinné porasty na vápnitých pieskoch (6120*) a Tr4 Panónske travinno-bylinné porasty na pieskoch (6260*). Oba biotopy sú dnes extrémne vzácne v celoslovenskom meradle, pričom výskyty v území predstavujú jedny z najkvalitnejších a najlepšie zachovaných lokalít na Slovensku vôbec. Výrazne ohrozujúcim faktorom týchto biotopov je likvidácia či rozorávanie trvalých trávnych porastov, na ktorých sa tieto biotopy nachádzajú, čo je zákonom č. 543/2002 Z. z. o ochrane prírody a krajiny v znení neskorších predpisov zakázané až od štvrtého stupňa ochrany. Navrhované zóny s tretím a druhým stupňom ochrany preto považujeme pre zabezpečenie priaznivého stavu ochrany dotknutých biotopov za nedostatočné a žiadame, aby sa v celom území uplatňoval štvrtý stupeň ochrany.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sz w:val="25"/>
                <w:szCs w:val="25"/>
              </w:rPr>
              <w:t>Na rozporovom rokovaní zo dňa 21.1.2020 bola pripomienka vysvetlená, BROZ na svojej pripomienke netrvá.</w:t>
            </w: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Do všeobecnej časti dôvodovej správy odporúčame doplniť zhrnutie vplyvov podľa doložky vybraných vplyvov (čl. 19 ods. 2 Legislatívne pravidlá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 1 odsek 2</w:t>
            </w:r>
            <w:r>
              <w:rPr>
                <w:rFonts w:ascii="Times" w:hAnsi="Times" w:cs="Times"/>
                <w:sz w:val="25"/>
                <w:szCs w:val="25"/>
              </w:rPr>
              <w:br/>
              <w:t>V § 1 odsek 2 odporúčame slovo „hektárov“ nahradiť slovom „ha“.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 Beriem na vedomie, že návrh bude mať v roku 2019 negatívny vplyv na rozpočet verejnej správy súvisiaci so zabezpečením označenia chráneného areálu Nesvadské piesky v sume 867 eur, ktorý je rozpočtovo zabezpečený v rámci schválených limitov kapitoly Ministerstva životného prostredia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 1 ods. 2 druhej vete za slovom „chráneného“ vložiť slovo „areálu“ a slovo „hektárov“ nahradiť skratkou „ha“, v poznámke pod čiarou k odkazu 2 na konci pripojiť slová „(oznámenie č. 450/2004 Z. z.)“, v poznámke pod čiarou k odkazu 3 slová „zo dňa“ nahradiť slovom „zo“ a na konci pripojiť slová „(oznámenie č. 353/2017 Z. z.)“, v § 3 ods. 1 a 2 slovo „hektára“ nahradiť skratkou „ha“, v § 5 vypustiť odsek 2 a uviesť ho ako zrušovacie ustanovenie v súlade s bodom 63.1 prílohy LPV, v § 5 ods. 2 písm. b) slová „dvadsiaty bod“ nahradiť slovami „bod 20“, v prílohe č. 3 poznámke druhej vete slová „európskeho a“ nahradiť </w:t>
            </w:r>
            <w:r>
              <w:rPr>
                <w:rFonts w:ascii="Times" w:hAnsi="Times" w:cs="Times"/>
                <w:sz w:val="25"/>
                <w:szCs w:val="25"/>
              </w:rPr>
              <w:lastRenderedPageBreak/>
              <w:t xml:space="preserve">slovami „európskeho významu a druhov“, doložku zlučiteľnosti zosúladiť s platnými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 1 ods. 2</w:t>
            </w:r>
            <w:r>
              <w:rPr>
                <w:rFonts w:ascii="Times" w:hAnsi="Times" w:cs="Times"/>
                <w:sz w:val="25"/>
                <w:szCs w:val="25"/>
              </w:rPr>
              <w:br/>
              <w:t xml:space="preserve">V odseku 2 druhej vete odporúčame vložiť za slovo "chráneného" slovo "areálu". V poznámke pod čiarou k odkazu 1 odporúčame pri vyhláške č. 24/2003 Z. z. vypustiť slová "v znení neskorších predpisov". Odôvodnenie: Gramatická 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 xml:space="preserve">§ 1 </w:t>
            </w:r>
            <w:r>
              <w:rPr>
                <w:rFonts w:ascii="Times" w:hAnsi="Times" w:cs="Times"/>
                <w:sz w:val="25"/>
                <w:szCs w:val="25"/>
              </w:rPr>
              <w:br/>
              <w:t xml:space="preserve">V poznámkach pod čiarou k odkazom 2 a 3 odporúčame uviesť za názvami právnych predpisov číslo oznámenia v Zbierke zákonov.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 xml:space="preserve">§ 5 </w:t>
            </w:r>
            <w:r>
              <w:rPr>
                <w:rFonts w:ascii="Times" w:hAnsi="Times" w:cs="Times"/>
                <w:sz w:val="25"/>
                <w:szCs w:val="25"/>
              </w:rPr>
              <w:br/>
              <w:t xml:space="preserve">Znenie odseku 2 odporúčame uviesť v samostatnom paragrafe, ktorý bude umiestnený pred posledným paragrafom ustanovujúcim účinnosť.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sz w:val="25"/>
                <w:szCs w:val="25"/>
              </w:rPr>
              <w:br/>
              <w:t xml:space="preserve">Ministerstvo pôdohospodárstva a rozvoja vidieka Slovenskej republiky nesúhlasí s vymedzením územia chráneného areálu podľa § 1 ods. 2 v prílohe č. 1 a žiada o presné vymedzenie na základe zameraných lomových bodov vymedzujúcich chránené územie a o uvedenie zoznamu súradníc lomových bodov hranice chráneného územia v prílohe č. 1. Obdobným spôsobom žiada vymedziť hranice zóny C a zóny D, ktoré sú definované podľa § </w:t>
            </w:r>
            <w:r>
              <w:rPr>
                <w:rFonts w:ascii="Times" w:hAnsi="Times" w:cs="Times"/>
                <w:sz w:val="25"/>
                <w:szCs w:val="25"/>
              </w:rPr>
              <w:lastRenderedPageBreak/>
              <w:t xml:space="preserve">3 a ich vymedzenie je súčasťou prílohy č. 2 . Táto pripomienka je zásadná. Odôvodnenie: „Vymedzenie hranice chráneného areálu“ na základe popisu hranice s použitím jednotiek priestorového rozdelenia lesa (ďalej len „JPRL“) je nesprávne a vyvolávajúce právnu neistotu, nakoľko JPRL nie sú trvalými jednotkami s geodeticky zameranými lomovými bodmi a teda nie sú využiteľné pre vymedzenie hraníc chránených území. JPRL sú súčasťou priestorovej úpravy lesa, ktorých výmera a hranice nemajú stabilný priebeh. Sú súčasťou plánovania trvalo udržateľného hospodárenia v lesoch a základnou jednotkou pre lesnú hospodársku evidenciu a ich hranice sa v priebehu platnosti programov starostlivosti o les (ďalej len „PSL“), resp. pri vyhotovení nových PSL menia a nemožno ich teda uplatniť pri jednoznačnom priestorovom vymedzení chráneného areálu. Dôkazom nejednoznačnosti vymedzenia hranice chráneného územia je príloha č. 1, keď predkladateľ v „Zozname parciel chráneného areálu“ uvádza špecifikáciu pre katastrálne územie Nesvady „5608/2 – časť, 5608/3 – časť, ....““, čo za jednoznačné vylíšenie hraníc chráneného územia považovať nemožno. Vymedzenie hraníc chráneného územia zameranými lomovými bodmi je z hľadiska uplatňovania ochrany chráneného územia a zabezpečenia právnej istoty nevyhnutné. Bez jednoznačného určenia hranice nie je možné ani jednoznačne určiť subjekty, na ktoré bude mať vyhlásenie chráneného územia dopad. Predkladateľ v § 1 ods. 2 deklaruje, že „zoznam súradníc lomových bodov určujúcich vymedzenia CHA je vedený v štátnom zozname osobitne chránených území“, čo však z hľadiska potenciálnych dopadov nepovažujeme za dostatočné. Z </w:t>
            </w:r>
            <w:r>
              <w:rPr>
                <w:rFonts w:ascii="Times" w:hAnsi="Times" w:cs="Times"/>
                <w:sz w:val="25"/>
                <w:szCs w:val="25"/>
              </w:rPr>
              <w:lastRenderedPageBreak/>
              <w:t xml:space="preserve">uvedeného zároveň vyplýva, že predkladateľ týmito súradnicami disponuje a teda nie je žiadny problém, aby boli súčasťou vyhlasovacieho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sz w:val="25"/>
                <w:szCs w:val="25"/>
              </w:rPr>
              <w:t xml:space="preserve">Na základe výsledkov rozporového rokovania s MPRV SR bola doplnená predkladacia správa a dôvodová správa nasledovne: Predkladacia správa: “MŽP SR prostredníctvom ním poverenej odbornej organizácie ochrany prírody poskytne správcovi informačného systému lesného </w:t>
            </w:r>
            <w:r>
              <w:rPr>
                <w:rFonts w:ascii="Times" w:hAnsi="Times" w:cs="Times"/>
                <w:sz w:val="25"/>
                <w:szCs w:val="25"/>
              </w:rPr>
              <w:lastRenderedPageBreak/>
              <w:t>hospodárstva, ktorým je Národné lesnícke centrum (elektronicky na adresu: nlc@nlcsk.org), vrstvu hraníc chráneného areálu XY pred predložením materiálu na rokovanie vlády SR a pred zápisom chráneného areálu XY do katastra nehnuteľností“. Dôvodová správa: „MŽP prostredníctvom ním poverenej odbornej organizácie ochrany prírody v rámci schvaľovacieho procesu ako aj pred zápisom do katastra nehnuteľností doručí správcovi informačného systému (§ 38 ods. 2 zákona 326/2005 Z. z) na adresu nlc@nlcsk. org a nlc-ulzi@lcsk.org hranice chráneného územia v dátovom formáte pre ukladanie vektorových priestorových dát pre geografické informačné systémy (napr. Esri shapefile), ktorý priestorovo popisuje geometrické body, línie a plochy hranice.“.</w:t>
            </w: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sz w:val="25"/>
                <w:szCs w:val="25"/>
              </w:rPr>
              <w:br/>
              <w:t xml:space="preserve">Ministerstvo pôdohospodárstva a rozvoja vidieka Slovenskej republiky žiada, aby súčasťou predkladaného návrhu bol „Projekt ochrany chránených území“ podľa § 54 ods. 12 písm. a) zákona č. 543/2002 Z. z. o ochrane prírody a krajiny v znení neskorších predpisov a zároveň aj program starostlivosti o chránené územie, ktorý sa podľa § 21 vyhlášky MŽP SR č. 2004/2003 Z. z., ktorou sa vykonáva zákon č. 543/2002 Z .z. o ochrane prírody a krajiny v znení neskorších predpisov, vypracúva spravidla súbežne s projektom ochrany územia. Táto pripomienka je zásadná. Odôvodnenie: Projekt ochrany obsahuje najmä základné údaje, podrobnosti o podmienkach ochrany, návrh ich technického vybavenia, tabuľkové prehľady a mapové prílohy s vyznačením hraníc navrhovaného chráneného územia a jeho ochranného pásma. Projekty ochrany chránených území sa vyhotovujú ako podklad na vyhlasovanie ochrany alebo zmeny ochrany chránených území, chránených stromov a ich ochranných pásiem a sú pre spracovanie ďalšej dokumentácie ochrany prírody a krajiny záväzné. Predkladateľ deklaruje v § 1 ods. 5 návrhu, že ciele starostlivosti o chránený areál a opatrenia na ich dosiahnutie upraví program starostlivosti o chránené územie. Podľa § 21 ods. 3 vyhlášky MŽP SR č. 2004/2003 Z. z., ktorou sa vykonáva zákon č. 543/2002 Z. z. o ochrane prírody a krajiny v znení neskorších predpisov, sa program starostlivosti o chránené </w:t>
            </w:r>
            <w:r>
              <w:rPr>
                <w:rFonts w:ascii="Times" w:hAnsi="Times" w:cs="Times"/>
                <w:sz w:val="25"/>
                <w:szCs w:val="25"/>
              </w:rPr>
              <w:lastRenderedPageBreak/>
              <w:t>územie (chránený areál) vypracúva spravidla súbežne s projektom ochrany chráneného územia. Bez tejto dokumentácie ochrany prírody nie je možné zhodnotiť opodstatnenosť a správnosť návrhu ani jeho dopady na rozpočet verejnej správy, podnikateľov a obyvateľov.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sz w:val="25"/>
                <w:szCs w:val="25"/>
              </w:rPr>
              <w:t>V predloženom materiáli je uvedený link webového sídla ŠOP SR.</w:t>
            </w: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K § 1 ods. 2</w:t>
            </w:r>
            <w:r>
              <w:rPr>
                <w:rFonts w:ascii="Times" w:hAnsi="Times" w:cs="Times"/>
                <w:sz w:val="25"/>
                <w:szCs w:val="25"/>
              </w:rPr>
              <w:br/>
              <w:t xml:space="preserve">Odporúčame v § 1 ods. 2 druhej vete za slovo „chráneného“ vložiť slovo „areálu“. Odôvodnenie: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K § 5</w:t>
            </w:r>
            <w:r>
              <w:rPr>
                <w:rFonts w:ascii="Times" w:hAnsi="Times" w:cs="Times"/>
                <w:sz w:val="25"/>
                <w:szCs w:val="25"/>
              </w:rPr>
              <w:br/>
              <w:t xml:space="preserve">Odporúčame vypustiť odsek 2. Odôvodnenie: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doložke vybraných vplyvov, bod 9</w:t>
            </w:r>
            <w:r>
              <w:rPr>
                <w:rFonts w:ascii="Times" w:hAnsi="Times" w:cs="Times"/>
                <w:sz w:val="25"/>
                <w:szCs w:val="25"/>
              </w:rPr>
              <w:br/>
              <w:t xml:space="preserve">Nakoľko s účinnosťou od 1. marca 2019 má doložka vybraných vplyvov v zmysle § 7 ods. 3 písm. b) zákona č. 400/2015 Z. z. o tvorbe právnych predpisov a o Zbierke zákonov Slovenskej republiky a o zmene a doplnení niektorých zákonov obsahovať aj informáciu o predpokladaných vplyvoch na manželstvo, rodičovstvo a rodinu, odporúčame preto túto časť doložky vybraných vplyvov náležite vyplniť.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 xml:space="preserve">Odporúčame predkladateľovi v § 1 ods. 2, druhá veta, vložiť za slovo „chráneného“ slovo „areálu“.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 1</w:t>
            </w:r>
            <w:r>
              <w:rPr>
                <w:rFonts w:ascii="Times" w:hAnsi="Times" w:cs="Times"/>
                <w:sz w:val="25"/>
                <w:szCs w:val="25"/>
              </w:rPr>
              <w:br/>
              <w:t>K § 1: Vzhľadom na široký okruh adresátov nariadenia vlády navrhujeme v odseku 5 na konci vložiť nad slovo „areál“ odkaz na novú poznámku pod čiarou „4)“. „Poznámka pod čiarou k odkazu 4 znie: 4) § 67 zákona č. 543/2002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sz w:val="25"/>
                <w:szCs w:val="25"/>
              </w:rPr>
              <w:t>Navrhovaný odkaz, ako aj poznámku pod čiarou, nepovažujeme za potrebný, systematicky správny a ani vecne vhodný.</w:t>
            </w: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 4</w:t>
            </w:r>
            <w:r>
              <w:rPr>
                <w:rFonts w:ascii="Times" w:hAnsi="Times" w:cs="Times"/>
                <w:sz w:val="25"/>
                <w:szCs w:val="25"/>
              </w:rPr>
              <w:br/>
              <w:t>K § 4: Navrhujeme § 4 vrátane nadpisu vypustiť. Odôvodnenie: splnomocňovacie ustanovenia podľa úvodnej vety neumožňujú v návrhu nariadenia upravovať vyznačovanie chráneného areálu v zmysle navrhovaného § 4. Splnomocňovacie ustanovenia splnomocňujú vládu na „vymedzenie hraníc chráneného areálu“. Vymedzenie hraníc je upravene v § 1 ods. 2 druhej vete návrhu nariadenia. Termín „Vyznačenie chráneného areálu“ podľa navrhovaného § 4 z dôvodu zachovania terminologickej presnosti a tiež z hľadiska obsahovej odlišnosti nie je možné subsumovať pod termín „vymedzenie chráneného areálu“ podľa splnomocňovacieho ustanovenia § 21 ods. 4 zákona č. 543/2002 Z. z.. Vzhľadom na znenie § 51 zákona č. 543/2002 Z. z. sa ustanovenia navrhovaného § 4 navyše javia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sz w:val="25"/>
                <w:szCs w:val="25"/>
              </w:rPr>
              <w:t xml:space="preserve">§ 4 bol vypustený a čiastočne zapracovaný do § 1 ods. 3, ktorý upravuje vymedzenie hraníc. Na základe splnomocňujúce ustanovenia v § 21 ods. 4 zákona č. 543/2002 Z. z. o ochrane prírody a krajiny v znení neskorších predpisov vláda nariadením ustanovuje aj podrobnosti o územnej ochrane chráneného areálu a jeho ochranného pásma. </w:t>
            </w: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 5</w:t>
            </w:r>
            <w:r>
              <w:rPr>
                <w:rFonts w:ascii="Times" w:hAnsi="Times" w:cs="Times"/>
                <w:sz w:val="25"/>
                <w:szCs w:val="25"/>
              </w:rPr>
              <w:br/>
              <w:t>K § 5: Odsek 2 odporúčame označiť ako osobitný paragraf s názvom „Zrušovacie ustanovenia“. Tento paragraf je potrebné umiestniť pred paragraf s názvom „Účinnosť“.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r>
            <w:r>
              <w:rPr>
                <w:rFonts w:ascii="Times" w:hAnsi="Times" w:cs="Times"/>
                <w:sz w:val="25"/>
                <w:szCs w:val="25"/>
              </w:rPr>
              <w:lastRenderedPageBreak/>
              <w:t xml:space="preserve">Bod 3 písm. c) doložky odporúčame prepracovať v súlade s prílohou č. 2 k Legislatívnym pravidlám vlády SR a v informácii o judikatúre Súdneho dvora Európskej únie doplniť k číslam súdnych rozhodnutí ich názvy a stručne ich výroky alebo relevantné právne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 5 ods. 2</w:t>
            </w:r>
            <w:r>
              <w:rPr>
                <w:rFonts w:ascii="Times" w:hAnsi="Times" w:cs="Times"/>
                <w:sz w:val="25"/>
                <w:szCs w:val="25"/>
              </w:rPr>
              <w:br/>
              <w:t xml:space="preserve">Odsek 2 odporúčame vypustiť. Vypustenie odseku 2 sa navrhuje v nadväznosti na ustanovenie § 5 ods. 5 a § 12 ods. 1 písm. a) zákona č. 400/2015 Z. z. o tvorbe právnych predpisov a o Zbierke zákonov Slovenskej republiky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sz w:val="25"/>
                <w:szCs w:val="25"/>
              </w:rPr>
              <w:t>Odsek 2 § 5 je v súlade s pripomienkou iných pripomienkujúcich subjektov vyňatý z § 5 a je onačený ako zrušovacie ustanovenie (§ 4).</w:t>
            </w: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Všeobecná</w:t>
            </w:r>
            <w:r>
              <w:rPr>
                <w:rFonts w:ascii="Times" w:hAnsi="Times" w:cs="Times"/>
                <w:sz w:val="25"/>
                <w:szCs w:val="25"/>
              </w:rPr>
              <w:br/>
              <w:t>Z legislatívno-technického hľadiska odporúčame v § 1 ods. 2 návrhu za slovom „chráneného“ vložiť slovo „areálu“ a slovo „hektárov“ nahradiť slovom „hektára“.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Odporúčame upraviť doložku zlučiteľnosti podľa Prílohy č. 2 k Legislatívnym pravidlám vlády Slovenskej republiky.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p>
        </w:tc>
      </w:tr>
      <w:tr w:rsidR="002F0C89">
        <w:trPr>
          <w:divId w:val="18487919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rPr>
                <w:rFonts w:ascii="Times" w:hAnsi="Times" w:cs="Times"/>
                <w:sz w:val="25"/>
                <w:szCs w:val="25"/>
              </w:rPr>
            </w:pPr>
            <w:r>
              <w:rPr>
                <w:rFonts w:ascii="Times" w:hAnsi="Times" w:cs="Times"/>
                <w:b/>
                <w:bCs/>
                <w:sz w:val="25"/>
                <w:szCs w:val="25"/>
              </w:rPr>
              <w:t>K § 5 ods. 2</w:t>
            </w:r>
            <w:r>
              <w:rPr>
                <w:rFonts w:ascii="Times" w:hAnsi="Times" w:cs="Times"/>
                <w:sz w:val="25"/>
                <w:szCs w:val="25"/>
              </w:rPr>
              <w:br/>
              <w:t xml:space="preserve">Zrušovacie ustanovenie je potrebné zosúladiť s požiadavkami podľa čl. 8 ods. 6 Legislatívnych pravidiel vlády a s bodmi 63.1 a 63.2 Prílohy č. 1 k Legislatívnym pravidlám vlády Slovenskej republiky.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0C89" w:rsidRDefault="002F0C89">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36F" w:rsidRDefault="009A736F" w:rsidP="000A67D5">
      <w:pPr>
        <w:spacing w:after="0" w:line="240" w:lineRule="auto"/>
      </w:pPr>
      <w:r>
        <w:separator/>
      </w:r>
    </w:p>
  </w:endnote>
  <w:endnote w:type="continuationSeparator" w:id="0">
    <w:p w:rsidR="009A736F" w:rsidRDefault="009A736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36F" w:rsidRDefault="009A736F" w:rsidP="000A67D5">
      <w:pPr>
        <w:spacing w:after="0" w:line="240" w:lineRule="auto"/>
      </w:pPr>
      <w:r>
        <w:separator/>
      </w:r>
    </w:p>
  </w:footnote>
  <w:footnote w:type="continuationSeparator" w:id="0">
    <w:p w:rsidR="009A736F" w:rsidRDefault="009A736F"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A1ECC"/>
    <w:multiLevelType w:val="hybridMultilevel"/>
    <w:tmpl w:val="B1CC50AE"/>
    <w:lvl w:ilvl="0" w:tplc="1038AE42">
      <w:start w:val="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2F0C89"/>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A736F"/>
    <w:rsid w:val="009C6C5C"/>
    <w:rsid w:val="009F7218"/>
    <w:rsid w:val="00A251BF"/>
    <w:rsid w:val="00A5396B"/>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A53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36885">
      <w:bodyDiv w:val="1"/>
      <w:marLeft w:val="0"/>
      <w:marRight w:val="0"/>
      <w:marTop w:val="0"/>
      <w:marBottom w:val="0"/>
      <w:divBdr>
        <w:top w:val="none" w:sz="0" w:space="0" w:color="auto"/>
        <w:left w:val="none" w:sz="0" w:space="0" w:color="auto"/>
        <w:bottom w:val="none" w:sz="0" w:space="0" w:color="auto"/>
        <w:right w:val="none" w:sz="0" w:space="0" w:color="auto"/>
      </w:divBdr>
    </w:div>
    <w:div w:id="314333011">
      <w:bodyDiv w:val="1"/>
      <w:marLeft w:val="0"/>
      <w:marRight w:val="0"/>
      <w:marTop w:val="0"/>
      <w:marBottom w:val="0"/>
      <w:divBdr>
        <w:top w:val="none" w:sz="0" w:space="0" w:color="auto"/>
        <w:left w:val="none" w:sz="0" w:space="0" w:color="auto"/>
        <w:bottom w:val="none" w:sz="0" w:space="0" w:color="auto"/>
        <w:right w:val="none" w:sz="0" w:space="0" w:color="auto"/>
      </w:divBdr>
    </w:div>
    <w:div w:id="460197523">
      <w:bodyDiv w:val="1"/>
      <w:marLeft w:val="0"/>
      <w:marRight w:val="0"/>
      <w:marTop w:val="0"/>
      <w:marBottom w:val="0"/>
      <w:divBdr>
        <w:top w:val="none" w:sz="0" w:space="0" w:color="auto"/>
        <w:left w:val="none" w:sz="0" w:space="0" w:color="auto"/>
        <w:bottom w:val="none" w:sz="0" w:space="0" w:color="auto"/>
        <w:right w:val="none" w:sz="0" w:space="0" w:color="auto"/>
      </w:divBdr>
    </w:div>
    <w:div w:id="666136876">
      <w:bodyDiv w:val="1"/>
      <w:marLeft w:val="0"/>
      <w:marRight w:val="0"/>
      <w:marTop w:val="0"/>
      <w:marBottom w:val="0"/>
      <w:divBdr>
        <w:top w:val="none" w:sz="0" w:space="0" w:color="auto"/>
        <w:left w:val="none" w:sz="0" w:space="0" w:color="auto"/>
        <w:bottom w:val="none" w:sz="0" w:space="0" w:color="auto"/>
        <w:right w:val="none" w:sz="0" w:space="0" w:color="auto"/>
      </w:divBdr>
    </w:div>
    <w:div w:id="967852892">
      <w:bodyDiv w:val="1"/>
      <w:marLeft w:val="0"/>
      <w:marRight w:val="0"/>
      <w:marTop w:val="0"/>
      <w:marBottom w:val="0"/>
      <w:divBdr>
        <w:top w:val="none" w:sz="0" w:space="0" w:color="auto"/>
        <w:left w:val="none" w:sz="0" w:space="0" w:color="auto"/>
        <w:bottom w:val="none" w:sz="0" w:space="0" w:color="auto"/>
        <w:right w:val="none" w:sz="0" w:space="0" w:color="auto"/>
      </w:divBdr>
    </w:div>
    <w:div w:id="1294948305">
      <w:bodyDiv w:val="1"/>
      <w:marLeft w:val="0"/>
      <w:marRight w:val="0"/>
      <w:marTop w:val="0"/>
      <w:marBottom w:val="0"/>
      <w:divBdr>
        <w:top w:val="none" w:sz="0" w:space="0" w:color="auto"/>
        <w:left w:val="none" w:sz="0" w:space="0" w:color="auto"/>
        <w:bottom w:val="none" w:sz="0" w:space="0" w:color="auto"/>
        <w:right w:val="none" w:sz="0" w:space="0" w:color="auto"/>
      </w:divBdr>
    </w:div>
    <w:div w:id="1848791933">
      <w:bodyDiv w:val="1"/>
      <w:marLeft w:val="0"/>
      <w:marRight w:val="0"/>
      <w:marTop w:val="0"/>
      <w:marBottom w:val="0"/>
      <w:divBdr>
        <w:top w:val="none" w:sz="0" w:space="0" w:color="auto"/>
        <w:left w:val="none" w:sz="0" w:space="0" w:color="auto"/>
        <w:bottom w:val="none" w:sz="0" w:space="0" w:color="auto"/>
        <w:right w:val="none" w:sz="0" w:space="0" w:color="auto"/>
      </w:divBdr>
    </w:div>
    <w:div w:id="18714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2.2020 10:34:46"/>
    <f:field ref="objchangedby" par="" text="Administrator, System"/>
    <f:field ref="objmodifiedat" par="" text="4.2.2020 10:34:5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2520</Words>
  <Characters>14367</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2020-02-04T09:44:00Z</dcterms:created>
  <dcterms:modified xsi:type="dcterms:W3CDTF">2020-02-04T09:44:00Z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justify;"&gt;Zámer vyhlásiť chránený areál Nesvadské piesky bol Okresným úradom Nitra oznámený dotknutým subjektom v&amp;nbsp;zmysle § 50 zákona č. 543/2002 Z. z. o&amp;nbsp;ochrane prírody a&amp;nbsp;krajiny v&amp;nbsp;znení neskorších predpisov. Obec</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vyhlasuje chránený areál Nesvadské piesky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27 ods. 9 zákona č. 543/2002 Z. z. o ochrane prírody a krajiny v znení neskorších predpisov </vt:lpwstr>
  </property>
  <property fmtid="{D5CDD505-2E9C-101B-9397-08002B2CF9AE}" pid="22" name="FSC#SKEDITIONSLOVLEX@103.510:plnynazovpredpis">
    <vt:lpwstr> Nariadenie vlády  Slovenskej republiky, ktorým sa vyhlasuje chránený areál Nesvadské piesky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6793/2019 – 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LP/2019/268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v platnom znení</vt:lpwstr>
  </property>
  <property fmtid="{D5CDD505-2E9C-101B-9397-08002B2CF9AE}" pid="46" name="FSC#SKEDITIONSLOVLEX@103.510:AttrStrListDocPropSekundarneLegPravoPO">
    <vt:lpwstr>Smernica Rady 92/43/EHS z 21. mája 1992 o ochrane prirodzených biotopov a voľne žijúcich živočíchov a rastlín (Mimoriadne vydanie Ú. v. EÚ, kapitola 15/zv.002; Ú. v. EÚ L 206, 22.7.1992) v platnom znení        gestor: Ministerstvo životného prostredia Slo</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napr. C-67/99, C-71/99, C-220/99</vt:lpwstr>
  </property>
  <property fmtid="{D5CDD505-2E9C-101B-9397-08002B2CF9AE}" pid="51" name="FSC#SKEDITIONSLOVLEX@103.510:AttrStrListDocPropLehotaPrebratieSmernice">
    <vt:lpwstr>15. január 2014   -   pre časť navrhovaného chráneného areálu SKUEV0098_x000d_
_x000d_
 9. január 2025   -   pre časť navrhovaného chráneného areálu SKUEV2098_x000d_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EU Pilot 8936 (2016) ENV, ktorý sa týka nedostatočného vyhlasovania lokalít európskeho významu a schvaľovania programov starostlivosti. Toto konanie sa vzťahuje na časť navrhovaného chráneného areálu Nesvadské piesky (SKUEV0098)</vt:lpwstr>
  </property>
  <property fmtid="{D5CDD505-2E9C-101B-9397-08002B2CF9AE}" pid="54" name="FSC#SKEDITIONSLOVLEX@103.510:AttrStrListDocPropInfoUzPreberanePP">
    <vt:lpwstr>Smernica Rady 92/43/EHS z 21. mája 1992 o ochrane prirodzených biotopov a voľne žijúcich živočíchov a rastlín je prebratá _x000d_
- zákonom č. 543/2002 Z. z. o ochrane prírody a krajiny v znení neskorších predpisov,_x000d_
- vyhláškou Ministerstva životného prostredi</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8. 3. 2019</vt:lpwstr>
  </property>
  <property fmtid="{D5CDD505-2E9C-101B-9397-08002B2CF9AE}" pid="58" name="FSC#SKEDITIONSLOVLEX@103.510:AttrDateDocPropUkonceniePKK">
    <vt:lpwstr>22. 3. 2019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justify;"&gt;Predkladaným návrhom nariadenia vlády sa za chránené územie vyhlási lokalita európskeho významu, ktorá je súčasťou európskej sústavy chránených území Natura 2000. Navrhované chránené územie je zložené z&amp;nbsp;dvoch území eur</vt:lpwstr>
  </property>
  <property fmtid="{D5CDD505-2E9C-101B-9397-08002B2CF9AE}" pid="65" name="FSC#SKEDITIONSLOVLEX@103.510:AttrStrListDocPropAltRiesenia">
    <vt:lpwstr>Alternatívne riešenie sa týka celkovo vyhlásenia/nevyhlásenia chráneného areálu Nesvadské piesky.Vyhlásenie chráneného areálu Nesvadské piesky vyplýva z § 27 ods. 9 zákona, podľa ktorého vyhlási vláda územie európskeho významu schválené Európskou komisiou</vt:lpwstr>
  </property>
  <property fmtid="{D5CDD505-2E9C-101B-9397-08002B2CF9AE}" pid="66" name="FSC#SKEDITIONSLOVLEX@103.510:AttrStrListDocPropStanoviskoGest">
    <vt:lpwstr>&lt;p style="text-align: justify;"&gt;Komisia v&amp;nbsp;stanovisku č. 045/2019 zo dňa 22.03.2019 uplatnila k&amp;nbsp;materiálu nasledovné pripomienky:&lt;/p&gt;&lt;p style="text-align: justify;"&gt;&lt;strong&gt;K vplyvom na podnikateľské prostredie&lt;/strong&gt;&lt;/p&gt;&lt;p style="text-align: j</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vyhlasuje chránený areál Nesvadské piesky (ďalej len „návrh nariadenia vlády“), predkladá Ministerstvo životného prostredia Slovenskej republiky v&amp;nbsp;súlade s ustanov</vt:lpwstr>
  </property>
  <property fmtid="{D5CDD505-2E9C-101B-9397-08002B2CF9AE}" pid="149" name="FSC#COOSYSTEM@1.1:Container">
    <vt:lpwstr>COO.2145.1000.3.3796772</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4. 2. 2020</vt:lpwstr>
  </property>
</Properties>
</file>