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F2B35" w:rsidRDefault="00FF2B35">
      <w:pPr>
        <w:jc w:val="center"/>
        <w:divId w:val="215241164"/>
        <w:rPr>
          <w:rFonts w:ascii="Times" w:hAnsi="Times" w:cs="Times"/>
          <w:sz w:val="25"/>
          <w:szCs w:val="25"/>
        </w:rPr>
      </w:pPr>
      <w:r>
        <w:rPr>
          <w:rFonts w:ascii="Times" w:hAnsi="Times" w:cs="Times"/>
          <w:sz w:val="25"/>
          <w:szCs w:val="25"/>
        </w:rPr>
        <w:t>Nariadenie vlády Slovenskej republiky, ktorým sa vyhlasuje chránený areál Čenkov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F2B35" w:rsidP="00FF2B35">
            <w:pPr>
              <w:spacing w:after="0" w:line="240" w:lineRule="auto"/>
              <w:rPr>
                <w:rFonts w:ascii="Times New Roman" w:hAnsi="Times New Roman" w:cs="Calibri"/>
                <w:sz w:val="20"/>
                <w:szCs w:val="20"/>
              </w:rPr>
            </w:pPr>
            <w:r>
              <w:rPr>
                <w:rFonts w:ascii="Times" w:hAnsi="Times" w:cs="Times"/>
                <w:sz w:val="25"/>
                <w:szCs w:val="25"/>
              </w:rPr>
              <w:t>33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F2B35" w:rsidP="00FF2B35">
            <w:pPr>
              <w:spacing w:after="0" w:line="240" w:lineRule="auto"/>
              <w:rPr>
                <w:rFonts w:ascii="Times New Roman" w:hAnsi="Times New Roman" w:cs="Calibri"/>
                <w:sz w:val="20"/>
                <w:szCs w:val="20"/>
              </w:rPr>
            </w:pPr>
            <w:r>
              <w:rPr>
                <w:rFonts w:ascii="Times" w:hAnsi="Times" w:cs="Times"/>
                <w:sz w:val="25"/>
                <w:szCs w:val="25"/>
              </w:rPr>
              <w:t>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F2B35" w:rsidP="00FF2B35">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F2B35" w:rsidP="00FF2B3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F2B35" w:rsidP="00FF2B35">
            <w:pPr>
              <w:spacing w:after="0" w:line="240" w:lineRule="auto"/>
              <w:rPr>
                <w:rFonts w:ascii="Times New Roman" w:hAnsi="Times New Roman" w:cs="Calibri"/>
                <w:sz w:val="20"/>
                <w:szCs w:val="20"/>
              </w:rPr>
            </w:pPr>
            <w:r>
              <w:rPr>
                <w:rFonts w:ascii="Times" w:hAnsi="Times" w:cs="Times"/>
                <w:sz w:val="25"/>
                <w:szCs w:val="25"/>
              </w:rPr>
              <w:t>18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F2B35" w:rsidRDefault="00FF2B3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FF2B35">
        <w:trPr>
          <w:divId w:val="25817368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Vôbec nezaslali</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Slovenská agentúra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x</w:t>
            </w:r>
          </w:p>
        </w:tc>
      </w:tr>
      <w:tr w:rsidR="00FF2B35">
        <w:trPr>
          <w:divId w:val="258173682"/>
          <w:jc w:val="center"/>
        </w:trPr>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33 (31o,2z)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F2B35" w:rsidRDefault="00FF2B3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F2B35" w:rsidRDefault="00FF2B3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Spôsob vyhodnotenia</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3. K § 5</w:t>
            </w:r>
            <w:r>
              <w:rPr>
                <w:rFonts w:ascii="Times" w:hAnsi="Times" w:cs="Times"/>
                <w:sz w:val="25"/>
                <w:szCs w:val="25"/>
              </w:rPr>
              <w:br/>
              <w:t>Navrhujeme vypustiť odkaz 2 vrátane poznámky pod čiarou, pretože je v rozpore s bodom 23.1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1. K úvodnej vete</w:t>
            </w:r>
            <w:r>
              <w:rPr>
                <w:rFonts w:ascii="Times" w:hAnsi="Times" w:cs="Times"/>
                <w:sz w:val="25"/>
                <w:szCs w:val="25"/>
              </w:rPr>
              <w:br/>
              <w:t>Odporúčame vypustiť slová „(ďalej len „zákon“)“, pretože slová, ktoré má nahradiť táto legislatívna skratka sa v texte návrhu vyskytujú len raz v prílohe č. 2 (bod 9.1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2. K § 4</w:t>
            </w:r>
            <w:r>
              <w:rPr>
                <w:rFonts w:ascii="Times" w:hAnsi="Times" w:cs="Times"/>
                <w:sz w:val="25"/>
                <w:szCs w:val="25"/>
              </w:rPr>
              <w:br/>
              <w:t>Znenie § 4 odporúčame zosúladiť s bodmi 63.1 a 63.2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Ustanovenie je v súlade s LPV.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 xml:space="preserve">§ 1 ods. 4 </w:t>
            </w:r>
            <w:r>
              <w:rPr>
                <w:rFonts w:ascii="Times" w:hAnsi="Times" w:cs="Times"/>
                <w:sz w:val="25"/>
                <w:szCs w:val="25"/>
              </w:rPr>
              <w:br/>
            </w:r>
            <w:r>
              <w:rPr>
                <w:rFonts w:ascii="Times" w:hAnsi="Times" w:cs="Times"/>
                <w:sz w:val="25"/>
                <w:szCs w:val="25"/>
              </w:rPr>
              <w:lastRenderedPageBreak/>
              <w:t>odporúčame v prvej vete vypustiť slová „uvedeného v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 xml:space="preserve">§ 4 bod 3. </w:t>
            </w:r>
            <w:r>
              <w:rPr>
                <w:rFonts w:ascii="Times" w:hAnsi="Times" w:cs="Times"/>
                <w:sz w:val="25"/>
                <w:szCs w:val="25"/>
              </w:rPr>
              <w:br/>
              <w:t>odporúčame konkretizovať zrušovacie ustanovenie výnosu Ministerstva kultúry SSR, ktorým bola Čenkovská lesostep vyhlásená za chránenú.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Formulácia zrušovacieho ustanovenia je presná vzhľadom na štruktúru uvedeného výnosu.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 5</w:t>
            </w:r>
            <w:r>
              <w:rPr>
                <w:rFonts w:ascii="Times" w:hAnsi="Times" w:cs="Times"/>
                <w:sz w:val="25"/>
                <w:szCs w:val="25"/>
              </w:rPr>
              <w:br/>
              <w:t>odporúčame zvážiť vypustenie odkazu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§5</w:t>
            </w:r>
            <w:r>
              <w:rPr>
                <w:rFonts w:ascii="Times" w:hAnsi="Times" w:cs="Times"/>
                <w:sz w:val="25"/>
                <w:szCs w:val="25"/>
              </w:rPr>
              <w:br/>
              <w:t>odporúčame zvážiť vypustenie odkazu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w:t>
            </w:r>
            <w:r>
              <w:rPr>
                <w:rFonts w:ascii="Times" w:hAnsi="Times" w:cs="Times"/>
                <w:sz w:val="25"/>
                <w:szCs w:val="25"/>
              </w:rPr>
              <w:lastRenderedPageBreak/>
              <w:t xml:space="preserve">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výdavky súvisiace s vyhlásením chráneného areálu Čenkov budú zabezpečené v rámci limitu výdavkov kapitoly Ministerstva životného prostredia SR na rok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sz w:val="20"/>
                <w:szCs w:val="20"/>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 4 zosúladiť s bodom 63.1 prílohy LPV, § 5 a znenie poznámky pod čiarou k odkazu 2 prehodnotiť a zosúladiť s bodom 64.3 prílohy LPV, v prílohách č. 1 a 2 prehodnotiť znenie Poznámok, pretože sa v navrhovanom znení javia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K § 4: Znenie je v súlade s bodom 63.1. prílohy LPV. K § 5: 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pásmo). K poznámkam v prílohách: Poznámka v prílohe č. 1 je potrebná z dôvodu rozdielneho označenia biotopov v smernici Rady 92/43/EHS z 21. mája 1992 o ochrane prirodzených biotopov a voľne žijúcich živočíchov a rastlín v platnom znení a vo vykonávacej vyhláške, ktorou sa transponuje príslušná časť smernice. </w:t>
            </w:r>
            <w:r>
              <w:rPr>
                <w:rFonts w:ascii="Times" w:hAnsi="Times" w:cs="Times"/>
                <w:sz w:val="25"/>
                <w:szCs w:val="25"/>
              </w:rPr>
              <w:lastRenderedPageBreak/>
              <w:t>Poznámka v prílohe č. 2 je dôležitou informáciou pre adresáta právnej normy.</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odporúčam prehodnotiť v kontexte s Ústavou SR z dôvodu možného nesúladu s jej čl. 120 (§ 1 ods. 4 a § 3), pretože by mohol byť nesúladný so splnomocňovacím ustanovením vykonávaného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Výpočet podrobností o územnej ochrane v § 21 ods. 4 zákona je príkladný (slovo „najmä“) a preto do podrobností o územnej ochrane boli doplnené podrobnosti -predmet ochrany, informácia o účele ochrany a informácia o dokumente, ktorý upravuje ciele starostlivosti a opatrenia na ich dosiahnutie, ktoré vyplývajú z usmernenia Európskej komisie - Oznámenie Komisie o vyhlasovaní osobitne chránených území (OCHÚ) zo dňa 14. mája 2012 Doc.Hab. 12-04/05.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 5</w:t>
            </w:r>
            <w:r>
              <w:rPr>
                <w:rFonts w:ascii="Times" w:hAnsi="Times" w:cs="Times"/>
                <w:sz w:val="25"/>
                <w:szCs w:val="25"/>
              </w:rPr>
              <w:br/>
              <w:t>Odporúčame vypustiť odkaz na poznámku pod čiarou č. 2 a text tejto poznámky pod čiarou.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w:t>
            </w:r>
            <w:r>
              <w:rPr>
                <w:rFonts w:ascii="Times" w:hAnsi="Times" w:cs="Times"/>
                <w:sz w:val="25"/>
                <w:szCs w:val="25"/>
              </w:rPr>
              <w:lastRenderedPageBreak/>
              <w:t xml:space="preserve">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prílohe č. 2</w:t>
            </w:r>
            <w:r>
              <w:rPr>
                <w:rFonts w:ascii="Times" w:hAnsi="Times" w:cs="Times"/>
                <w:sz w:val="25"/>
                <w:szCs w:val="25"/>
              </w:rPr>
              <w:br/>
              <w:t xml:space="preserve">Odporúčame vypustiť vetu ,,Technickým podkladom na zápis priebehu hranice chráneného areálu do katastra nehnuteľností je zjednodušený operát geometrického plánu.". Odôvodnenie: Uvedená veta by sa mala nachádzať v príslušnom zákone a nie v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Vymedzenie hranice je upravené v prílohe. Spôsob vymedzenia hranice v prílohe tvorí popisná časť, zoznam parciel, mapa chráneného areálu a určenie technického podkladu pre zápis priebehu hranice, ktorým je zjednodušený operát geometrického plánu, a ktorým sa zabezpečuje presnosť vymedzenia priebehu hranice.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Odporúčame zvážiť vypustenie prílohy č. 1 z dôvodu nesúladu § 1 ods. 2 navrhovaného nariadenia so splnomocňovacím ustanovením zákona č. 543/2002 Z. z. Text uvedený v prílohe č. 1 je možné uviesť v predkladacej správe alebo v dôvodovej správe. Odôvodnenie: Nesúlad so splnomocňovacím ustanovením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Výpočet podrobností o územnej ochrane v § 21 ods. 4 zákona je príkladný (slovo „najmä“) a preto do podrobností o územnej ochrane boli doplnené podrobnosti - predmet ochrany, informácia o účele ochrany a informácia o dokumente, ktorý upravuje ciele starostlivosti a opatrenia na ich dosiahnutie, ktoré vyplývajú z usmernenia Európskej komisie - Oznámenie Komisie o vyhlasovaní osobitne chránených území (OCHÚ) zo dňa 14. mája 2012 Doc.Hab. 12-04/05.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Odporúčame zvážiť, či niektoré z navrhovaných ustanovení sú v </w:t>
            </w:r>
            <w:r>
              <w:rPr>
                <w:rFonts w:ascii="Times" w:hAnsi="Times" w:cs="Times"/>
                <w:sz w:val="25"/>
                <w:szCs w:val="25"/>
              </w:rPr>
              <w:lastRenderedPageBreak/>
              <w:t>súlade so splnomocňovacím ustanovením uvedeným v § 21 ods. 1 a 4 zákona č. 543/2002 Z. z. o ochrane prírody a krajiny v znení neskorších predpisov (napríklad § 1 ods. 4 odporúčame vypustiť). Odôvodnenie: Súlad so splnomocňovacím ustanovením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Výpočet podrobností o územnej ochrane v § 21 ods. 4 zákona je </w:t>
            </w:r>
            <w:r>
              <w:rPr>
                <w:rFonts w:ascii="Times" w:hAnsi="Times" w:cs="Times"/>
                <w:sz w:val="25"/>
                <w:szCs w:val="25"/>
              </w:rPr>
              <w:lastRenderedPageBreak/>
              <w:t xml:space="preserve">príkladný (slovo „najmä“) a preto do podrobností o územnej ochrane boli doplnené podrobnosti- predmet ochrany, informácia o účele ochrany a informácia o dokumente, ktorý upravuje ciele starostlivosti a opatrenia na ich dosiahnutie, ktoré vyplývajú z usmernenia Európskej komisie - Oznámenie Komisie o vyhlasovaní osobitne chránených území (OCHÚ) zo dňa 14. mája 2012 Doc.Hab. 12-04/05.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br/>
              <w:t xml:space="preserve">1. Žiadame, aby súčasťou predkladaného návrhu bol „Projekt ochrany chránených území“ podľa § 54 ods. 12 písm. a) zákona č. 543/2002 Z.z. o ochrane prírody a krajiny v znení neskorších predpisov a zároveň aj program starostlivosti o chránené územie, ktorý sa, podľa § 21 vyhlášky MŽP SR č. 2004/2003 Z.z., ktorou sa vykonáva zákon č. 543/2002 Z.z. o ochrane prírody a krajiny, v znení neskorších predpisov, vypracúva spravidla súbežne s projektom ochrany územia. Odôvodnenie: Projekt ochrany obsahuje najmä základné údaje, podrobnosti o podmienkach ochrany, návrh ich technického vybavenia, tabuľkové prehľady a mapové prílohy s vyznačením hraníc navrhovaného chráneného územia a jeho ochranného pásma. Projekty ochrany chránených </w:t>
            </w:r>
            <w:r>
              <w:rPr>
                <w:rFonts w:ascii="Times" w:hAnsi="Times" w:cs="Times"/>
                <w:sz w:val="25"/>
                <w:szCs w:val="25"/>
              </w:rPr>
              <w:lastRenderedPageBreak/>
              <w:t xml:space="preserve">území sa vyhotovujú ako podklad na vyhlasovanie ochrany alebo zmeny ochrany chránených území, chránených stromov a ich ochranných pásiem a sú pre spracovanie ďalšej dokumentácie ochrany prírody a krajiny záväzné. Predkladateľ deklaruje v § 1 ods. 4 návrhu nariadenia vlády SR, že ciele starostlivosti o chránený areál a opatrenia na ich dosiahnutie budú predmetom programu starostlivosti o chránené územie. Podľa § 21 ods. 3 vyhlášky MŽP SR č. 2004/2003 Z.z., ktorou sa vykonáva zákon č. 543/2002 Z.z. o ochrane prírody a krajiny, v znení neskorších predpisov, sa program starostlivosti o chránené územie (chránený areál) vypracúva spravidla súbežne s projektom ochrany chráneného územia. Bez tejto dokumentácie ochrany prírody nie je možné zhodnotiť opodstatnenosť a správnosť návrhu ani jeho dopady na rozpočet verejnej správy, podnikateľov a obyvateľov. 2. Nesúhlasíme s vymedzením územia chráneného areálu podľa § 2 ods. 2 v prílohe č.2 a žiadame o presné vymedzenie na základe zameraných lomových bodov vymedzujúcich chránené územie a žiadame v prílohe č. 2 uviesť zoznam súradníc lomových bodov hranice chráneného územia Odôvodnenie: „Vymedzenie hranice chráneného areálu“ na základe popisu hranice s použitím jednotiek priestorového rozdelenia lesa (ďalej len „JPRL“) je nesprávne a vyvolávajúce právnu neistotu, nakoľko JPRL nie sú trvalými jednotkami s geodeticky zameranými lomovými bodmi a teda nie sú využiteľné pre vymedzenie hraníc chránených území. JPRL sú súčasťou priestorovej úpravy lesa, ktorých výmera a hranice nemajú stabilný priebeh. Sú súčasťou plánovania trvalo udržateľného hospodárenia v lesoch a základnou jednotkou pre lesnú hospodársku evidenciu a ich hranice sa v priebehu platnosti </w:t>
            </w:r>
            <w:r>
              <w:rPr>
                <w:rFonts w:ascii="Times" w:hAnsi="Times" w:cs="Times"/>
                <w:sz w:val="25"/>
                <w:szCs w:val="25"/>
              </w:rPr>
              <w:lastRenderedPageBreak/>
              <w:t xml:space="preserve">programov starostlivosti o les (ďalej len „PSL“), resp. pri vyhotovení nových PSL menia a nemožno ich teda uplatniť pri jednoznačnom priestorovom vymedzení chráneného areálu. Dôkazom nejednoznačnosti vymedzenia hranice chráneného územia je príloha č. 2, keď v rámci „Zoznamu parciel chráneného areálu“ nie je zrejmé, či sa jedná o parcely evidované v registri C katastra nehnuteľností alebo v registri E katastra nehnuteľností. Podobne v prílohe č. 2 predkladateľ v „Zozname parciel chráneného areálu“ uvádza špecifikáciu pre katastrálne územie Mužla „13168/1 – časť, 13168/2 – časť, 13168 – časť, 13168 – časť, ....““, čo za jednoznačné vylíšenie hraníc chráneného územia považovať nemožno. Vymedzenie hraníc chráneného územia zameranými lomovými bodmi je z hľadiska uplatňovania ochrany chráneného územia a zabezpečenia právnej istoty nevyhnutné. Bez jednoznačného určenia hranice nie je možné ani jednoznačne určiť subjekty, na ktoré bude mať vyhlásenie chráneného územia dopad. 3. Doložku vplyvov požadujeme doplniť o dopady na hospodárenie podnikateľských subjektov bez rozdielu vlastníckych vzťahov. Odôvodnenie: Predkladateľ vo všeobecnej časti dôvodovej správy uvádza, že „celé navrhované územie je vo vlastníctve štátu v správe Lesov Slovenskej republiky, š.p. V takomto prípade nevzniká nárok na finančnú náhradu za obmedzenie bežného obhospodarovania [§ 61 ods.3 písm. a) zákona].“ Týmto predkladateľ jednoznačne potvrdzuje obmedzenie bežného obhospodarovania, avšak pri špecifikovaní dopadov nepovažuje za potrebné toto špecifikovať. Obmedzenia vyplývajúce z uplatnenia požiadaviek a obmedzení ochrany prírody budú mať vplyv na hospodárenie štátneho podniku, čo </w:t>
            </w:r>
            <w:r>
              <w:rPr>
                <w:rFonts w:ascii="Times" w:hAnsi="Times" w:cs="Times"/>
                <w:sz w:val="25"/>
                <w:szCs w:val="25"/>
              </w:rPr>
              <w:lastRenderedPageBreak/>
              <w:t xml:space="preserve">bude ovplyvňovať jeho hospodársky výsledok. Z uvedeného dôvodu je potrebné doplniť doložku vplyvov o dopady na hospodárenie LESY SR š.p. aj napriek skutočnosti, že nárok na finančnú náhradu nevzniká.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sz w:val="20"/>
                <w:szCs w:val="20"/>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Dôvodová správa-všeobecná časť</w:t>
            </w:r>
            <w:r>
              <w:rPr>
                <w:rFonts w:ascii="Times" w:hAnsi="Times" w:cs="Times"/>
                <w:sz w:val="25"/>
                <w:szCs w:val="25"/>
              </w:rPr>
              <w:br/>
              <w:t>vo vete "...Európska komisia v rámci prípadu EU Pilot-u č. č. 8936 (2016) ENV." navrhujeme vymazať jedno písmeno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vo vete "..súvislosti Európska komisia identifikovala v rámci prípadu EU Pilot-u č. č. 8936 (2016)..." navrhujeme vymazať jedno písmeno 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 1 ods. 4</w:t>
            </w:r>
            <w:r>
              <w:rPr>
                <w:rFonts w:ascii="Times" w:hAnsi="Times" w:cs="Times"/>
                <w:sz w:val="25"/>
                <w:szCs w:val="25"/>
              </w:rPr>
              <w:br/>
              <w:t>Odporúčame slová "uvedeného v" nahradiť slovom "podľa". Ide o dodržanie legislatívno-technického pokynu 22.7 na uvádzanie vnútorných odkazov a zároveň spresnenie, pretože samotný predmet ochrany je uvedený až v prílohe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Namietaná časť vypustená pre nadbytočnosť.</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vlastnému materiálu, úvodnej vete nariadenia a k prílohe č. 2</w:t>
            </w:r>
            <w:r>
              <w:rPr>
                <w:rFonts w:ascii="Times" w:hAnsi="Times" w:cs="Times"/>
                <w:sz w:val="25"/>
                <w:szCs w:val="25"/>
              </w:rPr>
              <w:br/>
              <w:t>Odporúčame v úvodnej vete vypustiť legislatívnu skratku "(ďalej len "zákon")", a v prílohe č. 2 v poznámke vypustiť slová "(§ 27 ods. 9 zákona)", pretože zákon sa v celom ďalšom texte nariadenia cituje iba jediný raz, a to ako odkaz v prílohe č. 2, kde je vecne nadbytočný. Požiadavka podľa § 27 ods. 9 zákona č. 543/2002 Z. z. v znení neskorších predpisov bola zo strany navrhovateľa dodržaná a uvedenie odkazu nemá pre adresáta nariadenia ďalší význam.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 5</w:t>
            </w:r>
            <w:r>
              <w:rPr>
                <w:rFonts w:ascii="Times" w:hAnsi="Times" w:cs="Times"/>
                <w:sz w:val="25"/>
                <w:szCs w:val="25"/>
              </w:rPr>
              <w:br/>
              <w:t>Odporúčame vypustiť odkaz 2 vrátane poznámky pod čiarou k odkazu 2, pretože poznámka pod čiarou nemá vysvetľovať právne následky účinnosti nariadenia vlády, ani zrušovať všeobecne záväzné právne predpisy alebo ich časti vydané orgánmi miestnej štátnej správy, pretože nemá normatívny význam. Formálne zrušenie ustanovení príslušnej vyhlášky Krajského úradu životného prostredia v Nitre musí zabezpečiť tento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K § 5 Odkaz na poznámku pod čiarou 2, ako aj text tejto poznámky pod čiarou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priúpomienok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materiálu</w:t>
            </w:r>
            <w:r>
              <w:rPr>
                <w:rFonts w:ascii="Times" w:hAnsi="Times" w:cs="Times"/>
                <w:sz w:val="25"/>
                <w:szCs w:val="25"/>
              </w:rPr>
              <w:br/>
              <w:t>K §4 – znenie odporúčame upraviť v zmysle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Znenie je v súlade s uvedenou prílohou.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materiálu</w:t>
            </w:r>
            <w:r>
              <w:rPr>
                <w:rFonts w:ascii="Times" w:hAnsi="Times" w:cs="Times"/>
                <w:sz w:val="25"/>
                <w:szCs w:val="25"/>
              </w:rPr>
              <w:br/>
              <w:t>K §5 – uvedenie a ponechanie odkazu 2 vrátane poznámky pod čiarou odporúčame zvážiť z pohľadu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predpisy o novovyhlasovanom chránenom území (rovnaká úprava napr. nariadenie vlády č. 69/2016 Z.z., ktorým sa vyhlasuje Národný park Slovenský raj, jeho zóny a ochranné 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Prílohe č. 2 nariadenia vlády SR</w:t>
            </w:r>
            <w:r>
              <w:rPr>
                <w:rFonts w:ascii="Times" w:hAnsi="Times" w:cs="Times"/>
                <w:sz w:val="25"/>
                <w:szCs w:val="25"/>
              </w:rPr>
              <w:br/>
              <w:t xml:space="preserve">V časti „Popis hranice chráneného areálu“ navrhujeme v prvej vete vynechať maďarský názov osady Čenkov nachádzajúci sa v zátvorke, t.j. označenie „Csenke“. Odôvodnenie: Podľa Lexikónu obcí Slovenskej republiky sa v obci Mužla nachádzajú štyri časti, z ktorých jedna má názov Čenkov, nie Csenke. Podľa zákona NR SR č. 215/1995 Z. z. o geodézii a kartografii v znení neskorších predpisov o štandardizácii názvov nesídelných geografických objektov a špecifických sídelných objektov z územia Slovenskej republiky, ktoré sú obsahom základnej bázy údajov pre geografický informačný systém rozhoduje Úrad geodézie, </w:t>
            </w:r>
            <w:r>
              <w:rPr>
                <w:rFonts w:ascii="Times" w:hAnsi="Times" w:cs="Times"/>
                <w:sz w:val="25"/>
                <w:szCs w:val="25"/>
              </w:rPr>
              <w:lastRenderedPageBreak/>
              <w:t>kartografie a katastra SR podľa pravidiel slovenského pravopisu so súhlasom príslušných orgánov. Takým objektom je aj samota Čenkov a nie označenie „Csenke“.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K Prílohe č. 2 nariadenia vlády SR</w:t>
            </w:r>
            <w:r>
              <w:rPr>
                <w:rFonts w:ascii="Times" w:hAnsi="Times" w:cs="Times"/>
                <w:sz w:val="25"/>
                <w:szCs w:val="25"/>
              </w:rPr>
              <w:br/>
              <w:t>V Prílohe č. 2 v časti „Zoznam parciel chráneného areálu“ nie sú nehnuteľnosti označené podľa príslušného registra „C“. Odôvodnenie: V rámci vymedzenia hraníc chráneného areálu je uvedené, že územie chráneného areálu je vymedzené podľa vektorovej katastrálnej mapy a podľa digitálnej lesníckej porastovej mapy, z ktorých bola hranica chráneného areálu prenesená do digitálnej Základnej mapy Slovenskej republiky. Keďže podkladom pri tvorbe hraníc územia chráneného areálu bola aj vektorová katastrálna mapa v návrhu nariadenia vlády SR je uvedený aj zoznam parciel chráneného areálu. V tejto časti sú uvedené parcely, ktorých označenie však nezodpovedá evidencii katastra nehnuteľností. Keďže ide o označenie nehnuteľností vychádzajúce z evidencie katastra nehnuteľností je potrebné, aby ku každej parcele bolo uvedené, že sa jedná o parcelu registra „C“. Uvedené je potrebné aj s ohľadom na skutočnosť, že v evidencií katastra nehnuteľností sa nachádzajú parcely registra „C“ a rovnako parcely registra „E“, a preto je potrebné medzi nimi rozlišovať.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 5</w:t>
            </w:r>
            <w:r>
              <w:rPr>
                <w:rFonts w:ascii="Times" w:hAnsi="Times" w:cs="Times"/>
                <w:sz w:val="25"/>
                <w:szCs w:val="25"/>
              </w:rPr>
              <w:br/>
              <w:t>Odkaz na poznámku pod čiarou 2) vrátane poznámky pod čiarou je potrebné vypustiť a uplatniť príslušný proces zrušenia predpisu uverejneného vo Vestníku.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Ide o riešenie, ktoré umožňuje, aby k nadobudnutiu účinnosti právneho predpisu, ktorým sa toto územie nanovo vyhlasuje za chránené, boli zrušené všetky predchádzajúce právne </w:t>
            </w:r>
            <w:r>
              <w:rPr>
                <w:rFonts w:ascii="Times" w:hAnsi="Times" w:cs="Times"/>
                <w:sz w:val="25"/>
                <w:szCs w:val="25"/>
              </w:rPr>
              <w:lastRenderedPageBreak/>
              <w:t xml:space="preserve">predpisy o novovyhlasovanom chránenom území (rovnaká úprava napr. nariadenie vlády č. 69/2016 Z.z., ktorým sa vyhlasuje Národný park Slovenský raj, jeho zóny a ochranné pásmo).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 4</w:t>
            </w:r>
            <w:r>
              <w:rPr>
                <w:rFonts w:ascii="Times" w:hAnsi="Times" w:cs="Times"/>
                <w:sz w:val="25"/>
                <w:szCs w:val="25"/>
              </w:rPr>
              <w:br/>
              <w:t>Tretí bod je potrebné konkretizovať, ktoré ustanovenia sa zrušovacím ustanovením rušia.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sz w:val="25"/>
                <w:szCs w:val="25"/>
              </w:rPr>
              <w:t xml:space="preserve">Formulácia zrušovacieho ustanovenia je presná vzhľadom na štruktúru uvedeného výnosu. </w:t>
            </w: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r w:rsidR="00FF2B35">
        <w:trPr>
          <w:divId w:val="413736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rPr>
                <w:rFonts w:ascii="Times" w:hAnsi="Times" w:cs="Times"/>
                <w:sz w:val="25"/>
                <w:szCs w:val="25"/>
              </w:rPr>
            </w:pPr>
            <w:r>
              <w:rPr>
                <w:rFonts w:ascii="Times" w:hAnsi="Times" w:cs="Times"/>
                <w:b/>
                <w:bCs/>
                <w:sz w:val="25"/>
                <w:szCs w:val="25"/>
              </w:rPr>
              <w:t>Správe o účasti verejnosti</w:t>
            </w:r>
            <w:r>
              <w:rPr>
                <w:rFonts w:ascii="Times" w:hAnsi="Times" w:cs="Times"/>
                <w:sz w:val="25"/>
                <w:szCs w:val="25"/>
              </w:rPr>
              <w:br/>
              <w:t xml:space="preserve">V správe o účasti verejnosti nie je uvedená informácia, či orgán ochrany prírody, resp. okresný úrad v sídle kraja dotknutým obciam v zmysle § 50 zák. č. 543/2005 Z.z. písomne oznámil zámer vyhlásiť chránené územie a preto túto informáciu žiadame doplniť. ZMOS považuje túto pripomienku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2B35" w:rsidRDefault="00FF2B35">
            <w:pPr>
              <w:jc w:val="center"/>
              <w:rPr>
                <w:rFonts w:ascii="Times" w:hAnsi="Times" w:cs="Times"/>
                <w:sz w:val="25"/>
                <w:szCs w:val="25"/>
              </w:rPr>
            </w:pPr>
          </w:p>
        </w:tc>
      </w:tr>
    </w:tbl>
    <w:p w:rsidR="00154A91" w:rsidRPr="00154A91" w:rsidRDefault="00154A91" w:rsidP="00CE47A6"/>
    <w:p w:rsidR="00154A91" w:rsidRPr="00024402" w:rsidRDefault="00154A91" w:rsidP="00CE47A6">
      <w:bookmarkStart w:id="0" w:name="_GoBack"/>
      <w:bookmarkEnd w:id="0"/>
    </w:p>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55" w:rsidRDefault="00654955" w:rsidP="000A67D5">
      <w:pPr>
        <w:spacing w:after="0" w:line="240" w:lineRule="auto"/>
      </w:pPr>
      <w:r>
        <w:separator/>
      </w:r>
    </w:p>
  </w:endnote>
  <w:endnote w:type="continuationSeparator" w:id="0">
    <w:p w:rsidR="00654955" w:rsidRDefault="0065495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55" w:rsidRDefault="00654955" w:rsidP="000A67D5">
      <w:pPr>
        <w:spacing w:after="0" w:line="240" w:lineRule="auto"/>
      </w:pPr>
      <w:r>
        <w:separator/>
      </w:r>
    </w:p>
  </w:footnote>
  <w:footnote w:type="continuationSeparator" w:id="0">
    <w:p w:rsidR="00654955" w:rsidRDefault="0065495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43A8B"/>
    <w:rsid w:val="0039526D"/>
    <w:rsid w:val="003B435B"/>
    <w:rsid w:val="003D101C"/>
    <w:rsid w:val="003D5E45"/>
    <w:rsid w:val="003E4226"/>
    <w:rsid w:val="004075B2"/>
    <w:rsid w:val="00436C44"/>
    <w:rsid w:val="00474A9D"/>
    <w:rsid w:val="00532574"/>
    <w:rsid w:val="0059081C"/>
    <w:rsid w:val="005E7C53"/>
    <w:rsid w:val="00622A87"/>
    <w:rsid w:val="00642FB8"/>
    <w:rsid w:val="00654955"/>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07108"/>
    <w:rsid w:val="00D261C9"/>
    <w:rsid w:val="00D85172"/>
    <w:rsid w:val="00D969AC"/>
    <w:rsid w:val="00DF7085"/>
    <w:rsid w:val="00E85710"/>
    <w:rsid w:val="00EB772A"/>
    <w:rsid w:val="00EF1425"/>
    <w:rsid w:val="00F26A4A"/>
    <w:rsid w:val="00F727F0"/>
    <w:rsid w:val="00F8562E"/>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3674">
      <w:bodyDiv w:val="1"/>
      <w:marLeft w:val="0"/>
      <w:marRight w:val="0"/>
      <w:marTop w:val="0"/>
      <w:marBottom w:val="0"/>
      <w:divBdr>
        <w:top w:val="none" w:sz="0" w:space="0" w:color="auto"/>
        <w:left w:val="none" w:sz="0" w:space="0" w:color="auto"/>
        <w:bottom w:val="none" w:sz="0" w:space="0" w:color="auto"/>
        <w:right w:val="none" w:sz="0" w:space="0" w:color="auto"/>
      </w:divBdr>
    </w:div>
    <w:div w:id="215241164">
      <w:bodyDiv w:val="1"/>
      <w:marLeft w:val="0"/>
      <w:marRight w:val="0"/>
      <w:marTop w:val="0"/>
      <w:marBottom w:val="0"/>
      <w:divBdr>
        <w:top w:val="none" w:sz="0" w:space="0" w:color="auto"/>
        <w:left w:val="none" w:sz="0" w:space="0" w:color="auto"/>
        <w:bottom w:val="none" w:sz="0" w:space="0" w:color="auto"/>
        <w:right w:val="none" w:sz="0" w:space="0" w:color="auto"/>
      </w:divBdr>
    </w:div>
    <w:div w:id="258173682">
      <w:bodyDiv w:val="1"/>
      <w:marLeft w:val="0"/>
      <w:marRight w:val="0"/>
      <w:marTop w:val="0"/>
      <w:marBottom w:val="0"/>
      <w:divBdr>
        <w:top w:val="none" w:sz="0" w:space="0" w:color="auto"/>
        <w:left w:val="none" w:sz="0" w:space="0" w:color="auto"/>
        <w:bottom w:val="none" w:sz="0" w:space="0" w:color="auto"/>
        <w:right w:val="none" w:sz="0" w:space="0" w:color="auto"/>
      </w:divBdr>
    </w:div>
    <w:div w:id="285237105">
      <w:bodyDiv w:val="1"/>
      <w:marLeft w:val="0"/>
      <w:marRight w:val="0"/>
      <w:marTop w:val="0"/>
      <w:marBottom w:val="0"/>
      <w:divBdr>
        <w:top w:val="none" w:sz="0" w:space="0" w:color="auto"/>
        <w:left w:val="none" w:sz="0" w:space="0" w:color="auto"/>
        <w:bottom w:val="none" w:sz="0" w:space="0" w:color="auto"/>
        <w:right w:val="none" w:sz="0" w:space="0" w:color="auto"/>
      </w:divBdr>
    </w:div>
    <w:div w:id="307980319">
      <w:bodyDiv w:val="1"/>
      <w:marLeft w:val="0"/>
      <w:marRight w:val="0"/>
      <w:marTop w:val="0"/>
      <w:marBottom w:val="0"/>
      <w:divBdr>
        <w:top w:val="none" w:sz="0" w:space="0" w:color="auto"/>
        <w:left w:val="none" w:sz="0" w:space="0" w:color="auto"/>
        <w:bottom w:val="none" w:sz="0" w:space="0" w:color="auto"/>
        <w:right w:val="none" w:sz="0" w:space="0" w:color="auto"/>
      </w:divBdr>
    </w:div>
    <w:div w:id="418479444">
      <w:bodyDiv w:val="1"/>
      <w:marLeft w:val="0"/>
      <w:marRight w:val="0"/>
      <w:marTop w:val="0"/>
      <w:marBottom w:val="0"/>
      <w:divBdr>
        <w:top w:val="none" w:sz="0" w:space="0" w:color="auto"/>
        <w:left w:val="none" w:sz="0" w:space="0" w:color="auto"/>
        <w:bottom w:val="none" w:sz="0" w:space="0" w:color="auto"/>
        <w:right w:val="none" w:sz="0" w:space="0" w:color="auto"/>
      </w:divBdr>
    </w:div>
    <w:div w:id="1070884616">
      <w:bodyDiv w:val="1"/>
      <w:marLeft w:val="0"/>
      <w:marRight w:val="0"/>
      <w:marTop w:val="0"/>
      <w:marBottom w:val="0"/>
      <w:divBdr>
        <w:top w:val="none" w:sz="0" w:space="0" w:color="auto"/>
        <w:left w:val="none" w:sz="0" w:space="0" w:color="auto"/>
        <w:bottom w:val="none" w:sz="0" w:space="0" w:color="auto"/>
        <w:right w:val="none" w:sz="0" w:space="0" w:color="auto"/>
      </w:divBdr>
    </w:div>
    <w:div w:id="1215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9.2017 10:54:32"/>
    <f:field ref="objchangedby" par="" text="Administrator, System"/>
    <f:field ref="objmodifiedat" par="" text="20.9.2017 10:54: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3252</Words>
  <Characters>18538</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2020-02-04T16:24:00Z</dcterms:created>
  <dcterms:modified xsi:type="dcterms:W3CDTF">2020-02-04T16:24:00Z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justify;"&gt;Vlastníci, správcovia a&amp;nbsp;nájomcovia tých &amp;nbsp;pozemkov, ktoré sú dotknuté &amp;nbsp;podmienkami ochrany navrhovaného chráneného areálu &amp;nbsp;a &amp;nbsp;verejnosť v&amp;nbsp;príslušných územných obvodoch boli predbežne oboznámení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prostredie_x000d_
Príroda a krajina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vyhlasuje chránený areál Čenkov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Ministerstvo životného prostredia Slovenskej republiky, Ministerstvo životného prostredia Slovenskej republiky, Ministerstvo životného prostredia Slovenskej republiky, Ministerstvo životného prostredia Slovenskej republiky</vt:lpwstr>
  </property>
  <property fmtid="{D5CDD505-2E9C-101B-9397-08002B2CF9AE}" pid="20" name="FSC#SKEDITIONSLOVLEX@103.510:autorpredpis">
    <vt:lpwstr/>
  </property>
  <property fmtid="{D5CDD505-2E9C-101B-9397-08002B2CF9AE}" pid="21" name="FSC#SKEDITIONSLOVLEX@103.510:podnetpredpis">
    <vt:lpwstr>§ 27 ods. 9 zákona č. 543/2002 Z. z. o ochrane prírody a krajiny v znení neskorších predpisov </vt:lpwstr>
  </property>
  <property fmtid="{D5CDD505-2E9C-101B-9397-08002B2CF9AE}" pid="22" name="FSC#SKEDITIONSLOVLEX@103.510:plnynazovpredpis">
    <vt:lpwstr> Nariadenie vlády  Slovenskej republiky, ktorým sa vyhlasuje chránený areál Čenkov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7151/2017-9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92/43/EHS zo dňa 21. mája 1992 o ochrane prirodzených biotopov a voľne žijúcich živočíchov a rastlín (Mimoriadne vydanie Ú.v. EÚ, kap. 15/zv. 2; Ú. v. ES L 206, 22.7.1992) v platnom znení. _x000d_
Rozhodnutie Komisie č. 2008/26/ES z  13. novembra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zákon č. 543/2002 Z.z. o ochrane prírody a krajiny v znení neskorších predpisov, zákon č. 24/2006 Z.z. o posudzovaní vplyvov na životné prostredie a o zmene a doplnení niektorých zákonov v znení neskorších predpisov, vyhláška Ministerstva životného prostr</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17. 7. 2017</vt:lpwstr>
  </property>
  <property fmtid="{D5CDD505-2E9C-101B-9397-08002B2CF9AE}" pid="58" name="FSC#SKEDITIONSLOVLEX@103.510:AttrDateDocPropUkonceniePKK">
    <vt:lpwstr>19. 7. 2017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Predkladaným návrhom nariadenia vlády sa vyhlási za chránené územie lokalita európskeho významu, ktorá je rozhodnutím Komisie č. 2008/26/ES z  13. novembra 2007, ktorým sa podľa smernice Rady 92/43/EHS prijíma zoznam lokalít európskeho významu v Panónskej</vt:lpwstr>
  </property>
  <property fmtid="{D5CDD505-2E9C-101B-9397-08002B2CF9AE}" pid="65" name="FSC#SKEDITIONSLOVLEX@103.510:AttrStrListDocPropAltRiesenia">
    <vt:lpwstr>Nie sú. Lokalita európskeho významu Čenkov SKUEV0067 má byť časťou navrhovaného chráneného územia. </vt:lpwstr>
  </property>
  <property fmtid="{D5CDD505-2E9C-101B-9397-08002B2CF9AE}" pid="66" name="FSC#SKEDITIONSLOVLEX@103.510:AttrStrListDocPropStanoviskoGest">
    <vt:lpwstr>I. Úvod: Ministerstvo životného prostredia Slovenskej republiky dňa 12. júla 2017 predložilo Stálej pracovnej komisii na posudzovanie vybraných vplyvov (ďalej len „Komisia“) na predbežné pripomienkové konanie materiál „Návrh nariadenia vlády Slovenskej re</vt:lpwstr>
  </property>
  <property fmtid="{D5CDD505-2E9C-101B-9397-08002B2CF9AE}" pid="67" name="FSC#SKEDITIONSLOVLEX@103.510:AttrStrListDocPropTextKomunike">
    <vt:lpwstr>Vláda Slovenskej republiky na svojom rokovaní dňa ....................... prerokovala a schválila návrh nariadenia vlády Slovenskej republiky, ktorým sa vyhlasuje chránený areál Čenkov.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vyhlasuje chránený areál Čenkov (ďalej len „návrh nariadenia vlády“) predkladá Ministerstvo životného prostredia Slovenskej republiky podľa § 27 ods. 9 zákona č. 543/20</vt:lpwstr>
  </property>
  <property fmtid="{D5CDD505-2E9C-101B-9397-08002B2CF9AE}" pid="149" name="FSC#COOSYSTEM@1.1:Container">
    <vt:lpwstr>COO.2145.1000.3.2162060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20. 9. 2017</vt:lpwstr>
  </property>
</Properties>
</file>