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AC7669" w:rsidRDefault="00AC7669">
      <w:pPr>
        <w:jc w:val="center"/>
        <w:divId w:val="20480350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vyhlasuje chránený areál Bradlo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AC7669" w:rsidP="00AC766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C7669" w:rsidP="00AC766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C7669" w:rsidP="00AC766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C7669" w:rsidP="00AC766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C7669" w:rsidP="00AC766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  <w:p w:rsidR="00833B0C" w:rsidRPr="00906B75" w:rsidRDefault="00833B0C" w:rsidP="00906B7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906B75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s MP RV SR sa uskutočnilo viacero rozporových rokovaní, rozpory boli odstránené 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AC7669" w:rsidRDefault="00AC7669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AC7669">
        <w:trPr>
          <w:divId w:val="151927462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(3o,1z)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agentúra životného prostredia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inšpekcia životného prostredia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7669">
        <w:trPr>
          <w:divId w:val="15192746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 (22o,2z)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669" w:rsidRDefault="00AC76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AC7669" w:rsidRDefault="00AC7669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634"/>
        <w:gridCol w:w="662"/>
        <w:gridCol w:w="662"/>
        <w:gridCol w:w="3980"/>
      </w:tblGrid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výdavky súvisiace s vyhlásením chráneného areálu Bradlo budú zabezpečené v rámci limitu výdavkov kapitoly Ministerstva životného prostredia SR na rok 2017.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odporúčam prehodnotiť v kontexte s Ústavou SR z dôvodu možného nesúladu s jej čl. 120 (§ 1 ods. 4 a § 3), pretože by mohol byť nesúladný so splnomocňovacím ustanovením vykonávaného zákona.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>Výpočet podrobností o územnej ochrane v § 21 ods. 4 zákona je príkladný (slovo „najmä“) a preto do podrobností o územnej ochrane boli doplnené podrobnosti- predmet ochrany, informácia o účele ochrany a informácia o dokumente, ktorý upravuje ciele starostlivosti a opatrenia na ich dosiahnutie, ktoré vyplývajú z usmernenia Európskej komisie - Oznámenie Komisie o vyhlasovaní osobitne chránených území (OCHÚ) zo dňa 14. mája 2012 Doc.Hab. 12-04/05.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2 odporúčam skratku „t.j.“ a znenie Poznámky vypustiť ako nadbytočné.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>K poznámke: Poznámka v prílohe č. 2 je dôležitou informáciou pre adresáta právnej normy.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 - § 1 ods. 2 a 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§ 1 zosúladiť odsek 2 a 4 so splnomocňovacím ustanovením (§ 21 ods. 4 zákona č. 543/2002 Z. z.).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>Výpočet podrobností o územnej ochrane v § 21 ods. 4 zákona je príkladný (slovo „najmä“) a preto do podrobností o územnej ochrane boli doplnené podrobnosti - predmet ochrany, informácia o účele ochrany a informácia o dokumente, ktorý upravuje ciele starostlivosti a opatrenia na ich dosiahnutie, ktoré vyplývajú z usmernenia Európskej komisie - Oznámenie Komisie o vyhlasovaní osobitne chránených území (OCHÚ) zo dňa 14. mája 2012 Doc.Hab. 12-04/05.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odporúčame slová "areál Čenkov" nahradiť slovami "areál Bradlo". Odôvodnenie: Predmetným nariadením vlády SR sa vyhlasuje chránený areál Bradlo.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Žiadame, aby súčasťou predkladaného návrhu bol „Projekt ochrany chránených území“ podľa § 54 ods. 12 písm. a) zákona č. 543/2002 Z.z. o ochrane prírody a krajiny v znení neskorších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predpisov a zároveň aj program starostlivosti o chránené územie, ktorý sa, podľa § 21 vyhlášky MŽP SR č. 2004/2003 Z.z., ktorou sa vykonáva zákon č. 543/2002 Z.z. o ochrane prírody a krajiny, v znení neskorších predpisov, vypracúva spravidla súbežne s projektom ochrany územia. Odôvodnenie: Projekt ochrany obsahuje najmä základné údaje, podrobnosti o podmienkach ochrany, návrh ich technického vybavenia, tabuľkové prehľady a mapové prílohy s vyznačením hraníc navrhovaného chráneného územia a jeho ochranného pásma. Projekty ochrany chránených území sa vyhotovujú ako podklad na vyhlasovanie ochrany alebo zmeny ochrany chránených území, chránených stromov a ich ochranných pásiem a sú pre spracovanie ďalšej dokumentácie ochrany prírody a krajiny záväzné. Predkladateľ deklaruje v § 1 ods. 4 návrhu nariadenia vlády SR, že ciele starostlivosti o chránený areál a opatrenia na ich dosiahnutie budú predmetom programu starostlivosti o chránené územie. Podľa § 21 ods. 3 vyhlášky MŽP SR č. 2004/2003 Z.z., ktorou sa vykonáva zákon č. 543/2002 Z.z. o ochrane prírody a krajiny, v znení neskorších predpisov, sa program starostlivosti o chránené územie (chránený areál) vypracúva spravidla súbežne s projektom ochrany chráneného územia. Bez tejto dokumentácie ochrany prírody nie je možné zhodnotiť opodstatnenosť a správnosť návrhu ani jeho dopady na rozpočet verejnej správy, podnikateľov a obyvateľov. 2. Nesúhlasíme s vymedzením územia chráneného areálu podľa § 2 ods. 2 v prílohe č.2 a žiadame o presné vymedzenie na základe zameraných lomových bodov vymedzujúcich chránené územie a žiadame v prílohe č. 2 uviesť zoznam súradníc lomových bodov hranice chráneného územia Odôvodnenie: „Vymedzenie hranice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chráneného areálu“ na základe popisu hranice s použitím jednotiek priestorového rozdelenia lesa (ďalej len „JPRL“) je nesprávne a vyvolávajúce právnu neistotu, nakoľko JPRL nie sú trvalými jednotkami s geodeticky zameranými lomovými bodmi a teda nie sú využiteľné pre vymedzenie hraníc chránených území. JPRL sú súčasťou priestorovej úpravy lesa, ktorých výmera a hranice nemajú stabilný priebeh. Sú súčasťou plánovania trvalo udržateľného hospodárenia v lesoch a základnou jednotkou pre lesnú hospodársku evidenciu a ich hranice sa v priebehu platnosti programov starostlivosti o les (ďalej len „PSL“), resp. pri vyhotovení nových PSL menia a nemožno ich teda uplatniť pri jednoznačnom priestorovom vymedzení chráneného areálu. Zároveň popisná úroveň lokalizácie súčastí chreneného územia je nepresné s odhadom ich umiestnenia. Dôkazom nejednoznačnosti vymedzenia hranice chráneného územia je príloha č. 2, keď v rámci „Zoznamu parciel chráneného areálu“ nie je zrejmé, či sa jedná o parcely evidované v registri C katastra nehnuteľností alebo v registri E katastra nehnuteľností. Podobne v prílohe č. 2 predkladateľ v „Zozname parciel chráneného areálu“ uvádza špecifikáciu pre katastrálne územie Nandraž „2610/1 časť“ a pre katastrálne územie Rákoš „2585/212 časť“, čo za jednoznačné vylíšenie hraníc chráneného územia považovať nemožno. Vymedzenie hraníc chráneného územia zameranými lomovými bodmi je z hľadiska uplatňovania ochrany chráneného územia a zabezpečenia právnej istoty nevyhnutné. Bez jednoznačného určenia hranice nie je možné ani jednoznačne určiť subjekty, na ktoré bude mať vyhlásenie chráneného územia dopad. 3. Doložku vplyvov požadujeme doplniť o dopady na hospodárenie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podnikateľských subjektov bez rozdielu vlastníckych vzťahov. Odôvodnenie: Predkladateľ v predkladacej správe uvádza, že materiál je bez vplyvov na podnikateľské prostredie &amp; vo všeobecnej časti dôvodovej správy uvádza, že „celé navrhované územie je vo vlastníctve štátu v správe Lesov Slovenskej republiky, š.p. V takomto prípade nevzniká nárok na finančnú náhradu za obmedzenie bežného obhospodarovania [§ 61 ods.3 písm. a) zákona].“ Týmto predkladateľ jednoznačne potvrdzuje obmedzenie bežného obhospodarovania, avšak pri špecifikovaní dopadov nepovažuje za potrebné toto špecifikovať. Obmedzenia vyplývajúce z uplatnenia požiadaviek a obmedzení ochrany prírody budú mať vplyv na hospodárenie štátneho podniku, čo bude ovplyvňovať jeho hospodársky výsledok. Z uvedeného dôvodu je potrebné doplniť doložku vplyvov o dopady na hospodárenie LESY SR š.p. aj napriek skutočnosti, že nárok na finančnú náhradu nevzniká.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 xml:space="preserve">1.V predloženom materiáli je uvedený link webového sídla ŠOP SR. 2.Na základe výsledkov rozporového rokovania s MPRV SR bola doplnená </w:t>
            </w:r>
            <w:r w:rsidRPr="009E43F5">
              <w:rPr>
                <w:rFonts w:ascii="Times" w:hAnsi="Times" w:cs="Times"/>
                <w:sz w:val="24"/>
                <w:szCs w:val="24"/>
              </w:rPr>
              <w:t>predkladacia správa a dôvodová správa nasledovne: Predkladacia správa: “MŽP SR prostredníctvom ním poverenej odbornej organizácie ochrany prírody poskytne správcovi informačného systému lesného hospodárstva, ktorým je Národné lesnícke centrum (elektronicky na adresu: nlc@nlcsk.org), vrstvu hraníc chráneného areálu XY pred predložením materiálu na rokovanie vlády SR a pred zápisom chráneného areálu XY do katastra nehnuteľností“. Dôvodová správa: „MŽP prostredníctvom ním poverenej odbornej organizácie ochrany prírody v rámci schvaľovacieho procesu ako aj pred zápisom do katastra nehnuteľností doručí správcovi informačného systému (§ 38 ods. 2 zákona 326/2005 Z. z) na adresu nlc@nlcsk. org a nlc-ulzi@lcsk.org hranice chráneného územia v dátovom formáte pre ukladanie vektorových priestorových dát pre geografické informačné systémy (napr. Esri shapefile), ktorý priestorovo popisuje geometrické body, línie a plochy hranice.“.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opraviť lokalitu chráneného územia Čenkov na chránené územie Bradlo vo vete: "Návrh nariadenia vlády Slovenskej republiky, ktorým sa vyhlasuje chránený areál Čenkov..." odôvodnenie: LP/2017/573 sa týka vyhlásenia chráneného areálu Bradlo.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vete "...komisia identifikovala v rámci prípadu EU Pilot-u č. č. 8936 (2016) ENV nedostatočné..." navrhujeme vymazať jedno písmeno č.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Dôvodová správa-všeobecná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vete "...Pilot-u č. č. 8936 (2016) ENV. navrhujeme vymazať jedno písmeno č.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 ods. 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"uvedeného v" nahradiť slovom "podľa". Ide o dodržanie legislatívno-technického pokynu 22.7 na uvádzanie vnútorných odkazov a zároveň spresnenie, pretože samotný predmet ochrany je uvedený až v prílohe č. 1.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 xml:space="preserve">Namietaná časť vypustená. 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materiálu, úvodnej vete nariadenia a k prílohe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úvodnej vete vypustiť legislatívnu skratku "(ďalej len "zákon")", a v prílohe č. 2 v poznámke vypustiť slová "(§ 27 ods. 9 zákona)", pretože zákon sa v celom ďalšom texte nariadenia cituje iba jediný raz, a to ako odkaz v prílohe č. 2, kde je vecne nadbytočný. Požiadavka podľa § 27 ods. 9 zákona č. 543/2002 Z. z. v znení neskorších predpisov bola zo strany navrhovateľa dodržaná a uvedenie odkazu nemá pre adresáta nariadenia ďalší význam.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>Legislatívna skratka zákona č. 543/2002 Z. z. o ochrane prírody a krajiny v znení neskorších predpisov je uvedený v § 3, slová "(§ 27 ods. 9 zákona)" boli z prílohy vypustené.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nariadenia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časti „Mapa hranice chráneného areálu“ navrhujeme opraviť označenie „k. ú. Nandráž“ na správny tvar „k. ú. Nandraž“. Odôvodnenie: Gramatická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nariadenia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 2 v časti „Zoznam parciel chráneného areálu“ nie sú nehnuteľnosti označené podľa príslušného registra „C“. Odôvodnenie: V rámci vymedzenia hraníc chráneného areálu je uvedené, že územie chráneného areálu je vymedzené podľa vektorovej katastrálnej mapy a podľa digitálnej lesníckej porastovej mapy, z ktorých bola hranica chráneného areálu prenesená do digitálnej Základnej mapy Slovenskej republiky. Keďže podkladom pri tvorbe hraníc územia chráneného areálu bola aj vektorová katastrálna mapa v návrhu nariadenia vlády SR je uvedený aj zoznam parciel chráneného areálu. V tejto časti sú uvedené parcely, ktorých označenie však nezodpovedá evidencii katastra nehnuteľností. Keďže ide o označenie nehnuteľností vychádzajúce z evidencie katastra nehnuteľností je potrebné, aby ku každej parcele bolo uvedené, že sa jedná o parcelu registra „C“. Uvedené je potrebné aj s ohľadom na skutočnosť, že v evidencií katastra nehnuteľností sa nachádzajú parcely registra „C“ a rovnako parcely registra „E“, a preto je potrebné medzi nimi rozlišovať.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>V prílohe č. 2 návrhu nariadenia vlády SR je uvedený predmet ochrany chráneného areálu. V prílohe č. 1 sú uvedené parcely registra C katastra nehnuteľností so stavom k aprílu 2016.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nariadenia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2 v časti „Zoznam parciel chráneného areálu“ nie sú nehnuteľnosti označené podľa príslušného registra „C“. Odôvodnenie: V rámci vymedzenia hraníc chráneného areálu 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uvedené, že územie chráneného areálu je vymedzené podľa vektorovej katastrálnej mapy a podľa digitálnej lesníckej porastovej mapy, z ktorých bola hranica chráneného areálu prenesená do digitálnej Základnej mapy Slovenskej republiky. Keďže podkladom pri tvorbe hraníc územia chráneného areálu bola aj vektorová katastrálna mapa v návrhu nariadenia vlády SR je uvedený aj zoznam parciel chráneného areálu. V tejto časti sú uvedené parcely, ktorých označenie však nezodpovedá evidencii katastra nehnuteľností. Keďže ide o označenie nehnuteľností vychádzajúce z evidencie katastra nehnuteľností je potrebné, aby ku každej parcele bolo uvedené, že sa jedná o parcelu registra „C“. Uvedené je potrebné aj s ohľadom na skutočnosť, že v evidencií katastra nehnuteľností sa nachádzajú parcely registra „C“ a rovnako parcely registra „E“, a preto je potrebné medzi nimi rozlišovať.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Dávame na zváženie doplnenie § 2 ods. 2 o vetu, ktorá určí výmeru chráneného areálu Bradlo podľa ostatných dvoch predkladaných obdobných materiálov - chránené areály Čenkov a Vinište.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>Vlastné chránené územie sa nachádza v podzemí a na povrchu sú jeho hranice identifikované vstupnými otvormi. Rozmery vstupných otvorov sú uvedené v časti "Popis hranice chráneného areálu" a do tejto časti bol doplnený údaj o celkovej výmere vstupných otvorov.</w:t>
            </w: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>V prvej vete je treba upraviť názov materiálu.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C7669">
        <w:trPr>
          <w:divId w:val="152706128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Správe o účasti verejnosti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V správe o účasti verejnosti nie je uvedená informácia, či orgán ochrany prírody, resp. okresný úrad v sídle kraja dotknutým obciam v zmysle § 50 zák. č. 543/2005 Z.z. písomne oznámil zámer vyhlásiť chránené územie a preto túto informáciu žiadame doplniť. ZMOS považuje túto pripomienku za zásadnú.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Default="00AC76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669" w:rsidRPr="009E43F5" w:rsidRDefault="00AC7669" w:rsidP="009E43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9E43F5">
              <w:rPr>
                <w:rFonts w:ascii="Times" w:hAnsi="Times" w:cs="Times"/>
                <w:sz w:val="24"/>
                <w:szCs w:val="24"/>
              </w:rPr>
              <w:t>Do správy o účasti verejnosti bola doplnená veta: „Zámer vyhlásiť chránený areál Bradlo bol v zmysle § 50 zákona č. 543/2002 Z. z. o ochrane prírody a krajiny v znení neskorších predpisov oznámený verejnou vyhláškou (obec Nandraž 20.01. – 7.02.2017, obec Rákoš 20.01. - 6.02.2017) a následne prerokovaný (14. marca 2017) Okresným úradom Banská Bystrica. Vznesené pripomienky boli prerokované a zapracované do materiálu.“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AE" w:rsidRDefault="009D3AAE" w:rsidP="000A67D5">
      <w:pPr>
        <w:spacing w:after="0" w:line="240" w:lineRule="auto"/>
      </w:pPr>
      <w:r>
        <w:separator/>
      </w:r>
    </w:p>
  </w:endnote>
  <w:endnote w:type="continuationSeparator" w:id="0">
    <w:p w:rsidR="009D3AAE" w:rsidRDefault="009D3AA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AE" w:rsidRDefault="009D3AAE" w:rsidP="000A67D5">
      <w:pPr>
        <w:spacing w:after="0" w:line="240" w:lineRule="auto"/>
      </w:pPr>
      <w:r>
        <w:separator/>
      </w:r>
    </w:p>
  </w:footnote>
  <w:footnote w:type="continuationSeparator" w:id="0">
    <w:p w:rsidR="009D3AAE" w:rsidRDefault="009D3AAE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9F8"/>
    <w:multiLevelType w:val="hybridMultilevel"/>
    <w:tmpl w:val="BF2EBBCC"/>
    <w:lvl w:ilvl="0" w:tplc="BD32E15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ECC"/>
    <w:multiLevelType w:val="hybridMultilevel"/>
    <w:tmpl w:val="B1CC50AE"/>
    <w:lvl w:ilvl="0" w:tplc="1038AE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3179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33B0C"/>
    <w:rsid w:val="00841FA6"/>
    <w:rsid w:val="008A1964"/>
    <w:rsid w:val="008E2844"/>
    <w:rsid w:val="0090100E"/>
    <w:rsid w:val="00906B75"/>
    <w:rsid w:val="009239D9"/>
    <w:rsid w:val="00927118"/>
    <w:rsid w:val="00943EB2"/>
    <w:rsid w:val="0099665B"/>
    <w:rsid w:val="009C6C5C"/>
    <w:rsid w:val="009D3AAE"/>
    <w:rsid w:val="009E43F5"/>
    <w:rsid w:val="009F7218"/>
    <w:rsid w:val="00A251BF"/>
    <w:rsid w:val="00A54A16"/>
    <w:rsid w:val="00AC7669"/>
    <w:rsid w:val="00B721A5"/>
    <w:rsid w:val="00B76589"/>
    <w:rsid w:val="00B8767E"/>
    <w:rsid w:val="00BD1FAB"/>
    <w:rsid w:val="00BE7302"/>
    <w:rsid w:val="00BF7CE0"/>
    <w:rsid w:val="00C449F8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561D1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90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2.2020 14:52:27"/>
    <f:field ref="objchangedby" par="" text="Administrator, System"/>
    <f:field ref="objmodifiedat" par="" text="4.2.2020 14:52:3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2020-02-04T13:55:00Z</dcterms:created>
  <dcterms:modified xsi:type="dcterms:W3CDTF">2020-02-06T10:47:00Z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Bradlo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27 ods. 9 zákona č. 543/2002 Z. z. o ochrane prírody a krajiny v znení neskorších predpisov </vt:lpwstr>
  </property>
  <property fmtid="{D5CDD505-2E9C-101B-9397-08002B2CF9AE}" pid="22" name="FSC#SKEDITIONSLOVLEX@103.510:plnynazovpredpis">
    <vt:lpwstr> Nariadenie vlády  Slovenskej republiky, ktorým sa vyhlasuje chránený areál Bradlo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7149/2017-9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LP/2017/573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17. 7. 2017</vt:lpwstr>
  </property>
  <property fmtid="{D5CDD505-2E9C-101B-9397-08002B2CF9AE}" pid="58" name="FSC#SKEDITIONSLOVLEX@103.510:AttrDateDocPropUkonceniePKK">
    <vt:lpwstr>19. 7. 2017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5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6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životného prostredia Slovenskej republiky</vt:lpwstr>
  </property>
  <property fmtid="{D5CDD505-2E9C-101B-9397-08002B2CF9AE}" pid="141" name="FSC#SKEDITIONSLOVLEX@103.510:funkciaZodpPredAkuzativ">
    <vt:lpwstr>podpredsedovi vlády a ministrovi životného prostredia Slovenskej republiky</vt:lpwstr>
  </property>
  <property fmtid="{D5CDD505-2E9C-101B-9397-08002B2CF9AE}" pid="142" name="FSC#SKEDITIONSLOVLEX@103.510:funkciaZodpPredDativ">
    <vt:lpwstr>podpredsedu vlády a ministra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podpredseda vlády a 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49" name="FSC#COOSYSTEM@1.1:Container">
    <vt:lpwstr>COO.2145.1000.3.3796846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4. 2. 2020</vt:lpwstr>
  </property>
</Properties>
</file>