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5A" w:rsidRPr="00C94003" w:rsidRDefault="006B4C5A" w:rsidP="00ED75DC">
      <w:pPr>
        <w:tabs>
          <w:tab w:val="left" w:pos="864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94003">
        <w:rPr>
          <w:b/>
          <w:sz w:val="28"/>
          <w:szCs w:val="28"/>
        </w:rPr>
        <w:t xml:space="preserve">Legislatívny zámer </w:t>
      </w:r>
      <w:r w:rsidR="00077836" w:rsidRPr="00C94003">
        <w:rPr>
          <w:b/>
          <w:sz w:val="28"/>
          <w:szCs w:val="28"/>
        </w:rPr>
        <w:t>zákona o</w:t>
      </w:r>
      <w:r w:rsidRPr="00C94003">
        <w:rPr>
          <w:b/>
          <w:sz w:val="28"/>
          <w:szCs w:val="28"/>
        </w:rPr>
        <w:t xml:space="preserve"> justičnej spoluprác</w:t>
      </w:r>
      <w:r w:rsidR="00077836" w:rsidRPr="00C94003">
        <w:rPr>
          <w:b/>
          <w:sz w:val="28"/>
          <w:szCs w:val="28"/>
        </w:rPr>
        <w:t>i</w:t>
      </w:r>
      <w:r w:rsidRPr="00C94003">
        <w:rPr>
          <w:b/>
          <w:sz w:val="28"/>
          <w:szCs w:val="28"/>
        </w:rPr>
        <w:t xml:space="preserve"> v trestných veciach</w:t>
      </w:r>
    </w:p>
    <w:p w:rsidR="006B4C5A" w:rsidRPr="00C94003" w:rsidRDefault="006B4C5A" w:rsidP="00ED75DC">
      <w:pPr>
        <w:jc w:val="both"/>
      </w:pPr>
    </w:p>
    <w:p w:rsidR="000C6E56" w:rsidRPr="00C94003" w:rsidRDefault="000C6E56" w:rsidP="00ED75DC">
      <w:pPr>
        <w:jc w:val="both"/>
      </w:pPr>
    </w:p>
    <w:p w:rsidR="000C6E56" w:rsidRPr="00C94003" w:rsidRDefault="000C6E56" w:rsidP="00ED75DC">
      <w:pPr>
        <w:jc w:val="both"/>
      </w:pPr>
    </w:p>
    <w:p w:rsidR="006B4C5A" w:rsidRPr="00C94003" w:rsidRDefault="006B4C5A" w:rsidP="00611DD2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C94003">
        <w:rPr>
          <w:b/>
        </w:rPr>
        <w:t>Cieľ</w:t>
      </w:r>
      <w:r w:rsidR="0003637B" w:rsidRPr="00C94003">
        <w:rPr>
          <w:b/>
        </w:rPr>
        <w:t xml:space="preserve"> </w:t>
      </w:r>
    </w:p>
    <w:p w:rsidR="0003637B" w:rsidRPr="00C94003" w:rsidRDefault="0003637B" w:rsidP="00ED75DC">
      <w:pPr>
        <w:jc w:val="both"/>
        <w:rPr>
          <w:b/>
          <w:i/>
        </w:rPr>
      </w:pPr>
    </w:p>
    <w:p w:rsidR="000E2C27" w:rsidRPr="00C94003" w:rsidRDefault="00BE3DB5" w:rsidP="00ED75DC">
      <w:pPr>
        <w:jc w:val="both"/>
      </w:pPr>
      <w:r w:rsidRPr="00C94003">
        <w:t>Cieľom predkladaného legislatívneho zámeru je</w:t>
      </w:r>
      <w:r w:rsidR="00EF616A" w:rsidRPr="00C94003">
        <w:t xml:space="preserve"> iniciovať diskusiu odbornej verejnosti za účelom budúcej</w:t>
      </w:r>
      <w:r w:rsidRPr="00C94003">
        <w:t xml:space="preserve"> </w:t>
      </w:r>
      <w:r w:rsidR="006D0278" w:rsidRPr="00C94003">
        <w:t>konsolid</w:t>
      </w:r>
      <w:r w:rsidR="00EF616A" w:rsidRPr="00C94003">
        <w:t>ácie</w:t>
      </w:r>
      <w:r w:rsidR="006D0278" w:rsidRPr="00C94003">
        <w:t xml:space="preserve"> </w:t>
      </w:r>
      <w:r w:rsidR="00DD74AF" w:rsidRPr="00C94003">
        <w:t>právn</w:t>
      </w:r>
      <w:r w:rsidR="00EF616A" w:rsidRPr="00C94003">
        <w:t>ej</w:t>
      </w:r>
      <w:r w:rsidR="00DD74AF" w:rsidRPr="00C94003">
        <w:t xml:space="preserve"> úprav</w:t>
      </w:r>
      <w:r w:rsidR="00972DE0" w:rsidRPr="00C94003">
        <w:t>y</w:t>
      </w:r>
      <w:r w:rsidR="00DD74AF" w:rsidRPr="00C94003">
        <w:t xml:space="preserve"> </w:t>
      </w:r>
      <w:r w:rsidRPr="00C94003">
        <w:t>justičn</w:t>
      </w:r>
      <w:r w:rsidR="00DD74AF" w:rsidRPr="00C94003">
        <w:t>ej</w:t>
      </w:r>
      <w:r w:rsidRPr="00C94003">
        <w:t xml:space="preserve"> spoluprác</w:t>
      </w:r>
      <w:r w:rsidR="00DD74AF" w:rsidRPr="00C94003">
        <w:t>e</w:t>
      </w:r>
      <w:r w:rsidRPr="00C94003">
        <w:t xml:space="preserve"> v trestných veciach</w:t>
      </w:r>
      <w:r w:rsidR="006D0278" w:rsidRPr="00C94003">
        <w:t>, aby sa </w:t>
      </w:r>
      <w:r w:rsidRPr="00C94003">
        <w:t>sprehľadni</w:t>
      </w:r>
      <w:r w:rsidR="006D0278" w:rsidRPr="00C94003">
        <w:t>lo využívanie</w:t>
      </w:r>
      <w:r w:rsidRPr="00C94003">
        <w:t xml:space="preserve"> nástroj</w:t>
      </w:r>
      <w:r w:rsidR="006D0278" w:rsidRPr="00C94003">
        <w:t>ov</w:t>
      </w:r>
      <w:r w:rsidRPr="00C94003">
        <w:t xml:space="preserve"> a inštitút</w:t>
      </w:r>
      <w:r w:rsidR="006D0278" w:rsidRPr="00C94003">
        <w:t>ov</w:t>
      </w:r>
      <w:r w:rsidRPr="00C94003">
        <w:t xml:space="preserve"> využívan</w:t>
      </w:r>
      <w:r w:rsidR="006D0278" w:rsidRPr="00C94003">
        <w:t>ých</w:t>
      </w:r>
      <w:r w:rsidRPr="00C94003">
        <w:t xml:space="preserve"> v</w:t>
      </w:r>
      <w:r w:rsidR="00EE65C2" w:rsidRPr="00C94003">
        <w:t xml:space="preserve"> právnom</w:t>
      </w:r>
      <w:r w:rsidRPr="00C94003">
        <w:t> styku s</w:t>
      </w:r>
      <w:r w:rsidR="00972DE0" w:rsidRPr="00C94003">
        <w:t> </w:t>
      </w:r>
      <w:r w:rsidRPr="00C94003">
        <w:t>cudzinou</w:t>
      </w:r>
      <w:r w:rsidR="00972DE0" w:rsidRPr="00C94003">
        <w:t xml:space="preserve"> a odstránili nedostatky aplikačnej praxe</w:t>
      </w:r>
      <w:r w:rsidRPr="00C94003">
        <w:t xml:space="preserve">. </w:t>
      </w:r>
      <w:r w:rsidR="00E50405" w:rsidRPr="00C94003">
        <w:t>Návrh legislatívneho zámeru je dôsledkom záväzku, vyplývajúceho z Programového vyhlásenia vlády Slovenskej republiky 2016 – 2020, ktorý spočíva v predložení komplexne</w:t>
      </w:r>
      <w:r w:rsidR="00996690" w:rsidRPr="00C94003">
        <w:t>j</w:t>
      </w:r>
      <w:r w:rsidR="00E50405" w:rsidRPr="00C94003">
        <w:t xml:space="preserve"> zákonnej úpravy upravujúcej medzinárodnú justičnú spoluprácu v trestných veciach</w:t>
      </w:r>
      <w:r w:rsidR="00C116D3" w:rsidRPr="00C94003">
        <w:t xml:space="preserve">  a rovnako tak aj z Plánu legislatívnych úloh vlády Slovenskej republiky na rok 2018</w:t>
      </w:r>
      <w:r w:rsidR="00E50405" w:rsidRPr="00C94003">
        <w:t xml:space="preserve">. </w:t>
      </w:r>
      <w:r w:rsidR="00866566" w:rsidRPr="00C94003">
        <w:t xml:space="preserve">Takáto komplexná zákonná úprava </w:t>
      </w:r>
      <w:r w:rsidR="00CC34C4" w:rsidRPr="00C94003">
        <w:t xml:space="preserve">si vyžaduje </w:t>
      </w:r>
      <w:r w:rsidR="00866566" w:rsidRPr="00C94003">
        <w:t>širok</w:t>
      </w:r>
      <w:r w:rsidR="00CC34C4" w:rsidRPr="00C94003">
        <w:t>ú</w:t>
      </w:r>
      <w:r w:rsidR="00866566" w:rsidRPr="00C94003">
        <w:t xml:space="preserve"> odborn</w:t>
      </w:r>
      <w:r w:rsidR="00CC34C4" w:rsidRPr="00C94003">
        <w:t>ú</w:t>
      </w:r>
      <w:r w:rsidR="00866566" w:rsidRPr="00C94003">
        <w:t xml:space="preserve"> diskusi</w:t>
      </w:r>
      <w:r w:rsidR="00CC34C4" w:rsidRPr="00C94003">
        <w:t>u</w:t>
      </w:r>
      <w:r w:rsidR="00866566" w:rsidRPr="00C94003">
        <w:t>, ktor</w:t>
      </w:r>
      <w:r w:rsidR="00CC34C4" w:rsidRPr="00C94003">
        <w:t>ú</w:t>
      </w:r>
      <w:r w:rsidR="00866566" w:rsidRPr="00C94003">
        <w:t xml:space="preserve"> zabezpečí práve predloženie legislatívneho zámeru.</w:t>
      </w:r>
    </w:p>
    <w:p w:rsidR="000E2C27" w:rsidRPr="00C94003" w:rsidRDefault="000E2C27" w:rsidP="00ED75DC">
      <w:pPr>
        <w:jc w:val="both"/>
      </w:pPr>
    </w:p>
    <w:p w:rsidR="003B3C49" w:rsidRPr="00C94003" w:rsidRDefault="0040629F" w:rsidP="003B3C49">
      <w:pPr>
        <w:jc w:val="both"/>
      </w:pPr>
      <w:r w:rsidRPr="00C94003">
        <w:t>Budúca právna</w:t>
      </w:r>
      <w:r w:rsidR="008428D2" w:rsidRPr="00C94003">
        <w:t xml:space="preserve"> úprav</w:t>
      </w:r>
      <w:r w:rsidRPr="00C94003">
        <w:t>a</w:t>
      </w:r>
      <w:r w:rsidR="0084423E" w:rsidRPr="00C94003">
        <w:t xml:space="preserve"> </w:t>
      </w:r>
      <w:r w:rsidR="008428D2" w:rsidRPr="00C94003">
        <w:t>by mala priniesť revíziu</w:t>
      </w:r>
      <w:r w:rsidR="00425B49" w:rsidRPr="00C94003">
        <w:t xml:space="preserve"> v potrebnej miere</w:t>
      </w:r>
      <w:r w:rsidR="008428D2" w:rsidRPr="00C94003">
        <w:t>, doplnenie a</w:t>
      </w:r>
      <w:r w:rsidR="00425B49" w:rsidRPr="00C94003">
        <w:t xml:space="preserve">lebo </w:t>
      </w:r>
      <w:r w:rsidR="008428D2" w:rsidRPr="00C94003">
        <w:t>prepracovanie piatej časti Trestného poriadku</w:t>
      </w:r>
      <w:r w:rsidR="003B3C49" w:rsidRPr="00C94003">
        <w:t>, ktorá od svojej kodifikácie v roku 2002 podstúpila viaceré zmeny</w:t>
      </w:r>
      <w:r w:rsidR="008428D2" w:rsidRPr="00C94003">
        <w:t xml:space="preserve">. Podkladom pre takúto </w:t>
      </w:r>
      <w:r w:rsidR="003B3C49" w:rsidRPr="00C94003">
        <w:t>revíziu</w:t>
      </w:r>
      <w:r w:rsidR="008428D2" w:rsidRPr="00C94003">
        <w:t xml:space="preserve"> by mala byť analýza implementácie </w:t>
      </w:r>
      <w:r w:rsidRPr="00C94003">
        <w:t xml:space="preserve">práva EÚ ako aj </w:t>
      </w:r>
      <w:r w:rsidR="008428D2" w:rsidRPr="00C94003">
        <w:t xml:space="preserve">medzinárodných zmlúv, ktorými je Slovenská republika viazaná tak, aby boli jej orgány schopné dodržať medzinárodné záväzky Slovenskej republiky. </w:t>
      </w:r>
      <w:r w:rsidRPr="00C94003">
        <w:t>Nová úprava by mala zohľadniť aj</w:t>
      </w:r>
      <w:r w:rsidR="008428D2" w:rsidRPr="00C94003">
        <w:t xml:space="preserve"> vývoj judikatúry medzinárodných súdov a v neposlednom rade aj Ústavného súdu Slovenskej republiky. Piata časť Trestného poriadku ako aplikačný základ pre spoluprácu s tretími štátmi vyžaduje v tomto smere vyhodnotenie z hľadiska uplatniteľných inštitútov justičnej spolupráce. </w:t>
      </w:r>
    </w:p>
    <w:p w:rsidR="00D52F95" w:rsidRPr="00C94003" w:rsidRDefault="00D52F95" w:rsidP="00ED75DC">
      <w:pPr>
        <w:jc w:val="both"/>
      </w:pPr>
    </w:p>
    <w:p w:rsidR="00D52F95" w:rsidRPr="00C94003" w:rsidRDefault="008428D2" w:rsidP="00ED75DC">
      <w:pPr>
        <w:jc w:val="both"/>
      </w:pPr>
      <w:r w:rsidRPr="00C94003">
        <w:t>Slovenská republika v čase, keď vstúpila do</w:t>
      </w:r>
      <w:r w:rsidR="001E4A2B" w:rsidRPr="00C94003">
        <w:t xml:space="preserve"> EÚ</w:t>
      </w:r>
      <w:r w:rsidRPr="00C94003">
        <w:t xml:space="preserve">, prijala koncept „vzájomného uznávania justičných rozhodnutí“ ako základný kameň justičnej spolupráce v trestných veciach deklarovaný Radou Európskej únie (Tampere, 1999). </w:t>
      </w:r>
      <w:r w:rsidR="005328DB" w:rsidRPr="00C94003">
        <w:t xml:space="preserve">V </w:t>
      </w:r>
      <w:r w:rsidR="003B3C49" w:rsidRPr="00C94003">
        <w:t xml:space="preserve">roku 2005, </w:t>
      </w:r>
      <w:r w:rsidRPr="00C94003">
        <w:t>prija</w:t>
      </w:r>
      <w:r w:rsidR="003B3C49" w:rsidRPr="00C94003">
        <w:t>lo Slovensko</w:t>
      </w:r>
      <w:r w:rsidRPr="00C94003">
        <w:t xml:space="preserve"> koncept </w:t>
      </w:r>
      <w:r w:rsidR="00D52F95" w:rsidRPr="00C94003">
        <w:t xml:space="preserve">transpozície </w:t>
      </w:r>
      <w:r w:rsidR="003B3C49" w:rsidRPr="00C94003">
        <w:t>aktov</w:t>
      </w:r>
      <w:r w:rsidRPr="00C94003">
        <w:t xml:space="preserve"> </w:t>
      </w:r>
      <w:r w:rsidR="001E4A2B" w:rsidRPr="00C94003">
        <w:t xml:space="preserve">EÚ </w:t>
      </w:r>
      <w:r w:rsidRPr="00C94003">
        <w:t xml:space="preserve">formou samostatných zákonov. </w:t>
      </w:r>
      <w:r w:rsidR="00D52F95" w:rsidRPr="00C94003">
        <w:t>Tento k</w:t>
      </w:r>
      <w:r w:rsidRPr="00C94003">
        <w:t xml:space="preserve">oncept sa prejavil ako </w:t>
      </w:r>
      <w:r w:rsidR="00D52F95" w:rsidRPr="00C94003">
        <w:t>opodstatnený</w:t>
      </w:r>
      <w:r w:rsidRPr="00C94003">
        <w:t xml:space="preserve">, najmä s poukazom na </w:t>
      </w:r>
      <w:r w:rsidR="00D52F95" w:rsidRPr="00C94003">
        <w:t>odlišný p</w:t>
      </w:r>
      <w:r w:rsidRPr="00C94003">
        <w:t>rávny základ (vzájomné uznávanie) a skutočnosť, že nástroje justičnej spolupráce v rámci E</w:t>
      </w:r>
      <w:r w:rsidR="001E4A2B" w:rsidRPr="00C94003">
        <w:t>Ú</w:t>
      </w:r>
      <w:r w:rsidRPr="00C94003">
        <w:t xml:space="preserve"> sú založené na priamom styku justičných orgánov členských štátov</w:t>
      </w:r>
      <w:r w:rsidR="001E4A2B" w:rsidRPr="00C94003">
        <w:t xml:space="preserve"> EÚ</w:t>
      </w:r>
      <w:r w:rsidRPr="00C94003">
        <w:t>. V</w:t>
      </w:r>
      <w:r w:rsidR="0040629F" w:rsidRPr="00C94003">
        <w:t> </w:t>
      </w:r>
      <w:r w:rsidRPr="00C94003">
        <w:t>súčasnosti</w:t>
      </w:r>
      <w:r w:rsidR="0040629F" w:rsidRPr="00C94003">
        <w:t>,</w:t>
      </w:r>
      <w:r w:rsidRPr="00C94003">
        <w:t xml:space="preserve"> pri </w:t>
      </w:r>
      <w:r w:rsidR="00D52F95" w:rsidRPr="00C94003">
        <w:t xml:space="preserve">náraste </w:t>
      </w:r>
      <w:r w:rsidRPr="00C94003">
        <w:t>počt</w:t>
      </w:r>
      <w:r w:rsidR="00D52F95" w:rsidRPr="00C94003">
        <w:t>u</w:t>
      </w:r>
      <w:r w:rsidRPr="00C94003">
        <w:t xml:space="preserve"> osobitných zákonov</w:t>
      </w:r>
      <w:r w:rsidR="0040629F" w:rsidRPr="00C94003">
        <w:t>,</w:t>
      </w:r>
      <w:r w:rsidRPr="00C94003">
        <w:t xml:space="preserve"> úprava justičnej spolupráce v trestných veciach stratila prehľadnosť</w:t>
      </w:r>
      <w:r w:rsidR="0040629F" w:rsidRPr="00C94003">
        <w:t>. N</w:t>
      </w:r>
      <w:r w:rsidR="00A36D1C" w:rsidRPr="00C94003">
        <w:t>avyše,</w:t>
      </w:r>
      <w:r w:rsidRPr="00C94003">
        <w:t xml:space="preserve"> </w:t>
      </w:r>
      <w:r w:rsidR="00D52F95" w:rsidRPr="00C94003">
        <w:t xml:space="preserve">transpozícia </w:t>
      </w:r>
      <w:r w:rsidRPr="00C94003">
        <w:t xml:space="preserve">nástrojov </w:t>
      </w:r>
      <w:r w:rsidR="001E4A2B" w:rsidRPr="00C94003">
        <w:t xml:space="preserve">EÚ </w:t>
      </w:r>
      <w:r w:rsidR="00015FDD" w:rsidRPr="00C94003">
        <w:t xml:space="preserve">sa neuskutočnila </w:t>
      </w:r>
      <w:r w:rsidRPr="00C94003">
        <w:t>v jednotnej legislatívnej línii. Preto je potrebné definovať pojmy a postupy, zohľadniť súčasný vývoj a trendy, judikatúru Súdneho dvora</w:t>
      </w:r>
      <w:r w:rsidR="001E4A2B" w:rsidRPr="00C94003">
        <w:t xml:space="preserve"> EÚ</w:t>
      </w:r>
      <w:r w:rsidRPr="00C94003">
        <w:t xml:space="preserve">, Európskeho súdu pre ľudské práva </w:t>
      </w:r>
      <w:r w:rsidR="0022129D" w:rsidRPr="00C94003">
        <w:t xml:space="preserve">(ďalej len „ESĽP“) </w:t>
      </w:r>
      <w:r w:rsidRPr="00C94003">
        <w:t xml:space="preserve">a v neposlednom rade reagovať aj na problémy aplikačnej praxe. </w:t>
      </w:r>
      <w:r w:rsidR="00D52F95" w:rsidRPr="00C94003">
        <w:t>Rovnako je potrebné zohľadniť skutočnosť, že právne nástroje EÚ sa z hľadiska ich zapracovania, resp. začlenenia do právneho poriadku SR líšia časovým momentom ich účinnosti a tým i obdobím, ktoré je pre ich využitie v praxi možné relevantne vyhodnotiť.</w:t>
      </w:r>
    </w:p>
    <w:p w:rsidR="00D52F95" w:rsidRPr="00C94003" w:rsidRDefault="00D52F95" w:rsidP="00ED75DC">
      <w:pPr>
        <w:jc w:val="both"/>
      </w:pPr>
    </w:p>
    <w:p w:rsidR="00570BE4" w:rsidRPr="00C94003" w:rsidRDefault="008428D2" w:rsidP="00ED75DC">
      <w:pPr>
        <w:jc w:val="both"/>
      </w:pPr>
      <w:r w:rsidRPr="00C94003">
        <w:t xml:space="preserve">Súčasný prístup založený na transpozícii samostatnými zákonmi je charakteristický ich multiplikáciou, čo zvyšuje nároky na znalosti jednotlivých právnych úprav </w:t>
      </w:r>
      <w:r w:rsidR="00CB3CD4" w:rsidRPr="00C94003">
        <w:t>aj</w:t>
      </w:r>
      <w:r w:rsidRPr="00C94003">
        <w:t xml:space="preserve"> ich následnú aplikáciu v praxi. Zmeny by sa nemali týkať len obsahu, ale aj formy. Nemali by viesť k sťaženiu čitateľnosti a zrozumiteľnosti právnych noriem pre orgány aplikácie práva, ani pre subjekty, ktorých práv sa právna úprava dotýka. Naopak, výsledkom by malo byť sprehľadnenie a zjednodušenie úprav, vrátane zohľadnenia nových trendov v medzištátnej praxi a judikatúry E</w:t>
      </w:r>
      <w:r w:rsidR="0022129D" w:rsidRPr="00C94003">
        <w:t xml:space="preserve">SĽP </w:t>
      </w:r>
      <w:r w:rsidRPr="00C94003">
        <w:t xml:space="preserve">a Súdneho dvora </w:t>
      </w:r>
      <w:r w:rsidR="001E4A2B" w:rsidRPr="00C94003">
        <w:t xml:space="preserve">EÚ </w:t>
      </w:r>
      <w:r w:rsidRPr="00C94003">
        <w:t>v predmetnej oblasti. Analyzované b</w:t>
      </w:r>
      <w:r w:rsidR="00CB3CD4" w:rsidRPr="00C94003">
        <w:t xml:space="preserve">y mali byť </w:t>
      </w:r>
      <w:r w:rsidRPr="00C94003">
        <w:t xml:space="preserve">všetky relevantné zákony z hľadiska komplexného posúdenia správnosti a úplnosti </w:t>
      </w:r>
      <w:r w:rsidRPr="00C94003">
        <w:lastRenderedPageBreak/>
        <w:t xml:space="preserve">implementácie dotknutých právnych nástrojov, vrátane platných a účinných medzinárodných zmlúv, vývoja aplikačnej praxe v oblasti justičnej spolupráce v trestných veciach, ale aj vo svetle rozhodovania medzinárodných súdov, najmä </w:t>
      </w:r>
      <w:r w:rsidR="0022129D" w:rsidRPr="00C94003">
        <w:t xml:space="preserve">ESĽP </w:t>
      </w:r>
      <w:r w:rsidRPr="00C94003">
        <w:t xml:space="preserve">a Súdneho dvora </w:t>
      </w:r>
      <w:r w:rsidR="001E4A2B" w:rsidRPr="00C94003">
        <w:t>EÚ</w:t>
      </w:r>
      <w:r w:rsidR="00CB3CD4" w:rsidRPr="00C94003">
        <w:t>, a to</w:t>
      </w:r>
      <w:r w:rsidR="001E4A2B" w:rsidRPr="00C94003">
        <w:t xml:space="preserve"> </w:t>
      </w:r>
      <w:r w:rsidRPr="00C94003">
        <w:t>tak, aby nebolo ohrozené uplatnenie zásady koherentného a globálneho prístupu v procese budúcich prác. Komplexnosť budúcej právnej úpravy b</w:t>
      </w:r>
      <w:r w:rsidR="00C775CD" w:rsidRPr="00C94003">
        <w:t xml:space="preserve">y mala </w:t>
      </w:r>
      <w:r w:rsidRPr="00C94003">
        <w:t xml:space="preserve">predstavovať pridanú hodnotu pre praktikov v ich každodennej náročnej profesijnej realite. </w:t>
      </w:r>
    </w:p>
    <w:p w:rsidR="00570BE4" w:rsidRPr="00C94003" w:rsidRDefault="00570BE4" w:rsidP="00ED75DC">
      <w:pPr>
        <w:jc w:val="both"/>
      </w:pPr>
    </w:p>
    <w:p w:rsidR="008428D2" w:rsidRPr="00C94003" w:rsidRDefault="008428D2" w:rsidP="00ED75DC">
      <w:pPr>
        <w:jc w:val="both"/>
      </w:pPr>
      <w:r w:rsidRPr="00C94003">
        <w:t xml:space="preserve">Úvahy o konsolidácii právnej úpravy justičnej spolupráce odôvodňuje aj skutočnosť, že na úrovni </w:t>
      </w:r>
      <w:r w:rsidR="001E4A2B" w:rsidRPr="00C94003">
        <w:t xml:space="preserve">EÚ </w:t>
      </w:r>
      <w:r w:rsidRPr="00C94003">
        <w:t xml:space="preserve">je táto oblasť relatívne stabilizovaná a v budúcnosti sa neočakáva veľká legislatívna aktivita </w:t>
      </w:r>
      <w:r w:rsidR="001E4A2B" w:rsidRPr="00C94003">
        <w:t xml:space="preserve">EÚ </w:t>
      </w:r>
      <w:r w:rsidRPr="00C94003">
        <w:t xml:space="preserve">v tejto oblasti. Osobitne je badateľný prehlbujúci sa rozdiel v rozsahu, ale najmä v povahe justičnej spolupráce medzi členskými štátmi </w:t>
      </w:r>
      <w:r w:rsidR="001E4A2B" w:rsidRPr="00C94003">
        <w:t xml:space="preserve">EÚ </w:t>
      </w:r>
      <w:r w:rsidRPr="00C94003">
        <w:t xml:space="preserve">na jednej strane a spolupráce s tretími štátmi na strane druhej. Uvedené je dôsledkom rozdielneho právneho základu, ktorý v oblasti justičnej spolupráce v trestných veciach medzi členskými štátmi </w:t>
      </w:r>
      <w:r w:rsidR="001E4A2B" w:rsidRPr="00C94003">
        <w:t xml:space="preserve">EÚ </w:t>
      </w:r>
      <w:r w:rsidRPr="00C94003">
        <w:t>predstavuje „vzájomné uznávanie justičných rozhodnutí“, ako aj presun výkonu justičnej spolupráce priamo na justičné orgány</w:t>
      </w:r>
      <w:r w:rsidR="003B3C49" w:rsidRPr="00C94003">
        <w:t xml:space="preserve"> (</w:t>
      </w:r>
      <w:r w:rsidR="00032D7D" w:rsidRPr="00C94003">
        <w:t>„</w:t>
      </w:r>
      <w:r w:rsidR="003B3C49" w:rsidRPr="00C94003">
        <w:t>judicializáci</w:t>
      </w:r>
      <w:r w:rsidR="005345EF" w:rsidRPr="00C94003">
        <w:t>a</w:t>
      </w:r>
      <w:r w:rsidR="00032D7D" w:rsidRPr="00C94003">
        <w:t>“</w:t>
      </w:r>
      <w:r w:rsidR="003B3C49" w:rsidRPr="00C94003">
        <w:t xml:space="preserve"> justičnej spolupráce)</w:t>
      </w:r>
      <w:r w:rsidRPr="00C94003">
        <w:t xml:space="preserve">. Na rozdiel od justičnej spolupráce s členskými štátmi </w:t>
      </w:r>
      <w:r w:rsidR="001E4A2B" w:rsidRPr="00C94003">
        <w:t>EÚ</w:t>
      </w:r>
      <w:r w:rsidR="00A36D1C" w:rsidRPr="00C94003">
        <w:t>,</w:t>
      </w:r>
      <w:r w:rsidR="001E4A2B" w:rsidRPr="00C94003">
        <w:t xml:space="preserve"> </w:t>
      </w:r>
      <w:r w:rsidRPr="00C94003">
        <w:t>spolupráca s tretími štátmi naďalej zostáva štandardnou „medzištátnou“ doménou medzinárodnej spolupráce charakterizovanou najmä stykom medzi ústrednými orgánmi dotknutých spolupracujúcich štátov, v slovenských podmienkach Ministerstva spravodlivosti Slovenskej republiky a Generálnej prokuratúry Slovenskej republiky.</w:t>
      </w:r>
    </w:p>
    <w:p w:rsidR="00DD74AF" w:rsidRPr="00C94003" w:rsidRDefault="00DD74AF" w:rsidP="00ED75DC">
      <w:pPr>
        <w:jc w:val="both"/>
      </w:pPr>
    </w:p>
    <w:p w:rsidR="00BE3DB5" w:rsidRPr="00C94003" w:rsidRDefault="005345EF" w:rsidP="00ED75DC">
      <w:pPr>
        <w:jc w:val="both"/>
      </w:pPr>
      <w:r w:rsidRPr="00C94003">
        <w:t>Diskusie o budúcej právnej úprave by mali</w:t>
      </w:r>
      <w:r w:rsidR="0005625A" w:rsidRPr="00C94003">
        <w:t xml:space="preserve"> zohľadniť nové trendy</w:t>
      </w:r>
      <w:r w:rsidR="00355730" w:rsidRPr="00C94003">
        <w:t xml:space="preserve"> </w:t>
      </w:r>
      <w:r w:rsidR="008D5D89" w:rsidRPr="00C94003">
        <w:t xml:space="preserve">v oblasti justičnej spolupráce </w:t>
      </w:r>
      <w:r w:rsidR="00355730" w:rsidRPr="00C94003">
        <w:t>a</w:t>
      </w:r>
      <w:r w:rsidR="00174EA4" w:rsidRPr="00C94003">
        <w:t xml:space="preserve"> reagovať </w:t>
      </w:r>
      <w:r w:rsidR="008D5D89" w:rsidRPr="00C94003">
        <w:t xml:space="preserve">aj </w:t>
      </w:r>
      <w:r w:rsidR="00174EA4" w:rsidRPr="00C94003">
        <w:t xml:space="preserve">na </w:t>
      </w:r>
      <w:r w:rsidR="00355730" w:rsidRPr="00C94003">
        <w:t>možnosti, ktoré prináša digitaliz</w:t>
      </w:r>
      <w:r w:rsidR="00F33FAA" w:rsidRPr="00C94003">
        <w:t>á</w:t>
      </w:r>
      <w:r w:rsidR="00355730" w:rsidRPr="00C94003">
        <w:t>ci</w:t>
      </w:r>
      <w:r w:rsidR="008D5D89" w:rsidRPr="00C94003">
        <w:t>a</w:t>
      </w:r>
      <w:r w:rsidR="00355730" w:rsidRPr="00C94003">
        <w:t>. Menia sa spôsoby páchania trestnej činnosti,</w:t>
      </w:r>
      <w:r w:rsidR="001171AA" w:rsidRPr="00C94003">
        <w:t xml:space="preserve"> </w:t>
      </w:r>
      <w:r w:rsidR="00174EA4" w:rsidRPr="00C94003">
        <w:t xml:space="preserve">v dôsledku čoho </w:t>
      </w:r>
      <w:r w:rsidR="00963F87" w:rsidRPr="00C94003">
        <w:t xml:space="preserve">narastá množstvo prípadov s cezhraničným charakterom. </w:t>
      </w:r>
      <w:r w:rsidR="001171AA" w:rsidRPr="00C94003">
        <w:t xml:space="preserve">V súvislosti s tým je potrebné reagovať aj na možnosť získavať dôkazy o trestnej činnosti, ktoré majú pôvod vo svete moderných technológií. </w:t>
      </w:r>
      <w:r w:rsidR="00963F87" w:rsidRPr="00C94003">
        <w:t>V nadväznosti na uvedené je nevy</w:t>
      </w:r>
      <w:r w:rsidR="00355730" w:rsidRPr="00C94003">
        <w:t>hnutné</w:t>
      </w:r>
      <w:r w:rsidR="00963F87" w:rsidRPr="00C94003">
        <w:t xml:space="preserve"> </w:t>
      </w:r>
      <w:r w:rsidR="00044A88" w:rsidRPr="00C94003">
        <w:t>reagovať na potrebu zabezpečiť dostupnosť údajov, rýchly prístup k nim</w:t>
      </w:r>
      <w:r w:rsidR="0005625A" w:rsidRPr="00C94003">
        <w:t xml:space="preserve"> </w:t>
      </w:r>
      <w:r w:rsidR="00044A88" w:rsidRPr="00C94003">
        <w:t>a ich</w:t>
      </w:r>
      <w:r w:rsidR="00963F87" w:rsidRPr="00C94003">
        <w:t xml:space="preserve"> využiteľnosť v trestnom konaní</w:t>
      </w:r>
      <w:r w:rsidR="000A5291" w:rsidRPr="00C94003">
        <w:t xml:space="preserve"> a otvoriť diskusiu napr. o možnostiach priameho cezhraničného styku s poskytovateľmi internetových a komunikačných služieb</w:t>
      </w:r>
      <w:r w:rsidR="00963F87" w:rsidRPr="00C94003">
        <w:t>. Rovnako, digitalizácia</w:t>
      </w:r>
      <w:r w:rsidR="0005625A" w:rsidRPr="00C94003">
        <w:t xml:space="preserve"> v oblasti justície </w:t>
      </w:r>
      <w:r w:rsidR="00963F87" w:rsidRPr="00C94003">
        <w:t>(</w:t>
      </w:r>
      <w:r w:rsidR="008D5D89" w:rsidRPr="00C94003">
        <w:t>elektronizácia</w:t>
      </w:r>
      <w:r w:rsidR="00996690" w:rsidRPr="00C94003">
        <w:t xml:space="preserve"> vyšetrovacieho spisu</w:t>
      </w:r>
      <w:r w:rsidR="008D5D89" w:rsidRPr="00C94003">
        <w:t xml:space="preserve"> </w:t>
      </w:r>
      <w:r w:rsidR="00963F87" w:rsidRPr="00C94003">
        <w:t>či elektronic</w:t>
      </w:r>
      <w:r w:rsidR="00F33FAA" w:rsidRPr="00C94003">
        <w:t>k</w:t>
      </w:r>
      <w:r w:rsidR="00963F87" w:rsidRPr="00C94003">
        <w:t>ý súdny spis) prináša nové možnosti zlepšenia a zrýchlenia komunikácie</w:t>
      </w:r>
      <w:r w:rsidR="008D5D89" w:rsidRPr="00C94003">
        <w:t xml:space="preserve"> tak na vnútroštátnej ako aj cezhraničnej úrovni. </w:t>
      </w:r>
    </w:p>
    <w:p w:rsidR="000C6E56" w:rsidRPr="00C94003" w:rsidRDefault="000C6E56" w:rsidP="00ED75DC">
      <w:pPr>
        <w:jc w:val="both"/>
      </w:pPr>
    </w:p>
    <w:p w:rsidR="0005625A" w:rsidRPr="00C94003" w:rsidRDefault="00166711" w:rsidP="00ED75DC">
      <w:pPr>
        <w:jc w:val="both"/>
      </w:pPr>
      <w:r w:rsidRPr="00C94003">
        <w:t xml:space="preserve">     </w:t>
      </w:r>
    </w:p>
    <w:p w:rsidR="0003637B" w:rsidRPr="00C94003" w:rsidRDefault="00602B97" w:rsidP="00611DD2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C94003">
        <w:rPr>
          <w:b/>
        </w:rPr>
        <w:t>Legislatívny prístup a navrhovaná štruktúra</w:t>
      </w:r>
    </w:p>
    <w:p w:rsidR="00602B97" w:rsidRPr="00C94003" w:rsidRDefault="00602B97" w:rsidP="00ED75DC">
      <w:pPr>
        <w:rPr>
          <w:b/>
          <w:i/>
          <w:highlight w:val="yellow"/>
        </w:rPr>
      </w:pPr>
    </w:p>
    <w:p w:rsidR="00086777" w:rsidRPr="00C94003" w:rsidRDefault="006817F5" w:rsidP="00ED75DC">
      <w:pPr>
        <w:jc w:val="both"/>
      </w:pPr>
      <w:r w:rsidRPr="00C94003">
        <w:t xml:space="preserve">Z hľadiska systematiky a štruktúry budúcej komplexnej úpravy tejto oblasti je nevyhnutné vykonať </w:t>
      </w:r>
      <w:r w:rsidR="008D5D89" w:rsidRPr="00C94003">
        <w:t xml:space="preserve">najskôr </w:t>
      </w:r>
      <w:r w:rsidRPr="00C94003">
        <w:t>dôslednú analýzu piatej časti Trestného poriadku, so zameraním na úroveň a komplexnosť implementácie medzinárodných zmlúv, ktorými je Slovenská republika aktuálne viazaná</w:t>
      </w:r>
      <w:r w:rsidR="008D5D89" w:rsidRPr="00C94003">
        <w:t xml:space="preserve">. </w:t>
      </w:r>
      <w:r w:rsidRPr="00C94003">
        <w:t xml:space="preserve"> </w:t>
      </w:r>
      <w:r w:rsidR="008D5D89" w:rsidRPr="00C94003">
        <w:t>Cieľom by malo byť aj</w:t>
      </w:r>
      <w:r w:rsidRPr="00C94003">
        <w:t xml:space="preserve"> zapracovanie </w:t>
      </w:r>
      <w:r w:rsidR="004C79C1" w:rsidRPr="00C94003">
        <w:t xml:space="preserve">potrebných </w:t>
      </w:r>
      <w:r w:rsidR="008D5D89" w:rsidRPr="00C94003">
        <w:t xml:space="preserve">a </w:t>
      </w:r>
      <w:r w:rsidR="004C79C1" w:rsidRPr="00C94003">
        <w:t xml:space="preserve">doposiaľ </w:t>
      </w:r>
      <w:r w:rsidRPr="00C94003">
        <w:t xml:space="preserve">chýbajúcich inštitútov v oblasti justičnej spolupráce s tretími štátmi. </w:t>
      </w:r>
    </w:p>
    <w:p w:rsidR="00086777" w:rsidRPr="00C94003" w:rsidRDefault="00086777" w:rsidP="00ED75DC">
      <w:pPr>
        <w:jc w:val="both"/>
      </w:pPr>
    </w:p>
    <w:p w:rsidR="00086777" w:rsidRPr="00C94003" w:rsidRDefault="00086777" w:rsidP="00ED75DC">
      <w:pPr>
        <w:jc w:val="both"/>
      </w:pPr>
      <w:r w:rsidRPr="00C94003">
        <w:t>Jedným z dôvodov</w:t>
      </w:r>
      <w:r w:rsidR="006817F5" w:rsidRPr="00C94003">
        <w:t xml:space="preserve"> </w:t>
      </w:r>
      <w:r w:rsidRPr="00C94003">
        <w:t>pre</w:t>
      </w:r>
      <w:r w:rsidR="006817F5" w:rsidRPr="00C94003">
        <w:t xml:space="preserve"> spracovanie komplexnej samostatnej právnej úpravy je </w:t>
      </w:r>
      <w:r w:rsidRPr="00C94003">
        <w:t xml:space="preserve">aj </w:t>
      </w:r>
      <w:r w:rsidR="006817F5" w:rsidRPr="00C94003">
        <w:t>zjednotenie oblasti justičnej spolupráce v trestných veciach s členskými štátmi</w:t>
      </w:r>
      <w:r w:rsidR="001E4A2B" w:rsidRPr="00C94003">
        <w:t xml:space="preserve"> EÚ</w:t>
      </w:r>
      <w:r w:rsidR="006817F5" w:rsidRPr="00C94003">
        <w:t>, ktorá je z hľadiska jej osobitnej povahy a systematiky oblasťou s osobitnou dôležitosťou z hľadiska frekvencie jej využitia zo strany justičných orgánov. Dôvodom pre samostatnú úpravu tejto časti sú i spoločné východiská z hľadiska aplikácie hlavných atribútov právneho priestoru</w:t>
      </w:r>
      <w:r w:rsidR="001E4A2B" w:rsidRPr="00C94003">
        <w:t xml:space="preserve"> EÚ</w:t>
      </w:r>
      <w:r w:rsidR="006817F5" w:rsidRPr="00C94003">
        <w:t xml:space="preserve">, a to najmä zásady vzájomného uznávania justičných rozhodnutí a úzko previazaných prvkov, ako vzájomná dôvera justičných orgánov členských štátov </w:t>
      </w:r>
      <w:r w:rsidR="001E4A2B" w:rsidRPr="00C94003">
        <w:t xml:space="preserve">EÚ </w:t>
      </w:r>
      <w:r w:rsidR="006817F5" w:rsidRPr="00C94003">
        <w:t xml:space="preserve">a ich priamy styk. Samostatná, jasne špecifikovaná právna úprava (okrem iného i </w:t>
      </w:r>
      <w:r w:rsidRPr="00C94003">
        <w:t>termino</w:t>
      </w:r>
      <w:r w:rsidR="006817F5" w:rsidRPr="00C94003">
        <w:t xml:space="preserve">logicky) </w:t>
      </w:r>
      <w:r w:rsidRPr="00C94003">
        <w:t xml:space="preserve">môže </w:t>
      </w:r>
      <w:r w:rsidR="006817F5" w:rsidRPr="00C94003">
        <w:t>napomô</w:t>
      </w:r>
      <w:r w:rsidRPr="00C94003">
        <w:t>cť</w:t>
      </w:r>
      <w:r w:rsidR="006817F5" w:rsidRPr="00C94003">
        <w:t xml:space="preserve"> praktikom a osobám so záujmom o uvedenú oblasť trestného konania odlíšiť postupy aplikované v rámci princípu vzájomného uznávania justičných rozhodnutí od postupov aplikovaných cestou </w:t>
      </w:r>
      <w:r w:rsidR="006817F5" w:rsidRPr="00C94003">
        <w:lastRenderedPageBreak/>
        <w:t xml:space="preserve">štandardnej medzinárodnej spolupráce v trestných veciach (t. j. právna pomoc vo vzťahu k tretím štátom). </w:t>
      </w:r>
    </w:p>
    <w:p w:rsidR="00086777" w:rsidRPr="00C94003" w:rsidRDefault="00086777" w:rsidP="00ED75DC">
      <w:pPr>
        <w:jc w:val="both"/>
      </w:pPr>
    </w:p>
    <w:p w:rsidR="006817F5" w:rsidRPr="00C94003" w:rsidRDefault="006817F5" w:rsidP="00ED75DC">
      <w:pPr>
        <w:jc w:val="both"/>
      </w:pPr>
      <w:r w:rsidRPr="00C94003">
        <w:t xml:space="preserve">Dôvody zmeny právnej úpravy nespočívajú len v zmene formy. Významnou ambíciou budúcej právnej úpravy je najmä revízia právnej úpravy upravujúcej justičnú spoluprácu v trestných veciach </w:t>
      </w:r>
      <w:r w:rsidR="00C775CD" w:rsidRPr="00C94003">
        <w:t xml:space="preserve">medzi </w:t>
      </w:r>
      <w:r w:rsidRPr="00C94003">
        <w:t>členský</w:t>
      </w:r>
      <w:r w:rsidR="00C775CD" w:rsidRPr="00C94003">
        <w:t xml:space="preserve">mi </w:t>
      </w:r>
      <w:r w:rsidRPr="00C94003">
        <w:t>štát</w:t>
      </w:r>
      <w:r w:rsidR="00C775CD" w:rsidRPr="00C94003">
        <w:t>mi</w:t>
      </w:r>
      <w:r w:rsidR="001E4A2B" w:rsidRPr="00C94003">
        <w:t xml:space="preserve"> EÚ</w:t>
      </w:r>
      <w:r w:rsidR="00B67714" w:rsidRPr="00C94003">
        <w:t xml:space="preserve"> a konsolidácia, ktorá by mala zabezpečiť okrem iného aj konzistentnosť právnej úpravy a zabránenie neodôvodnených rozdielov, ktoré vznikali pri transpozícii európskych predpisov</w:t>
      </w:r>
      <w:r w:rsidRPr="00C94003">
        <w:t>.</w:t>
      </w:r>
    </w:p>
    <w:p w:rsidR="00A30EA7" w:rsidRPr="00C94003" w:rsidRDefault="00A30EA7" w:rsidP="00ED75DC">
      <w:pPr>
        <w:jc w:val="both"/>
      </w:pPr>
    </w:p>
    <w:p w:rsidR="006B4C5A" w:rsidRPr="00C94003" w:rsidRDefault="00602B97" w:rsidP="00ED75DC">
      <w:pPr>
        <w:jc w:val="both"/>
      </w:pPr>
      <w:r w:rsidRPr="00C94003">
        <w:t>Predkladateľ zvažoval viacero alternatív</w:t>
      </w:r>
      <w:r w:rsidR="00DC2F2E" w:rsidRPr="00C94003">
        <w:t xml:space="preserve">, avšak riešenie spočívajúce </w:t>
      </w:r>
      <w:r w:rsidR="00794CC4" w:rsidRPr="00C94003">
        <w:t xml:space="preserve">v </w:t>
      </w:r>
      <w:r w:rsidR="006B4C5A" w:rsidRPr="00C94003">
        <w:t>prijat</w:t>
      </w:r>
      <w:r w:rsidR="00794CC4" w:rsidRPr="00C94003">
        <w:t>í</w:t>
      </w:r>
      <w:r w:rsidR="006B4C5A" w:rsidRPr="00C94003">
        <w:t xml:space="preserve"> </w:t>
      </w:r>
      <w:r w:rsidR="00A055A3" w:rsidRPr="00C94003">
        <w:t xml:space="preserve">konsolidovanej </w:t>
      </w:r>
      <w:r w:rsidR="006B4C5A" w:rsidRPr="00C94003">
        <w:t xml:space="preserve">úpravy </w:t>
      </w:r>
      <w:r w:rsidR="00A055A3" w:rsidRPr="00C94003">
        <w:t xml:space="preserve">formou </w:t>
      </w:r>
      <w:r w:rsidR="00B479A3" w:rsidRPr="00C94003">
        <w:t>samostatného zákona</w:t>
      </w:r>
      <w:r w:rsidR="006B4C5A" w:rsidRPr="00C94003">
        <w:t xml:space="preserve">, ktorý zahrnie úpravu </w:t>
      </w:r>
      <w:r w:rsidR="00A055A3" w:rsidRPr="00C94003">
        <w:t xml:space="preserve">justičnej </w:t>
      </w:r>
      <w:r w:rsidR="006B4C5A" w:rsidRPr="00C94003">
        <w:t>spolupráce s tretími štátmi a aj úpravu spolupráce medzi členskými štátmi EÚ</w:t>
      </w:r>
      <w:r w:rsidR="00A055A3" w:rsidRPr="00C94003">
        <w:t>,</w:t>
      </w:r>
      <w:r w:rsidR="00794CC4" w:rsidRPr="00C94003">
        <w:t xml:space="preserve"> sa javí z hľadiska legislatívnej systematiky</w:t>
      </w:r>
      <w:r w:rsidR="00792937" w:rsidRPr="00C94003">
        <w:t>, legislatívnej techniky</w:t>
      </w:r>
      <w:r w:rsidR="00B479A3" w:rsidRPr="00C94003">
        <w:t xml:space="preserve"> </w:t>
      </w:r>
      <w:r w:rsidR="00794CC4" w:rsidRPr="00C94003">
        <w:t>a praktickej užitočnosti ako najlepšie</w:t>
      </w:r>
      <w:r w:rsidR="003A3CD2" w:rsidRPr="00C94003">
        <w:t xml:space="preserve"> riešenie</w:t>
      </w:r>
      <w:r w:rsidR="000B7E45" w:rsidRPr="00C94003">
        <w:t>. N</w:t>
      </w:r>
      <w:r w:rsidR="001A4ABC" w:rsidRPr="00C94003">
        <w:t>avyše</w:t>
      </w:r>
      <w:r w:rsidR="000B7E45" w:rsidRPr="00C94003">
        <w:t>, tento prístup</w:t>
      </w:r>
      <w:r w:rsidR="001A4ABC" w:rsidRPr="00C94003">
        <w:t xml:space="preserve"> si získal širšiu podporu i</w:t>
      </w:r>
      <w:r w:rsidR="003A3CD2" w:rsidRPr="00C94003">
        <w:t> v rámci predbežných konzultácií</w:t>
      </w:r>
      <w:r w:rsidR="001A4ABC" w:rsidRPr="00C94003">
        <w:t xml:space="preserve"> so zástupcami súdnictva a vybranými praktikmi</w:t>
      </w:r>
      <w:r w:rsidR="00794CC4" w:rsidRPr="00C94003">
        <w:t>.</w:t>
      </w:r>
    </w:p>
    <w:p w:rsidR="00C172A9" w:rsidRPr="00C94003" w:rsidRDefault="00C172A9" w:rsidP="00ED75DC">
      <w:pPr>
        <w:ind w:left="720"/>
        <w:jc w:val="both"/>
      </w:pPr>
    </w:p>
    <w:p w:rsidR="00C172A9" w:rsidRPr="00C94003" w:rsidRDefault="00602B97" w:rsidP="00ED75DC">
      <w:pPr>
        <w:jc w:val="both"/>
      </w:pPr>
      <w:r w:rsidRPr="00C94003">
        <w:t xml:space="preserve">Výhodou </w:t>
      </w:r>
      <w:r w:rsidR="00794CC4" w:rsidRPr="00C94003">
        <w:t xml:space="preserve">navrhovaného </w:t>
      </w:r>
      <w:r w:rsidRPr="00C94003">
        <w:t xml:space="preserve">prístupu </w:t>
      </w:r>
      <w:r w:rsidR="00B23B05" w:rsidRPr="00C94003">
        <w:t>je o</w:t>
      </w:r>
      <w:r w:rsidR="00C172A9" w:rsidRPr="00C94003">
        <w:t>bsiahnut</w:t>
      </w:r>
      <w:r w:rsidR="00B23B05" w:rsidRPr="00C94003">
        <w:t>ie</w:t>
      </w:r>
      <w:r w:rsidR="00792937" w:rsidRPr="00C94003">
        <w:t xml:space="preserve"> komplexnej</w:t>
      </w:r>
      <w:r w:rsidR="00C172A9" w:rsidRPr="00C94003">
        <w:t xml:space="preserve"> úprav</w:t>
      </w:r>
      <w:r w:rsidR="00B23B05" w:rsidRPr="00C94003">
        <w:t>y</w:t>
      </w:r>
      <w:r w:rsidR="00C172A9" w:rsidRPr="00C94003">
        <w:t xml:space="preserve"> cel</w:t>
      </w:r>
      <w:r w:rsidR="001A4ABC" w:rsidRPr="00C94003">
        <w:t xml:space="preserve">ej justičnej spolupráce v trestných veciach </w:t>
      </w:r>
      <w:r w:rsidR="00C172A9" w:rsidRPr="00C94003">
        <w:t xml:space="preserve">v jednom </w:t>
      </w:r>
      <w:r w:rsidR="00B23B05" w:rsidRPr="00C94003">
        <w:t xml:space="preserve">legislatívnom </w:t>
      </w:r>
      <w:r w:rsidR="00C172A9" w:rsidRPr="00C94003">
        <w:t>nástroj</w:t>
      </w:r>
      <w:r w:rsidR="00B23B05" w:rsidRPr="00C94003">
        <w:t>i, ktorý bude mať spoločnú úvodnú časť a </w:t>
      </w:r>
      <w:r w:rsidR="009E4261" w:rsidRPr="00C94003">
        <w:t>osobitné časti</w:t>
      </w:r>
      <w:r w:rsidR="00FB74C1" w:rsidRPr="00C94003">
        <w:t>. Tieto</w:t>
      </w:r>
      <w:r w:rsidR="00B23B05" w:rsidRPr="00C94003">
        <w:t xml:space="preserve"> budú venované vzťahom v rámci členských štátov EÚ</w:t>
      </w:r>
      <w:r w:rsidR="00FB74C1" w:rsidRPr="00C94003">
        <w:t xml:space="preserve">, </w:t>
      </w:r>
      <w:r w:rsidR="00ED75DC" w:rsidRPr="00C94003">
        <w:t>úpravu</w:t>
      </w:r>
      <w:r w:rsidR="00FB74C1" w:rsidRPr="00C94003">
        <w:t xml:space="preserve"> vzťahov s Európskou prokuratúrou nevynímajúc,</w:t>
      </w:r>
      <w:r w:rsidR="00ED75DC" w:rsidRPr="00C94003">
        <w:t xml:space="preserve"> </w:t>
      </w:r>
      <w:r w:rsidR="00B23B05" w:rsidRPr="00C94003">
        <w:t>a  štandardn</w:t>
      </w:r>
      <w:r w:rsidR="00CA5494" w:rsidRPr="00C94003">
        <w:t>ej</w:t>
      </w:r>
      <w:r w:rsidR="00B23B05" w:rsidRPr="00C94003">
        <w:t xml:space="preserve"> medzinárodn</w:t>
      </w:r>
      <w:r w:rsidR="00CA5494" w:rsidRPr="00C94003">
        <w:t>ej</w:t>
      </w:r>
      <w:r w:rsidR="00B23B05" w:rsidRPr="00C94003">
        <w:t xml:space="preserve"> spoluprác</w:t>
      </w:r>
      <w:r w:rsidR="00CA5494" w:rsidRPr="00C94003">
        <w:t>i (s tretími štátmi)</w:t>
      </w:r>
      <w:r w:rsidR="00FB74C1" w:rsidRPr="00C94003">
        <w:t>.</w:t>
      </w:r>
      <w:r w:rsidR="003A3CD2" w:rsidRPr="00C94003">
        <w:t xml:space="preserve"> </w:t>
      </w:r>
      <w:r w:rsidR="00FB74C1" w:rsidRPr="00C94003">
        <w:t>O</w:t>
      </w:r>
      <w:r w:rsidR="007C14D1" w:rsidRPr="00C94003">
        <w:t xml:space="preserve">sobitne </w:t>
      </w:r>
      <w:r w:rsidR="00FB74C1" w:rsidRPr="00C94003">
        <w:t xml:space="preserve">sa upraví </w:t>
      </w:r>
      <w:r w:rsidR="007C14D1" w:rsidRPr="00C94003">
        <w:t>spoluprác</w:t>
      </w:r>
      <w:r w:rsidR="00FB74C1" w:rsidRPr="00C94003">
        <w:t>a</w:t>
      </w:r>
      <w:r w:rsidR="007C14D1" w:rsidRPr="00C94003">
        <w:t xml:space="preserve"> s medzinárodnými súdmi</w:t>
      </w:r>
      <w:r w:rsidR="00940F0F" w:rsidRPr="00C94003">
        <w:t xml:space="preserve"> a medzinárodnými organizáciami</w:t>
      </w:r>
      <w:r w:rsidR="00B23B05" w:rsidRPr="00C94003">
        <w:t xml:space="preserve">. </w:t>
      </w:r>
    </w:p>
    <w:p w:rsidR="007C14D1" w:rsidRPr="00C94003" w:rsidRDefault="007C14D1" w:rsidP="00ED75DC">
      <w:pPr>
        <w:jc w:val="both"/>
      </w:pPr>
    </w:p>
    <w:p w:rsidR="00A055A3" w:rsidRPr="00C94003" w:rsidRDefault="003A3CD2" w:rsidP="00ED75DC">
      <w:pPr>
        <w:jc w:val="both"/>
      </w:pPr>
      <w:r w:rsidRPr="00C94003">
        <w:t>Právna úprava justičnej spolupráce v trestných veciach</w:t>
      </w:r>
      <w:r w:rsidR="0005625A" w:rsidRPr="00C94003">
        <w:t xml:space="preserve"> </w:t>
      </w:r>
      <w:r w:rsidR="00406333" w:rsidRPr="00C94003">
        <w:t>bud</w:t>
      </w:r>
      <w:r w:rsidRPr="00C94003">
        <w:t>e</w:t>
      </w:r>
      <w:r w:rsidR="00406333" w:rsidRPr="00C94003">
        <w:t xml:space="preserve"> mať</w:t>
      </w:r>
      <w:r w:rsidR="0005625A" w:rsidRPr="00C94003">
        <w:t xml:space="preserve"> povahu </w:t>
      </w:r>
      <w:r w:rsidR="0005625A" w:rsidRPr="00C94003">
        <w:rPr>
          <w:i/>
        </w:rPr>
        <w:t>lex specialis</w:t>
      </w:r>
      <w:r w:rsidR="0005625A" w:rsidRPr="00C94003">
        <w:t xml:space="preserve"> k ustanoveniam Trestného zákona </w:t>
      </w:r>
      <w:r w:rsidR="00C86518" w:rsidRPr="00C94003">
        <w:t xml:space="preserve">(„TZ“) </w:t>
      </w:r>
      <w:r w:rsidR="0005625A" w:rsidRPr="00C94003">
        <w:t>a Trestného poria</w:t>
      </w:r>
      <w:r w:rsidR="00044A88" w:rsidRPr="00C94003">
        <w:t>d</w:t>
      </w:r>
      <w:r w:rsidR="0005625A" w:rsidRPr="00C94003">
        <w:t>ku</w:t>
      </w:r>
      <w:r w:rsidR="00C86518" w:rsidRPr="00C94003">
        <w:t xml:space="preserve"> („TP“)</w:t>
      </w:r>
      <w:r w:rsidR="0005625A" w:rsidRPr="00C94003">
        <w:t xml:space="preserve">, ktoré </w:t>
      </w:r>
      <w:r w:rsidR="00406333" w:rsidRPr="00C94003">
        <w:t>sa budú</w:t>
      </w:r>
      <w:r w:rsidR="00A36D1C" w:rsidRPr="00C94003">
        <w:t xml:space="preserve"> </w:t>
      </w:r>
      <w:r w:rsidR="00406333" w:rsidRPr="00C94003">
        <w:t>aplikovať</w:t>
      </w:r>
      <w:r w:rsidR="0005625A" w:rsidRPr="00C94003">
        <w:t xml:space="preserve"> subsidiárne. </w:t>
      </w:r>
    </w:p>
    <w:p w:rsidR="00C86518" w:rsidRPr="00C94003" w:rsidRDefault="00C86518" w:rsidP="00ED75DC">
      <w:pPr>
        <w:jc w:val="both"/>
        <w:rPr>
          <w:b/>
        </w:rPr>
      </w:pPr>
    </w:p>
    <w:p w:rsidR="000C6E56" w:rsidRPr="00C94003" w:rsidRDefault="000C6E56" w:rsidP="00ED75DC">
      <w:pPr>
        <w:jc w:val="both"/>
        <w:rPr>
          <w:b/>
        </w:rPr>
      </w:pPr>
    </w:p>
    <w:p w:rsidR="00C172A9" w:rsidRPr="00C94003" w:rsidRDefault="00C172A9" w:rsidP="00611DD2">
      <w:pPr>
        <w:jc w:val="both"/>
        <w:rPr>
          <w:b/>
          <w:u w:val="single"/>
        </w:rPr>
      </w:pPr>
      <w:r w:rsidRPr="00C94003">
        <w:rPr>
          <w:b/>
          <w:u w:val="single"/>
        </w:rPr>
        <w:t>Štruktúra</w:t>
      </w:r>
    </w:p>
    <w:p w:rsidR="006F6786" w:rsidRPr="00C94003" w:rsidRDefault="006F6786" w:rsidP="00ED75DC">
      <w:pPr>
        <w:jc w:val="both"/>
        <w:rPr>
          <w:b/>
          <w:i/>
        </w:rPr>
      </w:pPr>
    </w:p>
    <w:p w:rsidR="006F6786" w:rsidRPr="00C94003" w:rsidRDefault="006F6786" w:rsidP="00ED75DC">
      <w:pPr>
        <w:jc w:val="both"/>
      </w:pPr>
      <w:r w:rsidRPr="00C94003">
        <w:t>Nový zákon by mal upravovať:</w:t>
      </w:r>
    </w:p>
    <w:p w:rsidR="008C524A" w:rsidRPr="00C94003" w:rsidRDefault="008C524A" w:rsidP="00ED75DC">
      <w:pPr>
        <w:jc w:val="both"/>
      </w:pPr>
    </w:p>
    <w:p w:rsidR="006F6786" w:rsidRPr="00C94003" w:rsidRDefault="00940F0F" w:rsidP="00ED75DC">
      <w:pPr>
        <w:numPr>
          <w:ilvl w:val="0"/>
          <w:numId w:val="1"/>
        </w:numPr>
        <w:jc w:val="both"/>
        <w:rPr>
          <w:i/>
          <w:u w:val="single"/>
        </w:rPr>
      </w:pPr>
      <w:r w:rsidRPr="00C94003">
        <w:rPr>
          <w:i/>
          <w:u w:val="single"/>
        </w:rPr>
        <w:t>Ú</w:t>
      </w:r>
      <w:r w:rsidR="006F6786" w:rsidRPr="00C94003">
        <w:rPr>
          <w:i/>
          <w:u w:val="single"/>
        </w:rPr>
        <w:t>vodné všeobecné ustanovenia (</w:t>
      </w:r>
      <w:r w:rsidR="00D17444" w:rsidRPr="00C94003">
        <w:rPr>
          <w:i/>
          <w:u w:val="single"/>
        </w:rPr>
        <w:t>vymedzenie základných pojmov</w:t>
      </w:r>
      <w:r w:rsidR="006F6786" w:rsidRPr="00C94003">
        <w:rPr>
          <w:i/>
          <w:u w:val="single"/>
        </w:rPr>
        <w:t xml:space="preserve"> a základné princípy</w:t>
      </w:r>
      <w:r w:rsidR="00A36D1C" w:rsidRPr="00C94003">
        <w:rPr>
          <w:i/>
          <w:u w:val="single"/>
        </w:rPr>
        <w:t xml:space="preserve"> </w:t>
      </w:r>
      <w:r w:rsidR="00BD2164" w:rsidRPr="00C94003">
        <w:rPr>
          <w:i/>
          <w:u w:val="single"/>
        </w:rPr>
        <w:t>/</w:t>
      </w:r>
      <w:r w:rsidR="00A36D1C" w:rsidRPr="00C94003">
        <w:rPr>
          <w:i/>
          <w:u w:val="single"/>
        </w:rPr>
        <w:t xml:space="preserve"> </w:t>
      </w:r>
      <w:r w:rsidR="00BD2164" w:rsidRPr="00C94003">
        <w:rPr>
          <w:i/>
          <w:u w:val="single"/>
        </w:rPr>
        <w:t>zásady</w:t>
      </w:r>
      <w:r w:rsidR="006F6786" w:rsidRPr="00C94003">
        <w:rPr>
          <w:i/>
          <w:u w:val="single"/>
        </w:rPr>
        <w:t>)</w:t>
      </w:r>
    </w:p>
    <w:p w:rsidR="008C524A" w:rsidRPr="00C94003" w:rsidRDefault="008C524A" w:rsidP="00363128">
      <w:pPr>
        <w:jc w:val="both"/>
      </w:pPr>
    </w:p>
    <w:p w:rsidR="0026564C" w:rsidRPr="00C94003" w:rsidRDefault="0026564C" w:rsidP="00940F0F">
      <w:pPr>
        <w:ind w:left="284"/>
        <w:jc w:val="both"/>
      </w:pPr>
      <w:r w:rsidRPr="00C94003">
        <w:t>Úvodná časť by mala definovať základné koncepty, zásady a pojmy, ktoré sú kľúčové z hľadiska justičnej spolupráce v trestných veciach, pričom svoj význam budú mať tieto ustanovenia pre budúci zákon a jeho jednotlivé časti. Východiskom bude prvá hlava piatej časti Trestného poriadku, ktorá bude predmetom vyhodnotenia z hľadiska potreby prípadných zmien a doplnení nielen z hľadiska špecifík práva</w:t>
      </w:r>
      <w:r w:rsidR="001E4A2B" w:rsidRPr="00C94003">
        <w:t xml:space="preserve"> EÚ</w:t>
      </w:r>
      <w:r w:rsidRPr="00C94003">
        <w:t xml:space="preserve">, ale aj z hľadiska aktualizácie ustálených konceptov univerzálneho charakteru. Spôsob spracovania tejto oblasti by mal vyplynúť z analýz existujúcej právnej úpravy v kontexte diskusie odborníkov špecializujúcich sa na túto oblasť práva tak, aby bola ustálená </w:t>
      </w:r>
      <w:r w:rsidR="008D3112" w:rsidRPr="00C94003">
        <w:t>termin</w:t>
      </w:r>
      <w:r w:rsidRPr="00C94003">
        <w:t>ológia aplikovateľná naprieč celým zákonom, vrátane bodov 3 až 5 tejto časti.</w:t>
      </w:r>
    </w:p>
    <w:p w:rsidR="0005184A" w:rsidRPr="00C94003" w:rsidRDefault="0005184A" w:rsidP="00363128">
      <w:pPr>
        <w:ind w:left="720"/>
        <w:jc w:val="both"/>
      </w:pPr>
    </w:p>
    <w:p w:rsidR="00FB713A" w:rsidRPr="00C94003" w:rsidRDefault="00940F0F" w:rsidP="0007161E">
      <w:pPr>
        <w:numPr>
          <w:ilvl w:val="0"/>
          <w:numId w:val="1"/>
        </w:numPr>
        <w:jc w:val="both"/>
        <w:rPr>
          <w:i/>
          <w:u w:val="single"/>
        </w:rPr>
      </w:pPr>
      <w:r w:rsidRPr="00C94003">
        <w:rPr>
          <w:i/>
          <w:u w:val="single"/>
        </w:rPr>
        <w:t>Ú</w:t>
      </w:r>
      <w:r w:rsidR="00FB713A" w:rsidRPr="00C94003">
        <w:rPr>
          <w:i/>
          <w:u w:val="single"/>
        </w:rPr>
        <w:t>prav</w:t>
      </w:r>
      <w:r w:rsidR="009D438D" w:rsidRPr="00C94003">
        <w:rPr>
          <w:i/>
          <w:u w:val="single"/>
        </w:rPr>
        <w:t>a</w:t>
      </w:r>
      <w:r w:rsidR="00FB713A" w:rsidRPr="00C94003">
        <w:rPr>
          <w:i/>
          <w:u w:val="single"/>
        </w:rPr>
        <w:t xml:space="preserve"> </w:t>
      </w:r>
      <w:r w:rsidR="009D438D" w:rsidRPr="00C94003">
        <w:rPr>
          <w:i/>
          <w:u w:val="single"/>
        </w:rPr>
        <w:t xml:space="preserve">justičnej </w:t>
      </w:r>
      <w:r w:rsidR="00FB713A" w:rsidRPr="00C94003">
        <w:rPr>
          <w:i/>
          <w:u w:val="single"/>
        </w:rPr>
        <w:t>spolupráce s tretími štátmi</w:t>
      </w:r>
      <w:r w:rsidR="009D438D" w:rsidRPr="00C94003">
        <w:rPr>
          <w:i/>
          <w:u w:val="single"/>
        </w:rPr>
        <w:t xml:space="preserve"> v trestných veciach</w:t>
      </w:r>
      <w:r w:rsidR="00FB713A" w:rsidRPr="00C94003">
        <w:rPr>
          <w:i/>
          <w:u w:val="single"/>
        </w:rPr>
        <w:t xml:space="preserve"> </w:t>
      </w:r>
      <w:r w:rsidR="0048232A" w:rsidRPr="00C94003">
        <w:rPr>
          <w:i/>
          <w:u w:val="single"/>
        </w:rPr>
        <w:t>a</w:t>
      </w:r>
      <w:r w:rsidR="009D438D" w:rsidRPr="00C94003">
        <w:rPr>
          <w:i/>
          <w:u w:val="single"/>
        </w:rPr>
        <w:t xml:space="preserve"> členskými štátmi EÚ nezúčastnený</w:t>
      </w:r>
      <w:r w:rsidR="0048232A" w:rsidRPr="00C94003">
        <w:rPr>
          <w:i/>
          <w:u w:val="single"/>
        </w:rPr>
        <w:t>mi</w:t>
      </w:r>
      <w:r w:rsidR="009D438D" w:rsidRPr="00C94003">
        <w:rPr>
          <w:i/>
          <w:u w:val="single"/>
        </w:rPr>
        <w:t xml:space="preserve"> na niektorých právnych aktoch EÚ </w:t>
      </w:r>
      <w:r w:rsidR="00FB713A" w:rsidRPr="00C94003">
        <w:rPr>
          <w:i/>
          <w:u w:val="single"/>
        </w:rPr>
        <w:t xml:space="preserve">(súčasná aktualizovaná V. časť </w:t>
      </w:r>
      <w:r w:rsidR="00C86518" w:rsidRPr="00C94003">
        <w:rPr>
          <w:i/>
          <w:u w:val="single"/>
        </w:rPr>
        <w:t>TP</w:t>
      </w:r>
      <w:r w:rsidR="00FB713A" w:rsidRPr="00C94003">
        <w:rPr>
          <w:i/>
          <w:u w:val="single"/>
        </w:rPr>
        <w:t>)</w:t>
      </w:r>
    </w:p>
    <w:p w:rsidR="0005184A" w:rsidRPr="00C94003" w:rsidRDefault="0005184A" w:rsidP="00363128">
      <w:pPr>
        <w:jc w:val="both"/>
        <w:rPr>
          <w:i/>
        </w:rPr>
      </w:pPr>
    </w:p>
    <w:p w:rsidR="00D058A2" w:rsidRPr="00C94003" w:rsidRDefault="00D058A2" w:rsidP="00940F0F">
      <w:pPr>
        <w:ind w:left="284"/>
        <w:jc w:val="both"/>
      </w:pPr>
      <w:r w:rsidRPr="00C94003">
        <w:t xml:space="preserve">Piata časť Trestného poriadku bola spracovaná a kodifikovaná pred viac ako pätnástimi rokmi a zásahy, ktoré boli vykonané v priebehu tohto obdobia, </w:t>
      </w:r>
      <w:r w:rsidR="00425B49" w:rsidRPr="00C94003">
        <w:t>nereflektovali v plnom rozsahu potreby aplikačnej praxe</w:t>
      </w:r>
      <w:r w:rsidRPr="00C94003">
        <w:t xml:space="preserve">. Jednotlivé ustanovenia by mali byť analyzované a </w:t>
      </w:r>
      <w:r w:rsidRPr="00C94003">
        <w:lastRenderedPageBreak/>
        <w:t>upravené tak, aby poskytli jednoznačný súbor pravidiel pre spoluprácu s tretími štátmi reagujúc i na problémy a otázky načrtnuté v ďalšej časti legislatívneho zámeru. Súčasťou spracovania tejto časti bude v neposlednom rade aj revízia komplexnosti implementácie medzinárodných zmlúv, ktorými je Slovenská republika viazaná (identifikácia existujúceho implementačného deficitu). Legislatívne práce by mali indikovať i podnety z hľadiska aktuálnych trendov v oblasti justičnej spolupráce v trestných veciach, na ktoré piata časť Trestného poriadku zatiaľ osobitne nereagovala. Táto časť by mala upravovať aj spoluprácu s členskými štátmi</w:t>
      </w:r>
      <w:r w:rsidR="001E4A2B" w:rsidRPr="00C94003">
        <w:t xml:space="preserve"> EÚ</w:t>
      </w:r>
      <w:r w:rsidRPr="00C94003">
        <w:t>, ktoré nie sú viazané nástrojmi</w:t>
      </w:r>
      <w:r w:rsidR="001E4A2B" w:rsidRPr="00C94003">
        <w:t xml:space="preserve"> EÚ</w:t>
      </w:r>
      <w:r w:rsidRPr="00C94003">
        <w:t xml:space="preserve">, vychádzajúc pri tom z ich osobitného postavenia upraveného Zmluvou o fungovaní </w:t>
      </w:r>
      <w:r w:rsidR="001E4A2B" w:rsidRPr="00C94003">
        <w:t xml:space="preserve">EÚ </w:t>
      </w:r>
      <w:r w:rsidRPr="00C94003">
        <w:t>a jej protokolov.</w:t>
      </w:r>
    </w:p>
    <w:p w:rsidR="0005184A" w:rsidRPr="00C94003" w:rsidRDefault="0005184A" w:rsidP="00363128">
      <w:pPr>
        <w:ind w:left="720"/>
      </w:pPr>
    </w:p>
    <w:p w:rsidR="009E2E29" w:rsidRPr="00C94003" w:rsidRDefault="00940F0F" w:rsidP="0007161E">
      <w:pPr>
        <w:numPr>
          <w:ilvl w:val="0"/>
          <w:numId w:val="1"/>
        </w:numPr>
        <w:jc w:val="both"/>
        <w:rPr>
          <w:i/>
          <w:u w:val="single"/>
        </w:rPr>
      </w:pPr>
      <w:r w:rsidRPr="00C94003">
        <w:rPr>
          <w:i/>
          <w:u w:val="single"/>
        </w:rPr>
        <w:t>Ú</w:t>
      </w:r>
      <w:r w:rsidR="009D438D" w:rsidRPr="00C94003">
        <w:rPr>
          <w:i/>
          <w:u w:val="single"/>
        </w:rPr>
        <w:t>prava spolupráce Slovenskej republiky s členskými štátmi EÚ  (spolu so zásadami  a princípmi vlastnými pre túto oblasť vzťahov)</w:t>
      </w:r>
      <w:r w:rsidR="00FE74A9" w:rsidRPr="00C94003">
        <w:rPr>
          <w:i/>
          <w:u w:val="single"/>
        </w:rPr>
        <w:t xml:space="preserve"> </w:t>
      </w:r>
      <w:r w:rsidR="009D438D" w:rsidRPr="00C94003">
        <w:rPr>
          <w:u w:val="single"/>
        </w:rPr>
        <w:t xml:space="preserve">- </w:t>
      </w:r>
      <w:r w:rsidR="008D3112" w:rsidRPr="00C94003">
        <w:rPr>
          <w:i/>
          <w:u w:val="single"/>
        </w:rPr>
        <w:t xml:space="preserve">jednotlivé revidované </w:t>
      </w:r>
      <w:r w:rsidR="009D438D" w:rsidRPr="00C94003">
        <w:rPr>
          <w:i/>
          <w:u w:val="single"/>
        </w:rPr>
        <w:t>osobitné</w:t>
      </w:r>
      <w:r w:rsidR="008D3112" w:rsidRPr="00C94003">
        <w:rPr>
          <w:i/>
          <w:u w:val="single"/>
        </w:rPr>
        <w:t xml:space="preserve"> transpozičné  zákony</w:t>
      </w:r>
    </w:p>
    <w:p w:rsidR="00FE74A9" w:rsidRPr="00C94003" w:rsidRDefault="00FE74A9" w:rsidP="00363128">
      <w:pPr>
        <w:rPr>
          <w:i/>
        </w:rPr>
      </w:pPr>
    </w:p>
    <w:p w:rsidR="00FE74A9" w:rsidRPr="00C94003" w:rsidRDefault="00FE74A9" w:rsidP="00940F0F">
      <w:pPr>
        <w:ind w:left="284"/>
        <w:jc w:val="both"/>
      </w:pPr>
      <w:r w:rsidRPr="00C94003">
        <w:t xml:space="preserve">Nový súbor ustanovení, by mal predstavovať výsledok konsolidácie katalógu jednotlivých transpozičných zákonov v oblasti justičnej spolupráce v trestných veciach, ktorej </w:t>
      </w:r>
      <w:r w:rsidR="0048232A" w:rsidRPr="00C94003">
        <w:t xml:space="preserve"> základným </w:t>
      </w:r>
      <w:r w:rsidRPr="00C94003">
        <w:t xml:space="preserve">východiskom je zásada vzájomného uznávania a ktorých zoznam je v prílohe legislatívneho zámeru. Ucelená časť, ktorá bude výsledkom analýz zameraných na koherentné uplatnenie jednotlivých prierezových prvkov a ktorá bude reagovať i na </w:t>
      </w:r>
      <w:r w:rsidR="002107A3" w:rsidRPr="00C94003">
        <w:t>zistenia o </w:t>
      </w:r>
      <w:r w:rsidRPr="00C94003">
        <w:t>aplikačn</w:t>
      </w:r>
      <w:r w:rsidR="002107A3" w:rsidRPr="00C94003">
        <w:t xml:space="preserve">ých </w:t>
      </w:r>
      <w:r w:rsidRPr="00C94003">
        <w:t>a</w:t>
      </w:r>
      <w:r w:rsidR="002107A3" w:rsidRPr="00C94003">
        <w:t> </w:t>
      </w:r>
      <w:r w:rsidRPr="00C94003">
        <w:t>transpozičn</w:t>
      </w:r>
      <w:r w:rsidR="002107A3" w:rsidRPr="00C94003">
        <w:t>ých deficitov</w:t>
      </w:r>
      <w:r w:rsidR="001A7D41" w:rsidRPr="00C94003">
        <w:t xml:space="preserve"> </w:t>
      </w:r>
      <w:r w:rsidR="000C6E56" w:rsidRPr="00C94003">
        <w:t>v</w:t>
      </w:r>
      <w:r w:rsidR="001A7D41" w:rsidRPr="00C94003">
        <w:t> zmysle nižšie uvedených podnetov na konsolidáciu a revíziu.</w:t>
      </w:r>
    </w:p>
    <w:p w:rsidR="002107A3" w:rsidRPr="00C94003" w:rsidRDefault="002107A3" w:rsidP="00363128">
      <w:pPr>
        <w:ind w:left="720"/>
      </w:pPr>
    </w:p>
    <w:p w:rsidR="009D438D" w:rsidRPr="00C94003" w:rsidRDefault="00940F0F" w:rsidP="009E2E29">
      <w:pPr>
        <w:numPr>
          <w:ilvl w:val="0"/>
          <w:numId w:val="1"/>
        </w:numPr>
        <w:rPr>
          <w:i/>
          <w:u w:val="single"/>
        </w:rPr>
      </w:pPr>
      <w:r w:rsidRPr="00C94003">
        <w:rPr>
          <w:i/>
          <w:u w:val="single"/>
        </w:rPr>
        <w:t>S</w:t>
      </w:r>
      <w:r w:rsidR="009D438D" w:rsidRPr="00C94003">
        <w:rPr>
          <w:i/>
          <w:u w:val="single"/>
        </w:rPr>
        <w:t>polupráca s Európskou prokuratúrou</w:t>
      </w:r>
    </w:p>
    <w:p w:rsidR="002107A3" w:rsidRPr="00C94003" w:rsidRDefault="002107A3" w:rsidP="00363128">
      <w:pPr>
        <w:ind w:left="720"/>
        <w:rPr>
          <w:i/>
        </w:rPr>
      </w:pPr>
    </w:p>
    <w:p w:rsidR="002107A3" w:rsidRPr="00C94003" w:rsidRDefault="001A7D41" w:rsidP="00940F0F">
      <w:pPr>
        <w:ind w:left="284"/>
        <w:jc w:val="both"/>
      </w:pPr>
      <w:r w:rsidRPr="00C94003">
        <w:t>Táto časť zohľadní výsledky i</w:t>
      </w:r>
      <w:r w:rsidR="002107A3" w:rsidRPr="00C94003">
        <w:t>mplementačn</w:t>
      </w:r>
      <w:r w:rsidRPr="00C94003">
        <w:t>ej</w:t>
      </w:r>
      <w:r w:rsidR="002107A3" w:rsidRPr="00C94003">
        <w:t xml:space="preserve"> medzirezortn</w:t>
      </w:r>
      <w:r w:rsidRPr="00C94003">
        <w:t>ej</w:t>
      </w:r>
      <w:r w:rsidR="002107A3" w:rsidRPr="00C94003">
        <w:t xml:space="preserve"> pracovn</w:t>
      </w:r>
      <w:r w:rsidRPr="00C94003">
        <w:t>ej</w:t>
      </w:r>
      <w:r w:rsidR="002107A3" w:rsidRPr="00C94003">
        <w:t xml:space="preserve"> skupin</w:t>
      </w:r>
      <w:r w:rsidRPr="00C94003">
        <w:t>y</w:t>
      </w:r>
      <w:r w:rsidR="002107A3" w:rsidRPr="00C94003">
        <w:t xml:space="preserve"> pre analýzu legislatívnych opatrení pre nariadenie Rady (EÚ) 2017/1939 z 12. októbra 2017, ktorým sa vykonáva posilnená spolupráca na účely zriadenia Európskej prokuratúry</w:t>
      </w:r>
      <w:r w:rsidR="008D3112" w:rsidRPr="00C94003">
        <w:t>.</w:t>
      </w:r>
      <w:r w:rsidR="002107A3" w:rsidRPr="00C94003">
        <w:t xml:space="preserve"> Rovnako </w:t>
      </w:r>
      <w:r w:rsidRPr="00C94003">
        <w:t xml:space="preserve">zohľadní </w:t>
      </w:r>
      <w:r w:rsidR="002107A3" w:rsidRPr="00C94003">
        <w:t>prebiehajúc</w:t>
      </w:r>
      <w:r w:rsidRPr="00C94003">
        <w:t>u</w:t>
      </w:r>
      <w:r w:rsidR="002107A3" w:rsidRPr="00C94003">
        <w:t xml:space="preserve"> diskusi</w:t>
      </w:r>
      <w:r w:rsidRPr="00C94003">
        <w:t>u</w:t>
      </w:r>
      <w:r w:rsidR="002107A3" w:rsidRPr="00C94003">
        <w:t xml:space="preserve"> na rokovaniach organizovaných Európskou komisiou z hľadiska voľby </w:t>
      </w:r>
      <w:r w:rsidR="009E3977" w:rsidRPr="00C94003">
        <w:t xml:space="preserve">najvhodnejších </w:t>
      </w:r>
      <w:r w:rsidR="002107A3" w:rsidRPr="00C94003">
        <w:t xml:space="preserve">postupov pri justičnej spolupráci </w:t>
      </w:r>
      <w:r w:rsidR="008D3112" w:rsidRPr="00C94003">
        <w:t xml:space="preserve">Európskej prokuratúry </w:t>
      </w:r>
      <w:r w:rsidR="002107A3" w:rsidRPr="00C94003">
        <w:t xml:space="preserve">s tretími </w:t>
      </w:r>
      <w:r w:rsidR="008D3112" w:rsidRPr="00C94003">
        <w:t xml:space="preserve">štátmi </w:t>
      </w:r>
      <w:r w:rsidR="002107A3" w:rsidRPr="00C94003">
        <w:t xml:space="preserve">a nezúčastnenými </w:t>
      </w:r>
      <w:r w:rsidR="008D3112" w:rsidRPr="00C94003">
        <w:t xml:space="preserve">členskými </w:t>
      </w:r>
      <w:r w:rsidR="002107A3" w:rsidRPr="00C94003">
        <w:t xml:space="preserve">štátmi </w:t>
      </w:r>
      <w:r w:rsidR="008D3112" w:rsidRPr="00C94003">
        <w:t>EÚ</w:t>
      </w:r>
      <w:r w:rsidR="002107A3" w:rsidRPr="00C94003">
        <w:t>.</w:t>
      </w:r>
      <w:r w:rsidR="009E3977" w:rsidRPr="00C94003">
        <w:t xml:space="preserve"> </w:t>
      </w:r>
      <w:r w:rsidR="008D3112" w:rsidRPr="00C94003">
        <w:t>Táto právna úprava bude mať osobitný charakter</w:t>
      </w:r>
      <w:r w:rsidR="009E3977" w:rsidRPr="00C94003">
        <w:t>, vzhľadom na jedinečnú povahu Európskej prokuratúry.</w:t>
      </w:r>
    </w:p>
    <w:p w:rsidR="002107A3" w:rsidRPr="00C94003" w:rsidRDefault="002107A3" w:rsidP="00363128">
      <w:pPr>
        <w:ind w:left="720"/>
      </w:pPr>
    </w:p>
    <w:p w:rsidR="009D438D" w:rsidRPr="00C94003" w:rsidRDefault="00940F0F" w:rsidP="0007161E">
      <w:pPr>
        <w:numPr>
          <w:ilvl w:val="0"/>
          <w:numId w:val="1"/>
        </w:numPr>
        <w:jc w:val="both"/>
        <w:rPr>
          <w:i/>
          <w:u w:val="single"/>
        </w:rPr>
      </w:pPr>
      <w:r w:rsidRPr="00C94003">
        <w:rPr>
          <w:i/>
          <w:u w:val="single"/>
        </w:rPr>
        <w:t>S</w:t>
      </w:r>
      <w:r w:rsidR="009D438D" w:rsidRPr="00C94003">
        <w:rPr>
          <w:i/>
          <w:u w:val="single"/>
        </w:rPr>
        <w:t xml:space="preserve">poluprácu s agentúrami EÚ: Eurojust (vrátane Európskej justičnej siete), OLAF, Europol </w:t>
      </w:r>
    </w:p>
    <w:p w:rsidR="002107A3" w:rsidRPr="00C94003" w:rsidRDefault="002107A3" w:rsidP="00363128">
      <w:pPr>
        <w:rPr>
          <w:i/>
        </w:rPr>
      </w:pPr>
    </w:p>
    <w:p w:rsidR="002107A3" w:rsidRPr="00C94003" w:rsidRDefault="00940F0F" w:rsidP="00940F0F">
      <w:pPr>
        <w:ind w:left="284"/>
        <w:jc w:val="both"/>
      </w:pPr>
      <w:r w:rsidRPr="00C94003">
        <w:t>Vhodná p</w:t>
      </w:r>
      <w:r w:rsidR="008D3112" w:rsidRPr="00C94003">
        <w:t>rávna úpr</w:t>
      </w:r>
      <w:r w:rsidRPr="00C94003">
        <w:t>ava, ktorá by doplnila predpisy</w:t>
      </w:r>
      <w:r w:rsidR="008D3112" w:rsidRPr="00C94003">
        <w:t xml:space="preserve"> </w:t>
      </w:r>
      <w:r w:rsidRPr="00C94003">
        <w:t xml:space="preserve">EÚ upravujúce </w:t>
      </w:r>
      <w:r w:rsidR="008D3112" w:rsidRPr="00C94003">
        <w:t>postavenie a činnosť uvedených agentúr EÚ</w:t>
      </w:r>
      <w:r w:rsidRPr="00C94003">
        <w:t xml:space="preserve">, by mohla </w:t>
      </w:r>
      <w:r w:rsidR="00024837" w:rsidRPr="00C94003">
        <w:t>poskytnúť usmernenie pre vnútroštátne orgány</w:t>
      </w:r>
      <w:r w:rsidRPr="00C94003">
        <w:t>.</w:t>
      </w:r>
    </w:p>
    <w:p w:rsidR="00024837" w:rsidRPr="00C94003" w:rsidRDefault="00024837" w:rsidP="00363128">
      <w:pPr>
        <w:ind w:left="644"/>
      </w:pPr>
    </w:p>
    <w:p w:rsidR="006F6786" w:rsidRPr="00C94003" w:rsidRDefault="00940F0F" w:rsidP="005F276F">
      <w:pPr>
        <w:numPr>
          <w:ilvl w:val="0"/>
          <w:numId w:val="1"/>
        </w:numPr>
        <w:rPr>
          <w:i/>
          <w:u w:val="single"/>
        </w:rPr>
      </w:pPr>
      <w:r w:rsidRPr="00C94003">
        <w:rPr>
          <w:i/>
          <w:u w:val="single"/>
        </w:rPr>
        <w:t>S</w:t>
      </w:r>
      <w:r w:rsidR="006F6786" w:rsidRPr="00C94003">
        <w:rPr>
          <w:i/>
          <w:u w:val="single"/>
        </w:rPr>
        <w:t>poluprác</w:t>
      </w:r>
      <w:r w:rsidR="009D438D" w:rsidRPr="00C94003">
        <w:rPr>
          <w:i/>
          <w:u w:val="single"/>
        </w:rPr>
        <w:t>a</w:t>
      </w:r>
      <w:r w:rsidR="006F6786" w:rsidRPr="00C94003">
        <w:rPr>
          <w:i/>
          <w:u w:val="single"/>
        </w:rPr>
        <w:t xml:space="preserve"> s medzinárodnými súdmi</w:t>
      </w:r>
      <w:r w:rsidRPr="00C94003">
        <w:rPr>
          <w:i/>
          <w:u w:val="single"/>
        </w:rPr>
        <w:t xml:space="preserve"> a medzinárodnými organizáciami</w:t>
      </w:r>
    </w:p>
    <w:p w:rsidR="008D615F" w:rsidRPr="00C94003" w:rsidRDefault="008D615F" w:rsidP="00363128">
      <w:pPr>
        <w:ind w:left="644"/>
        <w:jc w:val="both"/>
      </w:pPr>
    </w:p>
    <w:p w:rsidR="001A7D41" w:rsidRPr="00C94003" w:rsidRDefault="001A7D41" w:rsidP="00940F0F">
      <w:pPr>
        <w:ind w:left="284"/>
        <w:jc w:val="both"/>
      </w:pPr>
      <w:r w:rsidRPr="00C94003">
        <w:t>Táto časť by mala ucelene upraviť podmienky spolupráce s medzinárodnými súdmi a medzinárodnými organizáciami tak, aby s nimi bola umožnená efektívna spolupráca.</w:t>
      </w:r>
    </w:p>
    <w:p w:rsidR="001A7D41" w:rsidRPr="00C94003" w:rsidRDefault="001A7D41" w:rsidP="00363128">
      <w:pPr>
        <w:ind w:left="644"/>
      </w:pPr>
    </w:p>
    <w:p w:rsidR="006F6786" w:rsidRPr="00C94003" w:rsidRDefault="00940F0F" w:rsidP="005F276F">
      <w:pPr>
        <w:numPr>
          <w:ilvl w:val="0"/>
          <w:numId w:val="1"/>
        </w:numPr>
        <w:rPr>
          <w:i/>
          <w:u w:val="single"/>
        </w:rPr>
      </w:pPr>
      <w:r w:rsidRPr="00C94003">
        <w:rPr>
          <w:i/>
          <w:u w:val="single"/>
        </w:rPr>
        <w:t>S</w:t>
      </w:r>
      <w:r w:rsidR="00BD2164" w:rsidRPr="00C94003">
        <w:rPr>
          <w:i/>
          <w:u w:val="single"/>
        </w:rPr>
        <w:t>poločné, prechodné a záverečné ustanovenia</w:t>
      </w:r>
      <w:r w:rsidR="006F6786" w:rsidRPr="00C94003">
        <w:rPr>
          <w:i/>
          <w:u w:val="single"/>
        </w:rPr>
        <w:t>.</w:t>
      </w:r>
    </w:p>
    <w:p w:rsidR="00024837" w:rsidRPr="00C94003" w:rsidRDefault="00024837" w:rsidP="0007161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37" w:rsidRPr="00C94003" w:rsidRDefault="00A21DB2" w:rsidP="00940F0F">
      <w:pPr>
        <w:ind w:left="284"/>
        <w:jc w:val="both"/>
      </w:pPr>
      <w:r w:rsidRPr="00C94003">
        <w:t>Ustanovenia b</w:t>
      </w:r>
      <w:r w:rsidR="00940F0F" w:rsidRPr="00C94003">
        <w:t>y mali</w:t>
      </w:r>
      <w:r w:rsidRPr="00C94003">
        <w:t xml:space="preserve"> reagovať na potreby legislatívne vyjasniť uplat</w:t>
      </w:r>
      <w:r w:rsidR="001A7D41" w:rsidRPr="00C94003">
        <w:t>ňovanie</w:t>
      </w:r>
      <w:r w:rsidRPr="00C94003">
        <w:t xml:space="preserve"> novej právnej úpravy.</w:t>
      </w:r>
    </w:p>
    <w:p w:rsidR="009E3977" w:rsidRPr="00C94003" w:rsidRDefault="009E3977" w:rsidP="00363128">
      <w:pPr>
        <w:ind w:left="644"/>
      </w:pPr>
    </w:p>
    <w:p w:rsidR="000C6E56" w:rsidRPr="00C94003" w:rsidRDefault="000C6E56" w:rsidP="00363128">
      <w:pPr>
        <w:ind w:left="644"/>
      </w:pPr>
    </w:p>
    <w:p w:rsidR="000C6E56" w:rsidRPr="00C94003" w:rsidRDefault="000C6E56" w:rsidP="00363128">
      <w:pPr>
        <w:ind w:left="644"/>
      </w:pPr>
    </w:p>
    <w:p w:rsidR="000C6E56" w:rsidRPr="00C94003" w:rsidRDefault="000C6E56" w:rsidP="00363128">
      <w:pPr>
        <w:ind w:left="644"/>
      </w:pPr>
    </w:p>
    <w:p w:rsidR="005C0540" w:rsidRPr="00C94003" w:rsidRDefault="001A4ABC" w:rsidP="00611DD2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C94003">
        <w:rPr>
          <w:b/>
        </w:rPr>
        <w:lastRenderedPageBreak/>
        <w:t xml:space="preserve">Justičná spolupráca v trestných veciach </w:t>
      </w:r>
      <w:r w:rsidR="00991DAD" w:rsidRPr="00C94003">
        <w:rPr>
          <w:b/>
        </w:rPr>
        <w:t xml:space="preserve">s tretími štátmi </w:t>
      </w:r>
      <w:r w:rsidR="00A30EA7" w:rsidRPr="00C94003">
        <w:rPr>
          <w:b/>
        </w:rPr>
        <w:t>– podnety na revíziu</w:t>
      </w:r>
    </w:p>
    <w:p w:rsidR="00C172A9" w:rsidRPr="00C94003" w:rsidRDefault="00C172A9" w:rsidP="00ED75DC">
      <w:pPr>
        <w:jc w:val="both"/>
      </w:pPr>
    </w:p>
    <w:p w:rsidR="005C0540" w:rsidRPr="00C94003" w:rsidRDefault="004330AD" w:rsidP="00ED75DC">
      <w:pPr>
        <w:jc w:val="both"/>
      </w:pPr>
      <w:r w:rsidRPr="00C94003">
        <w:t>P</w:t>
      </w:r>
      <w:r w:rsidR="001C4C26" w:rsidRPr="00C94003">
        <w:t xml:space="preserve">redkladaný legislatívny zámer nemá za cieľ </w:t>
      </w:r>
      <w:r w:rsidR="00174EA4" w:rsidRPr="00C94003">
        <w:t xml:space="preserve">zásadným spôsobom </w:t>
      </w:r>
      <w:r w:rsidR="001C4C26" w:rsidRPr="00C94003">
        <w:t>meniť existujúce</w:t>
      </w:r>
      <w:r w:rsidR="00455CDD" w:rsidRPr="00C94003">
        <w:t xml:space="preserve"> postupy</w:t>
      </w:r>
      <w:r w:rsidR="003B44A9" w:rsidRPr="00C94003">
        <w:t xml:space="preserve"> a</w:t>
      </w:r>
      <w:r w:rsidR="00455CDD" w:rsidRPr="00C94003">
        <w:t xml:space="preserve"> </w:t>
      </w:r>
      <w:r w:rsidR="001C4C26" w:rsidRPr="00C94003">
        <w:t xml:space="preserve">princípy. Cieľom </w:t>
      </w:r>
      <w:r w:rsidR="000335A7" w:rsidRPr="00C94003">
        <w:t xml:space="preserve">z obsahového hľadiska </w:t>
      </w:r>
      <w:r w:rsidR="001C4C26" w:rsidRPr="00C94003">
        <w:t xml:space="preserve">je reagovať na </w:t>
      </w:r>
      <w:r w:rsidR="00174EA4" w:rsidRPr="00C94003">
        <w:t xml:space="preserve">problémy </w:t>
      </w:r>
      <w:r w:rsidR="001C4C26" w:rsidRPr="00C94003">
        <w:t>alebo nové otázky a potreby, ktoré prináša aplikačná prax, nové medzinárodné záväzky a požiadavky judikatúry EDĽP a</w:t>
      </w:r>
      <w:r w:rsidR="000C6E56" w:rsidRPr="00C94003">
        <w:t> </w:t>
      </w:r>
      <w:r w:rsidR="001C4C26" w:rsidRPr="00C94003">
        <w:t>S</w:t>
      </w:r>
      <w:r w:rsidR="000C6E56" w:rsidRPr="00C94003">
        <w:t xml:space="preserve">údneho dvora </w:t>
      </w:r>
      <w:r w:rsidR="001C4C26" w:rsidRPr="00C94003">
        <w:t>EÚ. Výzvou je aj úprava konfliktnej či konkurujúcej úpravy medzinárodného a európskeho práva.</w:t>
      </w:r>
      <w:r w:rsidR="006E6A53" w:rsidRPr="00C94003">
        <w:t xml:space="preserve"> Rovnako je potrebné vnímať východisko materiálu spočívajúce v tom, že uvedené problémy resp. otázky nepredstavujú vyčerpávajúci zoznam, ale indikatívne uvedené príklady otázok, ktoré sa vyskytujú v praxi a vyžadujú dôslednejšie analýzy. </w:t>
      </w:r>
    </w:p>
    <w:p w:rsidR="0064466F" w:rsidRPr="00C94003" w:rsidRDefault="0064466F" w:rsidP="00ED75DC">
      <w:pPr>
        <w:jc w:val="both"/>
      </w:pPr>
    </w:p>
    <w:p w:rsidR="004330AD" w:rsidRPr="00C94003" w:rsidRDefault="004330AD" w:rsidP="006E6A53">
      <w:pPr>
        <w:numPr>
          <w:ilvl w:val="0"/>
          <w:numId w:val="26"/>
        </w:numPr>
        <w:jc w:val="both"/>
        <w:rPr>
          <w:b/>
          <w:u w:val="single"/>
        </w:rPr>
      </w:pPr>
      <w:r w:rsidRPr="00C94003">
        <w:rPr>
          <w:b/>
          <w:u w:val="single"/>
        </w:rPr>
        <w:t>Proporcionalita</w:t>
      </w:r>
      <w:r w:rsidR="001821BC" w:rsidRPr="00C94003">
        <w:rPr>
          <w:b/>
          <w:u w:val="single"/>
        </w:rPr>
        <w:t>, hospodárnosť</w:t>
      </w:r>
      <w:r w:rsidRPr="00C94003">
        <w:rPr>
          <w:b/>
          <w:u w:val="single"/>
        </w:rPr>
        <w:t xml:space="preserve"> </w:t>
      </w:r>
    </w:p>
    <w:p w:rsidR="00C1512C" w:rsidRPr="00C94003" w:rsidRDefault="00C1512C" w:rsidP="009946C2">
      <w:pPr>
        <w:ind w:left="1080"/>
        <w:jc w:val="both"/>
      </w:pPr>
    </w:p>
    <w:p w:rsidR="00C36BF1" w:rsidRPr="00C94003" w:rsidRDefault="004330AD" w:rsidP="00D64E8B">
      <w:pPr>
        <w:jc w:val="both"/>
      </w:pPr>
      <w:r w:rsidRPr="00C94003">
        <w:t>Proporcionalita, ako jedna zo zásad trestného konania je v oblasti medzinárodnej justičnej spolupráce v trestných veciach problémom, ktorý sa týka zákonnej úpravy a</w:t>
      </w:r>
      <w:r w:rsidR="005E614D" w:rsidRPr="00C94003">
        <w:t> </w:t>
      </w:r>
      <w:r w:rsidRPr="00C94003">
        <w:t>aplikačnej</w:t>
      </w:r>
      <w:r w:rsidR="005E614D" w:rsidRPr="00C94003">
        <w:t xml:space="preserve"> praxe</w:t>
      </w:r>
      <w:r w:rsidRPr="00C94003">
        <w:t xml:space="preserve"> všetkých jej oblastí. Výrazný nepomer nákladov justičnej spolupráce v porovnaní so závažnosťou trestnej činnosti</w:t>
      </w:r>
      <w:r w:rsidR="005E614D" w:rsidRPr="00C94003">
        <w:t>,</w:t>
      </w:r>
      <w:r w:rsidRPr="00C94003">
        <w:t xml:space="preserve"> ktorej sa týka, poskytuje minimálne priestor na diskusiu odborníkov </w:t>
      </w:r>
      <w:r w:rsidR="009A1528" w:rsidRPr="00C94003">
        <w:t xml:space="preserve">o zmene súčasnej právnej úpravy (právna pomoc), prípadne jej precizovaní (extradícia, odovzdanie trestného konania). Dôraz </w:t>
      </w:r>
      <w:r w:rsidR="005E614D" w:rsidRPr="00C94003">
        <w:t xml:space="preserve">by mal byť kladený </w:t>
      </w:r>
      <w:r w:rsidR="009A1528" w:rsidRPr="00C94003">
        <w:t>na proporcionalitu a hospodárnosť konania, ktoré by najmä pri drobnej ekonomickej trestnej činnosti, resp. trestných činoch malej závažnosti, mali prevážiť nad striktným uplatňovaním zásady legality, čo nepochybne napomôže aj rýchlosti trestného konania</w:t>
      </w:r>
      <w:r w:rsidR="00C36BF1" w:rsidRPr="00C94003">
        <w:t xml:space="preserve"> vedeného v Slovenskej republike</w:t>
      </w:r>
      <w:r w:rsidR="009A1528" w:rsidRPr="00C94003">
        <w:t xml:space="preserve">. </w:t>
      </w:r>
    </w:p>
    <w:p w:rsidR="000C6E56" w:rsidRPr="00C94003" w:rsidRDefault="000C6E56" w:rsidP="000C6E56">
      <w:pPr>
        <w:jc w:val="both"/>
      </w:pPr>
    </w:p>
    <w:p w:rsidR="001821BC" w:rsidRPr="00C94003" w:rsidRDefault="009A1528" w:rsidP="000C6E56">
      <w:pPr>
        <w:jc w:val="both"/>
      </w:pPr>
      <w:r w:rsidRPr="00C94003">
        <w:t>V súčasnosti je povinnosťou príslušných orgánov</w:t>
      </w:r>
      <w:r w:rsidR="005E614D" w:rsidRPr="00C94003">
        <w:t>,</w:t>
      </w:r>
      <w:r w:rsidRPr="00C94003">
        <w:t xml:space="preserve"> ktoré vedú trestné konanie žiadať o vykonanie úkonov právnej pomoci (dôkazov) aj vtedy, ak ide o dôkaz, na ktorého vykonanie náklady vysoko prekračujú spáchanú škodu, dokonca aj v prípadoch kedy je z aplikačnej praxe známe, že právna pomoc pravdepodobne nebude dožiadaným štátom vykonaná</w:t>
      </w:r>
      <w:r w:rsidR="005E614D" w:rsidRPr="00C94003">
        <w:t>,</w:t>
      </w:r>
      <w:r w:rsidRPr="00C94003">
        <w:t xml:space="preserve"> pretože nedosahuje </w:t>
      </w:r>
      <w:r w:rsidR="00C36BF1" w:rsidRPr="00C94003">
        <w:t>limity „závažnejšieho</w:t>
      </w:r>
      <w:r w:rsidR="005E614D" w:rsidRPr="00C94003">
        <w:t>“</w:t>
      </w:r>
      <w:r w:rsidR="00C36BF1" w:rsidRPr="00C94003">
        <w:t xml:space="preserve"> trestného činu (</w:t>
      </w:r>
      <w:r w:rsidR="005E614D" w:rsidRPr="00C94003">
        <w:t xml:space="preserve">uplatnenie pravidla </w:t>
      </w:r>
      <w:r w:rsidR="00C36BF1" w:rsidRPr="00C94003">
        <w:t>„</w:t>
      </w:r>
      <w:r w:rsidR="006E6A53" w:rsidRPr="00C94003">
        <w:t>de</w:t>
      </w:r>
      <w:r w:rsidR="00C36BF1" w:rsidRPr="00C94003">
        <w:t xml:space="preserve"> minimis“).</w:t>
      </w:r>
      <w:r w:rsidR="004330AD" w:rsidRPr="00C94003">
        <w:t xml:space="preserve"> </w:t>
      </w:r>
      <w:r w:rsidR="00C36BF1" w:rsidRPr="00C94003">
        <w:t>N</w:t>
      </w:r>
      <w:r w:rsidR="004330AD" w:rsidRPr="00C94003">
        <w:t xml:space="preserve">áklady </w:t>
      </w:r>
      <w:r w:rsidR="00C36BF1" w:rsidRPr="00C94003">
        <w:t>na zabezpečenie právnej pomoci</w:t>
      </w:r>
      <w:r w:rsidR="001821BC" w:rsidRPr="00C94003">
        <w:t xml:space="preserve"> (s neistým výsledkom)</w:t>
      </w:r>
      <w:r w:rsidR="00C36BF1" w:rsidRPr="00C94003">
        <w:t xml:space="preserve"> sú </w:t>
      </w:r>
      <w:r w:rsidR="004330AD" w:rsidRPr="00C94003">
        <w:t>vo výške tisíc</w:t>
      </w:r>
      <w:r w:rsidR="001821BC" w:rsidRPr="00C94003">
        <w:t>ov</w:t>
      </w:r>
      <w:r w:rsidR="004330AD" w:rsidRPr="00C94003">
        <w:t xml:space="preserve"> eur </w:t>
      </w:r>
      <w:r w:rsidR="001821BC" w:rsidRPr="00C94003">
        <w:t xml:space="preserve">pričom </w:t>
      </w:r>
      <w:r w:rsidR="004330AD" w:rsidRPr="00C94003">
        <w:t>škoda rádovo v</w:t>
      </w:r>
      <w:r w:rsidR="001821BC" w:rsidRPr="00C94003">
        <w:t> desiatkach/</w:t>
      </w:r>
      <w:r w:rsidR="004330AD" w:rsidRPr="00C94003">
        <w:t>stovkách eur.</w:t>
      </w:r>
      <w:r w:rsidR="00C36BF1" w:rsidRPr="00C94003">
        <w:t xml:space="preserve"> </w:t>
      </w:r>
    </w:p>
    <w:p w:rsidR="000C6E56" w:rsidRPr="00C94003" w:rsidRDefault="000C6E56" w:rsidP="000C6E56">
      <w:pPr>
        <w:jc w:val="both"/>
      </w:pPr>
    </w:p>
    <w:p w:rsidR="00A20EF8" w:rsidRPr="00C94003" w:rsidRDefault="00C36BF1" w:rsidP="000C6E56">
      <w:pPr>
        <w:jc w:val="both"/>
      </w:pPr>
      <w:r w:rsidRPr="00C94003">
        <w:t xml:space="preserve">Existujúca právna úprava extradície a odovzdávania trestného konania </w:t>
      </w:r>
      <w:r w:rsidR="001821BC" w:rsidRPr="00C94003">
        <w:t>otázku hospodárnosti konania a možnosť limitova</w:t>
      </w:r>
      <w:r w:rsidR="000C6E56" w:rsidRPr="00C94003">
        <w:t>nia</w:t>
      </w:r>
      <w:r w:rsidR="001821BC" w:rsidRPr="00C94003">
        <w:t xml:space="preserve"> aplikáci</w:t>
      </w:r>
      <w:r w:rsidR="000C6E56" w:rsidRPr="00C94003">
        <w:t>e</w:t>
      </w:r>
      <w:r w:rsidR="001821BC" w:rsidRPr="00C94003">
        <w:t xml:space="preserve"> uvedených inštitútov </w:t>
      </w:r>
      <w:r w:rsidRPr="00C94003">
        <w:t>upravuje</w:t>
      </w:r>
      <w:r w:rsidR="000C6E56" w:rsidRPr="00C94003">
        <w:t>. N</w:t>
      </w:r>
      <w:r w:rsidRPr="00C94003">
        <w:t xml:space="preserve">ejednotnosť aplikačnej praxe však </w:t>
      </w:r>
      <w:r w:rsidR="000C6E56" w:rsidRPr="00C94003">
        <w:t>otvára</w:t>
      </w:r>
      <w:r w:rsidR="001821BC" w:rsidRPr="00C94003">
        <w:t xml:space="preserve"> potrebu prehodnotenia a prípadného precizovania zákonnej úpravy tejto oblasti.</w:t>
      </w:r>
    </w:p>
    <w:p w:rsidR="00A20EF8" w:rsidRPr="00C94003" w:rsidRDefault="00A20EF8" w:rsidP="006E6A53">
      <w:pPr>
        <w:ind w:left="360"/>
        <w:jc w:val="both"/>
      </w:pPr>
    </w:p>
    <w:p w:rsidR="00A20EF8" w:rsidRPr="00C94003" w:rsidRDefault="00A20EF8" w:rsidP="002918CE">
      <w:pPr>
        <w:numPr>
          <w:ilvl w:val="0"/>
          <w:numId w:val="26"/>
        </w:numPr>
        <w:jc w:val="both"/>
        <w:rPr>
          <w:b/>
          <w:u w:val="single"/>
        </w:rPr>
      </w:pPr>
      <w:r w:rsidRPr="00C94003">
        <w:rPr>
          <w:b/>
          <w:u w:val="single"/>
        </w:rPr>
        <w:t>Preklady</w:t>
      </w:r>
    </w:p>
    <w:p w:rsidR="00C1512C" w:rsidRPr="00C94003" w:rsidRDefault="00C1512C" w:rsidP="009946C2">
      <w:pPr>
        <w:ind w:left="1080"/>
        <w:jc w:val="both"/>
      </w:pPr>
    </w:p>
    <w:p w:rsidR="00BD25B8" w:rsidRPr="00C94003" w:rsidRDefault="00A20EF8" w:rsidP="000C6E56">
      <w:pPr>
        <w:jc w:val="both"/>
      </w:pPr>
      <w:r w:rsidRPr="00C94003">
        <w:t>Zabezpečenie prekladov do jazyka dožiadaného štátu je v rámci justičnej spolupráce v trestných veciach významná nákladová položka, preto by bolo vhodné</w:t>
      </w:r>
      <w:r w:rsidR="000C6E56" w:rsidRPr="00C94003">
        <w:t>,</w:t>
      </w:r>
      <w:r w:rsidRPr="00C94003">
        <w:t xml:space="preserve"> a v rámci skúmania a analyzovania právnej úpravy a aplikačnej praxe potrebné</w:t>
      </w:r>
      <w:r w:rsidR="000C6E56" w:rsidRPr="00C94003">
        <w:t>,</w:t>
      </w:r>
      <w:r w:rsidR="005E614D" w:rsidRPr="00C94003">
        <w:t xml:space="preserve"> </w:t>
      </w:r>
      <w:r w:rsidRPr="00C94003">
        <w:t>zamerať</w:t>
      </w:r>
      <w:r w:rsidR="00BD25B8" w:rsidRPr="00C94003">
        <w:t xml:space="preserve"> </w:t>
      </w:r>
      <w:r w:rsidR="000C6E56" w:rsidRPr="00C94003">
        <w:t xml:space="preserve">sa </w:t>
      </w:r>
      <w:r w:rsidRPr="00C94003">
        <w:t>aj na jasné pravidlá pri stanovení povinnosti prekladu dokumentov z hľadiska dotknutých rezortov</w:t>
      </w:r>
      <w:r w:rsidR="00BD25B8" w:rsidRPr="00C94003">
        <w:t xml:space="preserve">. </w:t>
      </w:r>
      <w:r w:rsidR="00B605B2" w:rsidRPr="00C94003">
        <w:t>A</w:t>
      </w:r>
      <w:r w:rsidR="00BD25B8" w:rsidRPr="00C94003">
        <w:t>nal</w:t>
      </w:r>
      <w:r w:rsidR="00B605B2" w:rsidRPr="00C94003">
        <w:t>ý</w:t>
      </w:r>
      <w:r w:rsidR="00BD25B8" w:rsidRPr="00C94003">
        <w:t>za, disku</w:t>
      </w:r>
      <w:r w:rsidR="00B605B2" w:rsidRPr="00C94003">
        <w:t>sia</w:t>
      </w:r>
      <w:r w:rsidR="00BD25B8" w:rsidRPr="00C94003">
        <w:t xml:space="preserve"> a n</w:t>
      </w:r>
      <w:r w:rsidR="00B605B2" w:rsidRPr="00C94003">
        <w:t>á</w:t>
      </w:r>
      <w:r w:rsidR="00BD25B8" w:rsidRPr="00C94003">
        <w:t>vrh</w:t>
      </w:r>
      <w:r w:rsidR="00B605B2" w:rsidRPr="00C94003">
        <w:t>y</w:t>
      </w:r>
      <w:r w:rsidR="00BD25B8" w:rsidRPr="00C94003">
        <w:t xml:space="preserve"> riešen</w:t>
      </w:r>
      <w:r w:rsidR="00B605B2" w:rsidRPr="00C94003">
        <w:t>í</w:t>
      </w:r>
      <w:r w:rsidR="00BD25B8" w:rsidRPr="00C94003">
        <w:t xml:space="preserve"> v oblasti vnútroštátneho zabezpečovania a financovania prekladov písomností zo strany polície, prokuratúry, súdov a ministerstva spravodlivosti tak, aby nedochádzalo k riziku ohrozenia plynulého priebehu spolupráce s inými štátmi</w:t>
      </w:r>
      <w:r w:rsidR="000C6E56" w:rsidRPr="00C94003">
        <w:t>,</w:t>
      </w:r>
      <w:r w:rsidR="00B605B2" w:rsidRPr="00C94003">
        <w:t xml:space="preserve"> nepochybne prispeje k zjednoteniu praxe v oblasti justičnej spolupráce v trestných veciach</w:t>
      </w:r>
      <w:r w:rsidR="00BD25B8" w:rsidRPr="00C94003">
        <w:t>.</w:t>
      </w:r>
    </w:p>
    <w:p w:rsidR="000C6E56" w:rsidRPr="00C94003" w:rsidRDefault="000C6E56" w:rsidP="00A20EF8">
      <w:pPr>
        <w:jc w:val="both"/>
      </w:pPr>
    </w:p>
    <w:p w:rsidR="00A20EF8" w:rsidRPr="00C94003" w:rsidRDefault="00A20EF8" w:rsidP="00A20EF8">
      <w:pPr>
        <w:jc w:val="both"/>
      </w:pPr>
      <w:r w:rsidRPr="00C94003">
        <w:t xml:space="preserve">V rámci diskusie o zabezpečovaní prekladov </w:t>
      </w:r>
      <w:r w:rsidR="005E614D" w:rsidRPr="00C94003">
        <w:t xml:space="preserve">je žiaduce </w:t>
      </w:r>
      <w:r w:rsidRPr="00C94003">
        <w:t>otvoriť otázku centráln</w:t>
      </w:r>
      <w:r w:rsidR="00BD25B8" w:rsidRPr="00C94003">
        <w:t>ej</w:t>
      </w:r>
      <w:r w:rsidRPr="00C94003">
        <w:t xml:space="preserve"> prekladateľskej jednotky</w:t>
      </w:r>
      <w:r w:rsidR="00BD25B8" w:rsidRPr="00C94003">
        <w:t>, prípadne iného riešenia zabezpečovania prekladov. V rámci justičnej spolupráce v trestných veciach príslušné orgány musia v praxi p</w:t>
      </w:r>
      <w:r w:rsidR="00B605B2" w:rsidRPr="00C94003">
        <w:t>r</w:t>
      </w:r>
      <w:r w:rsidR="00BD25B8" w:rsidRPr="00C94003">
        <w:t xml:space="preserve">ekonávať okrem iného aj problém neexistujúcich oficiálnych jednotne používaných prekladov základných </w:t>
      </w:r>
      <w:r w:rsidR="00BD25B8" w:rsidRPr="00C94003">
        <w:lastRenderedPageBreak/>
        <w:t>zákonov</w:t>
      </w:r>
      <w:r w:rsidR="00D92B55" w:rsidRPr="00C94003">
        <w:t>.</w:t>
      </w:r>
      <w:r w:rsidR="00BD25B8" w:rsidRPr="00C94003">
        <w:t xml:space="preserve"> V rámci extradičného konania je</w:t>
      </w:r>
      <w:r w:rsidR="00B605B2" w:rsidRPr="00C94003">
        <w:t xml:space="preserve"> tiež</w:t>
      </w:r>
      <w:r w:rsidR="00BD25B8" w:rsidRPr="00C94003">
        <w:t xml:space="preserve"> potrebné jasne </w:t>
      </w:r>
      <w:r w:rsidRPr="00C94003">
        <w:t>s</w:t>
      </w:r>
      <w:r w:rsidR="00BD25B8" w:rsidRPr="00C94003">
        <w:t>t</w:t>
      </w:r>
      <w:r w:rsidRPr="00C94003">
        <w:t>a</w:t>
      </w:r>
      <w:r w:rsidR="00BD25B8" w:rsidRPr="00C94003">
        <w:t>noviť</w:t>
      </w:r>
      <w:r w:rsidRPr="00C94003">
        <w:t xml:space="preserve"> </w:t>
      </w:r>
      <w:r w:rsidR="00BD25B8" w:rsidRPr="00C94003">
        <w:t xml:space="preserve">povinnosti </w:t>
      </w:r>
      <w:r w:rsidRPr="00C94003">
        <w:t>vo vzťahu k</w:t>
      </w:r>
      <w:r w:rsidR="00BD25B8" w:rsidRPr="00C94003">
        <w:t> </w:t>
      </w:r>
      <w:r w:rsidRPr="00C94003">
        <w:t>prekladom</w:t>
      </w:r>
      <w:r w:rsidR="00BD25B8" w:rsidRPr="00C94003">
        <w:t xml:space="preserve"> súvisiacich dokumento</w:t>
      </w:r>
      <w:r w:rsidR="00B605B2" w:rsidRPr="00C94003">
        <w:t>v</w:t>
      </w:r>
      <w:r w:rsidR="002918CE" w:rsidRPr="00C94003">
        <w:t xml:space="preserve">. </w:t>
      </w:r>
      <w:r w:rsidRPr="00C94003">
        <w:t xml:space="preserve">Dopady aktuálnej situácie v prípade, ak </w:t>
      </w:r>
      <w:r w:rsidR="00493794" w:rsidRPr="00C94003">
        <w:t>príslušné justičné orgány</w:t>
      </w:r>
      <w:r w:rsidRPr="00C94003">
        <w:t xml:space="preserve"> neposkytnú preklady dokumentov, ktoré sú nevyhnutné pre úspešné vybavenie žiadostí o vydanie </w:t>
      </w:r>
      <w:r w:rsidR="00B605B2" w:rsidRPr="00C94003">
        <w:t>spôsobuje</w:t>
      </w:r>
      <w:r w:rsidRPr="00C94003">
        <w:t xml:space="preserve">, že </w:t>
      </w:r>
      <w:r w:rsidR="00DE709B" w:rsidRPr="00C94003">
        <w:t>medzinárodný zatýkací rozkaz (ďalej len „MZR“)</w:t>
      </w:r>
      <w:r w:rsidR="00B605B2" w:rsidRPr="00C94003">
        <w:t xml:space="preserve"> aj „red notice“</w:t>
      </w:r>
      <w:r w:rsidRPr="00C94003">
        <w:t xml:space="preserve"> </w:t>
      </w:r>
      <w:r w:rsidR="00DE709B" w:rsidRPr="00C94003">
        <w:t>sú</w:t>
      </w:r>
      <w:r w:rsidRPr="00C94003">
        <w:t xml:space="preserve"> stále v platnosti, avšak po informácii Interpolu o výskyte hľadanej osoby v konkrétnej krajine, S</w:t>
      </w:r>
      <w:r w:rsidR="00D92B55" w:rsidRPr="00C94003">
        <w:t>lovenská republika</w:t>
      </w:r>
      <w:r w:rsidRPr="00C94003">
        <w:t xml:space="preserve"> nie je v stave konštruktívne komunikovať s príslušnými justičnými orgánmi. </w:t>
      </w:r>
    </w:p>
    <w:p w:rsidR="00B62CDF" w:rsidRPr="00C94003" w:rsidRDefault="00B62CDF" w:rsidP="00A20EF8">
      <w:pPr>
        <w:jc w:val="both"/>
      </w:pPr>
    </w:p>
    <w:p w:rsidR="00B62CDF" w:rsidRPr="00C94003" w:rsidRDefault="00B62CDF" w:rsidP="000C6E56">
      <w:pPr>
        <w:numPr>
          <w:ilvl w:val="0"/>
          <w:numId w:val="26"/>
        </w:numPr>
        <w:jc w:val="both"/>
        <w:rPr>
          <w:b/>
          <w:u w:val="single"/>
        </w:rPr>
      </w:pPr>
      <w:r w:rsidRPr="00C94003">
        <w:rPr>
          <w:b/>
          <w:u w:val="single"/>
        </w:rPr>
        <w:t xml:space="preserve">Záruky    </w:t>
      </w:r>
    </w:p>
    <w:p w:rsidR="00B62CDF" w:rsidRPr="00C94003" w:rsidRDefault="00B62CDF" w:rsidP="00B62CDF">
      <w:pPr>
        <w:jc w:val="both"/>
      </w:pPr>
    </w:p>
    <w:p w:rsidR="00B62CDF" w:rsidRPr="00C94003" w:rsidRDefault="00B62CDF" w:rsidP="00B62CDF">
      <w:pPr>
        <w:jc w:val="both"/>
      </w:pPr>
      <w:r w:rsidRPr="00C94003">
        <w:t>Otázka poskytovania záruk je osobitne citlivá a komplexná. Bude potrebné ju posúdiť a upraviť:</w:t>
      </w:r>
    </w:p>
    <w:p w:rsidR="00B62CDF" w:rsidRPr="00C94003" w:rsidRDefault="00B62CDF" w:rsidP="00B62CDF">
      <w:pPr>
        <w:numPr>
          <w:ilvl w:val="0"/>
          <w:numId w:val="13"/>
        </w:numPr>
        <w:jc w:val="both"/>
      </w:pPr>
      <w:r w:rsidRPr="00C94003">
        <w:t>z hľadiska poskytujúceho subjektu (t.j. kto má byť oprávnený na poskytovanie záruk: minister/ministerstvo, alebo aj iné subjekty napr. GP SR z hľadiska trestného konania)</w:t>
      </w:r>
    </w:p>
    <w:p w:rsidR="00B62CDF" w:rsidRPr="00C94003" w:rsidRDefault="00B62CDF" w:rsidP="00B62CDF">
      <w:pPr>
        <w:numPr>
          <w:ilvl w:val="0"/>
          <w:numId w:val="13"/>
        </w:numPr>
        <w:jc w:val="both"/>
      </w:pPr>
      <w:r w:rsidRPr="00C94003">
        <w:t>z hľadiska rozsahu a charakteru poskytovania záruk (osobitne v prípadoch reciprocity)</w:t>
      </w:r>
    </w:p>
    <w:p w:rsidR="00B62CDF" w:rsidRPr="00C94003" w:rsidRDefault="00B62CDF" w:rsidP="00B62CDF">
      <w:pPr>
        <w:numPr>
          <w:ilvl w:val="0"/>
          <w:numId w:val="13"/>
        </w:numPr>
        <w:jc w:val="both"/>
      </w:pPr>
      <w:r w:rsidRPr="00C94003">
        <w:t>z hľadiska dodržiavania medzinárodných záväzkov, osobitne v prípadoch požiadavky na poskytovanie záruk v prípadoch odsúdení bez prítomnosti osoby („</w:t>
      </w:r>
      <w:r w:rsidRPr="00C94003">
        <w:rPr>
          <w:i/>
        </w:rPr>
        <w:t>in absentia</w:t>
      </w:r>
      <w:r w:rsidRPr="00C94003">
        <w:t>“).</w:t>
      </w:r>
    </w:p>
    <w:p w:rsidR="00C1512C" w:rsidRPr="00C94003" w:rsidRDefault="00C1512C" w:rsidP="00B62CDF">
      <w:pPr>
        <w:jc w:val="both"/>
      </w:pPr>
    </w:p>
    <w:p w:rsidR="00C1512C" w:rsidRPr="00C94003" w:rsidRDefault="00C1512C" w:rsidP="00C1512C">
      <w:pPr>
        <w:jc w:val="both"/>
      </w:pPr>
      <w:r w:rsidRPr="00C94003">
        <w:t>Oblasť úpravy záruk vyžaduje revíziu a dôsledné vyhodnotenie</w:t>
      </w:r>
      <w:r w:rsidR="00D92B55" w:rsidRPr="00C94003">
        <w:t>,</w:t>
      </w:r>
      <w:r w:rsidRPr="00C94003">
        <w:t xml:space="preserve"> precizovanie a prípadné prepracovanie najmä v oblasti poskytovania právnej pomoci na báze reciprocity. V rámci extradície sú záruky upravené v súlade s medzinárodnými záväzkami Slovenskej republiky. Ustanovenie § 495 ods. 4 TP predstavuje implementáciu Druh</w:t>
      </w:r>
      <w:r w:rsidR="00DE709B" w:rsidRPr="00C94003">
        <w:t>ého</w:t>
      </w:r>
      <w:r w:rsidRPr="00C94003">
        <w:t xml:space="preserve"> dodatkov</w:t>
      </w:r>
      <w:r w:rsidR="00DE709B" w:rsidRPr="00C94003">
        <w:t>ého</w:t>
      </w:r>
      <w:r w:rsidRPr="00C94003">
        <w:t xml:space="preserve"> protokol</w:t>
      </w:r>
      <w:r w:rsidR="00DE709B" w:rsidRPr="00C94003">
        <w:t>u</w:t>
      </w:r>
      <w:r w:rsidRPr="00C94003">
        <w:t xml:space="preserve"> k Európskemu dohovoru o vydávaní, ktorý zaručuje právo na opätovné prejednanie veci v</w:t>
      </w:r>
      <w:r w:rsidR="00DE709B" w:rsidRPr="00C94003">
        <w:t xml:space="preserve"> prípadoch odsúdení in absentia</w:t>
      </w:r>
      <w:r w:rsidRPr="00C94003">
        <w:t xml:space="preserve">. Na základe skúseností z aplikačnej praxe bude však potrebné opätovne preskúmať jeho znenie tak, aby mohlo byť širšie využívané v praxi. </w:t>
      </w:r>
    </w:p>
    <w:p w:rsidR="000C6E56" w:rsidRPr="00C94003" w:rsidRDefault="000C6E56" w:rsidP="00C1512C">
      <w:pPr>
        <w:jc w:val="both"/>
      </w:pPr>
    </w:p>
    <w:p w:rsidR="00C1512C" w:rsidRPr="00C94003" w:rsidRDefault="00C1512C" w:rsidP="00C1512C">
      <w:pPr>
        <w:jc w:val="both"/>
      </w:pPr>
      <w:r w:rsidRPr="00927B7C">
        <w:t>V rámci úpravy európskeho zatýkacieho rozkazu</w:t>
      </w:r>
      <w:r w:rsidR="00DE709B" w:rsidRPr="00927B7C">
        <w:t xml:space="preserve"> (ďalej len „EZR“)</w:t>
      </w:r>
      <w:r w:rsidRPr="00927B7C">
        <w:t xml:space="preserve">, ide o samostatnú oblasť, nepatriacu priamo do kategórie medzinárodných záruk. Problematika poskytovania záruk medzi členskými štátmi (resp. príslušnými justičnými orgánmi) EÚ vo vzťahu k aplikácii EZR je síce podobného charakteru, ale formálne </w:t>
      </w:r>
      <w:r w:rsidR="00DE709B" w:rsidRPr="00927B7C">
        <w:t xml:space="preserve">je </w:t>
      </w:r>
      <w:r w:rsidRPr="00927B7C">
        <w:t xml:space="preserve">odlišná. </w:t>
      </w:r>
      <w:r w:rsidR="00DE709B" w:rsidRPr="00927B7C">
        <w:t>P</w:t>
      </w:r>
      <w:r w:rsidRPr="00927B7C">
        <w:t xml:space="preserve">otrebné </w:t>
      </w:r>
      <w:r w:rsidR="00DE709B" w:rsidRPr="00927B7C">
        <w:t xml:space="preserve">však bude </w:t>
      </w:r>
      <w:r w:rsidRPr="00927B7C">
        <w:t>analyzovať a</w:t>
      </w:r>
      <w:r w:rsidR="00DE709B" w:rsidRPr="00927B7C">
        <w:t xml:space="preserve"> prípadne </w:t>
      </w:r>
      <w:r w:rsidRPr="00927B7C">
        <w:t xml:space="preserve">revidovať </w:t>
      </w:r>
      <w:r w:rsidR="00DE709B" w:rsidRPr="00927B7C">
        <w:t xml:space="preserve">aj </w:t>
      </w:r>
      <w:r w:rsidRPr="00927B7C">
        <w:t>znenie právnej úpravy transpozičného zákona o</w:t>
      </w:r>
      <w:r w:rsidR="00DE709B" w:rsidRPr="00927B7C">
        <w:t> </w:t>
      </w:r>
      <w:r w:rsidRPr="00927B7C">
        <w:t>EZR</w:t>
      </w:r>
      <w:r w:rsidR="00DE709B" w:rsidRPr="00927B7C">
        <w:t>,</w:t>
      </w:r>
      <w:r w:rsidRPr="00927B7C">
        <w:t xml:space="preserve"> okrem iného aj v časti úpravy </w:t>
      </w:r>
      <w:r w:rsidR="00626E72" w:rsidRPr="00927B7C">
        <w:t>záruk.</w:t>
      </w:r>
    </w:p>
    <w:p w:rsidR="000C6E56" w:rsidRPr="00C94003" w:rsidRDefault="000C6E56" w:rsidP="00C1512C">
      <w:pPr>
        <w:jc w:val="both"/>
      </w:pPr>
    </w:p>
    <w:p w:rsidR="00C1512C" w:rsidRPr="00C94003" w:rsidRDefault="00C1512C" w:rsidP="00C1512C">
      <w:pPr>
        <w:jc w:val="both"/>
      </w:pPr>
      <w:r w:rsidRPr="00C94003">
        <w:t xml:space="preserve">Precizovanie zákonnej úpravy súvisiacej s dodržaním záruk v prípadoch odsúdení in absentia, si vyžaduje predovšetkým otázka dodržania záruk opätovného prejednania veci v prípade „vyčerpania“ zákonnej lehoty väzby (podobne ako pri mimoriadnych opravných prostriedkoch).   </w:t>
      </w:r>
    </w:p>
    <w:p w:rsidR="004330AD" w:rsidRPr="00C94003" w:rsidRDefault="00C36BF1" w:rsidP="00C1512C">
      <w:pPr>
        <w:ind w:left="360"/>
        <w:jc w:val="both"/>
      </w:pPr>
      <w:r w:rsidRPr="00C94003">
        <w:t xml:space="preserve">     </w:t>
      </w:r>
    </w:p>
    <w:p w:rsidR="00A45DA7" w:rsidRPr="00C94003" w:rsidRDefault="006C553B" w:rsidP="00611DD2">
      <w:pPr>
        <w:numPr>
          <w:ilvl w:val="0"/>
          <w:numId w:val="26"/>
        </w:numPr>
        <w:ind w:left="709"/>
        <w:jc w:val="both"/>
        <w:rPr>
          <w:b/>
          <w:u w:val="single"/>
        </w:rPr>
      </w:pPr>
      <w:r w:rsidRPr="00C94003">
        <w:rPr>
          <w:b/>
          <w:u w:val="single"/>
        </w:rPr>
        <w:t>E</w:t>
      </w:r>
      <w:r w:rsidR="00355730" w:rsidRPr="00C94003">
        <w:rPr>
          <w:b/>
          <w:u w:val="single"/>
        </w:rPr>
        <w:t>xtradíci</w:t>
      </w:r>
      <w:r w:rsidRPr="00C94003">
        <w:rPr>
          <w:b/>
          <w:u w:val="single"/>
        </w:rPr>
        <w:t xml:space="preserve">a </w:t>
      </w:r>
    </w:p>
    <w:p w:rsidR="00A45DA7" w:rsidRPr="00C94003" w:rsidRDefault="00A45DA7" w:rsidP="00ED75DC">
      <w:pPr>
        <w:ind w:left="360"/>
        <w:jc w:val="both"/>
        <w:rPr>
          <w:i/>
        </w:rPr>
      </w:pPr>
    </w:p>
    <w:p w:rsidR="007F7C84" w:rsidRPr="00C94003" w:rsidRDefault="00D92B55" w:rsidP="00ED75DC">
      <w:pPr>
        <w:jc w:val="both"/>
        <w:rPr>
          <w:strike/>
        </w:rPr>
      </w:pPr>
      <w:r w:rsidRPr="00C94003">
        <w:t xml:space="preserve">Predmetom </w:t>
      </w:r>
      <w:r w:rsidR="00DE709B" w:rsidRPr="00C94003">
        <w:t>budúcich diskusií</w:t>
      </w:r>
      <w:r w:rsidRPr="00C94003">
        <w:t xml:space="preserve"> by mal</w:t>
      </w:r>
      <w:r w:rsidR="002A3E57" w:rsidRPr="00C94003">
        <w:t>i</w:t>
      </w:r>
      <w:r w:rsidRPr="00C94003">
        <w:t xml:space="preserve"> byť aj </w:t>
      </w:r>
      <w:r w:rsidR="002A3E57" w:rsidRPr="00C94003">
        <w:t xml:space="preserve">viaceré prvky </w:t>
      </w:r>
      <w:r w:rsidR="007F7C84" w:rsidRPr="00C94003">
        <w:t>koncept</w:t>
      </w:r>
      <w:r w:rsidR="002A3E57" w:rsidRPr="00C94003">
        <w:t>u a aspekty</w:t>
      </w:r>
      <w:r w:rsidR="007F7C84" w:rsidRPr="00C94003">
        <w:t xml:space="preserve"> </w:t>
      </w:r>
      <w:r w:rsidR="000C6E56" w:rsidRPr="00C94003">
        <w:t>MZR</w:t>
      </w:r>
      <w:r w:rsidR="00DE709B" w:rsidRPr="00C94003">
        <w:t xml:space="preserve">, </w:t>
      </w:r>
      <w:r w:rsidR="007F7C84" w:rsidRPr="00C94003">
        <w:t>vzhľadom na existujúcu medzinárodnú aplikačnú prax</w:t>
      </w:r>
      <w:r w:rsidRPr="00C94003">
        <w:t xml:space="preserve">, možné </w:t>
      </w:r>
      <w:r w:rsidR="007F7C84" w:rsidRPr="00C94003">
        <w:t>vnútroštátne dopady na trestné konanie</w:t>
      </w:r>
      <w:r w:rsidRPr="00C94003">
        <w:t xml:space="preserve"> a zabezpečenie čo najlepšej efektivity celého konania</w:t>
      </w:r>
      <w:r w:rsidR="007F7C84" w:rsidRPr="00C94003">
        <w:t>.</w:t>
      </w:r>
      <w:r w:rsidR="007F7C84" w:rsidRPr="00C94003">
        <w:rPr>
          <w:strike/>
        </w:rPr>
        <w:t xml:space="preserve"> </w:t>
      </w:r>
    </w:p>
    <w:p w:rsidR="005B3518" w:rsidRPr="00C94003" w:rsidRDefault="005B3518" w:rsidP="00ED75DC">
      <w:pPr>
        <w:jc w:val="both"/>
      </w:pPr>
    </w:p>
    <w:p w:rsidR="005B3518" w:rsidRPr="00C94003" w:rsidRDefault="00F54D73" w:rsidP="00ED75DC">
      <w:pPr>
        <w:jc w:val="both"/>
        <w:rPr>
          <w:strike/>
        </w:rPr>
      </w:pPr>
      <w:r w:rsidRPr="00C94003">
        <w:t>P</w:t>
      </w:r>
      <w:r w:rsidR="005B3518" w:rsidRPr="00C94003">
        <w:t xml:space="preserve">ravidlá Interpolu stanovujú, že pokiaľ </w:t>
      </w:r>
      <w:r w:rsidRPr="00C94003">
        <w:t>je v SR</w:t>
      </w:r>
      <w:r w:rsidR="005B3518" w:rsidRPr="00C94003">
        <w:t xml:space="preserve"> vyd</w:t>
      </w:r>
      <w:r w:rsidRPr="00C94003">
        <w:t>aný</w:t>
      </w:r>
      <w:r w:rsidR="005B3518" w:rsidRPr="00C94003">
        <w:t xml:space="preserve"> MZR a</w:t>
      </w:r>
      <w:r w:rsidRPr="00C94003">
        <w:t> vyhlásené pátranie za účelom zadržania</w:t>
      </w:r>
      <w:r w:rsidRPr="00C94003" w:rsidDel="00F54D73">
        <w:t xml:space="preserve"> </w:t>
      </w:r>
      <w:r w:rsidRPr="00C94003">
        <w:t>(„red notice“)</w:t>
      </w:r>
      <w:r w:rsidR="00D92B55" w:rsidRPr="00C94003">
        <w:t>,</w:t>
      </w:r>
      <w:r w:rsidRPr="00C94003">
        <w:t xml:space="preserve"> na základe ktorého je </w:t>
      </w:r>
      <w:r w:rsidR="005B3518" w:rsidRPr="00C94003">
        <w:t>osoba</w:t>
      </w:r>
      <w:r w:rsidRPr="00C94003">
        <w:t xml:space="preserve"> </w:t>
      </w:r>
      <w:r w:rsidR="005B3518" w:rsidRPr="00C94003">
        <w:t>lokalizovaná, bez zbytočného odkladu má nasledovať extradičná žiadosť. SR patrí medzi štáty s najvyšším počtom vy</w:t>
      </w:r>
      <w:r w:rsidRPr="00C94003">
        <w:t>hláse</w:t>
      </w:r>
      <w:r w:rsidR="005B3518" w:rsidRPr="00C94003">
        <w:t xml:space="preserve">ných </w:t>
      </w:r>
      <w:r w:rsidRPr="00C94003">
        <w:t>pátraní za účelom zadržania</w:t>
      </w:r>
      <w:r w:rsidR="005B3518" w:rsidRPr="00C94003">
        <w:t>, avšak bez následných krokov. Dôsledkom uvedeného</w:t>
      </w:r>
      <w:r w:rsidR="00174EA4" w:rsidRPr="00C94003">
        <w:t xml:space="preserve"> </w:t>
      </w:r>
      <w:r w:rsidR="003B44A9" w:rsidRPr="00C94003">
        <w:t>by mohlo byť až</w:t>
      </w:r>
      <w:r w:rsidR="005B3518" w:rsidRPr="00C94003">
        <w:t xml:space="preserve"> pozastavenie realizovania medzinárodného pátrania na základe slovenských </w:t>
      </w:r>
      <w:r w:rsidRPr="00C94003">
        <w:t>žiadostí</w:t>
      </w:r>
      <w:r w:rsidR="005B3518" w:rsidRPr="00C94003">
        <w:t>.</w:t>
      </w:r>
      <w:r w:rsidR="00E10F4F" w:rsidRPr="00C94003">
        <w:t xml:space="preserve"> </w:t>
      </w:r>
      <w:r w:rsidR="00F53CBA" w:rsidRPr="00C94003">
        <w:t>P</w:t>
      </w:r>
      <w:r w:rsidR="001900DF" w:rsidRPr="00C94003">
        <w:t>recizovaním a/alebo zmenou súčasnej právnej úpravy</w:t>
      </w:r>
      <w:r w:rsidR="00F53CBA" w:rsidRPr="00C94003">
        <w:t xml:space="preserve"> je možné popísané situácie riešiť</w:t>
      </w:r>
      <w:r w:rsidR="009C3E1E" w:rsidRPr="00C94003">
        <w:t>.</w:t>
      </w:r>
    </w:p>
    <w:p w:rsidR="00470B3E" w:rsidRPr="00C94003" w:rsidRDefault="00470B3E" w:rsidP="00ED75DC">
      <w:pPr>
        <w:jc w:val="both"/>
        <w:rPr>
          <w:strike/>
        </w:rPr>
      </w:pPr>
    </w:p>
    <w:p w:rsidR="00A3354D" w:rsidRPr="00C94003" w:rsidRDefault="00444B18" w:rsidP="00611DD2">
      <w:pPr>
        <w:numPr>
          <w:ilvl w:val="0"/>
          <w:numId w:val="24"/>
        </w:numPr>
        <w:jc w:val="both"/>
        <w:rPr>
          <w:u w:val="single"/>
        </w:rPr>
      </w:pPr>
      <w:r w:rsidRPr="00C94003">
        <w:rPr>
          <w:u w:val="single"/>
        </w:rPr>
        <w:lastRenderedPageBreak/>
        <w:t xml:space="preserve">vzťah medzi </w:t>
      </w:r>
      <w:r w:rsidR="00355730" w:rsidRPr="00C94003">
        <w:rPr>
          <w:u w:val="single"/>
        </w:rPr>
        <w:t>neprípustnosť</w:t>
      </w:r>
      <w:r w:rsidR="00A3354D" w:rsidRPr="00C94003">
        <w:rPr>
          <w:u w:val="single"/>
        </w:rPr>
        <w:t>ou</w:t>
      </w:r>
      <w:r w:rsidR="00355730" w:rsidRPr="00C94003">
        <w:rPr>
          <w:u w:val="single"/>
        </w:rPr>
        <w:t xml:space="preserve"> </w:t>
      </w:r>
      <w:r w:rsidR="00A3354D" w:rsidRPr="00C94003">
        <w:rPr>
          <w:u w:val="single"/>
        </w:rPr>
        <w:t>a povolením vydania</w:t>
      </w:r>
      <w:r w:rsidR="00355730" w:rsidRPr="00C94003">
        <w:rPr>
          <w:u w:val="single"/>
        </w:rPr>
        <w:t xml:space="preserve"> </w:t>
      </w:r>
    </w:p>
    <w:p w:rsidR="00A3354D" w:rsidRPr="00C94003" w:rsidRDefault="00A3354D" w:rsidP="00ED75DC">
      <w:pPr>
        <w:ind w:left="360"/>
        <w:jc w:val="both"/>
      </w:pPr>
    </w:p>
    <w:p w:rsidR="003B2C55" w:rsidRPr="00C94003" w:rsidRDefault="00E8246B" w:rsidP="00ED75DC">
      <w:pPr>
        <w:jc w:val="both"/>
      </w:pPr>
      <w:r w:rsidRPr="00C94003">
        <w:t xml:space="preserve">Trend judicializácie tradičných inštitútov justičnej spolupráce v trestných veciach </w:t>
      </w:r>
      <w:r w:rsidR="00EC6252" w:rsidRPr="00C94003">
        <w:t>s</w:t>
      </w:r>
      <w:r w:rsidR="003B2C55" w:rsidRPr="00C94003">
        <w:t>a v dôsledku aplikácie práva EÚ</w:t>
      </w:r>
      <w:r w:rsidR="00EC6252" w:rsidRPr="00C94003">
        <w:t xml:space="preserve"> a požiadaviek E</w:t>
      </w:r>
      <w:r w:rsidR="009C3E1E" w:rsidRPr="00C94003">
        <w:t>S</w:t>
      </w:r>
      <w:r w:rsidR="00EC6252" w:rsidRPr="00C94003">
        <w:t xml:space="preserve">ĽP </w:t>
      </w:r>
      <w:r w:rsidR="005C7E58" w:rsidRPr="00C94003">
        <w:t xml:space="preserve">- </w:t>
      </w:r>
      <w:r w:rsidR="009C3E1E" w:rsidRPr="00C94003">
        <w:t xml:space="preserve">najmä </w:t>
      </w:r>
      <w:r w:rsidR="005C7E58" w:rsidRPr="00C94003">
        <w:t xml:space="preserve">vo vzťahu k uplatňovaniu </w:t>
      </w:r>
      <w:r w:rsidR="00EC6252" w:rsidRPr="00C94003">
        <w:t>čl. 3 a</w:t>
      </w:r>
      <w:r w:rsidR="009C3E1E" w:rsidRPr="00C94003">
        <w:t> </w:t>
      </w:r>
      <w:r w:rsidR="00EC6252" w:rsidRPr="00C94003">
        <w:t>6</w:t>
      </w:r>
      <w:r w:rsidR="009C3E1E" w:rsidRPr="00C94003">
        <w:t xml:space="preserve"> Európskeho dohovoru o ľudských právach a základných slobodách</w:t>
      </w:r>
      <w:r w:rsidR="005C7E58" w:rsidRPr="00C94003">
        <w:t xml:space="preserve"> („EDĽP“)</w:t>
      </w:r>
      <w:r w:rsidR="003B2C55" w:rsidRPr="00C94003">
        <w:t xml:space="preserve"> začína prejavovať aj v požiadavkách kladených na</w:t>
      </w:r>
      <w:r w:rsidRPr="00C94003">
        <w:t> spoluprác</w:t>
      </w:r>
      <w:r w:rsidR="003B2C55" w:rsidRPr="00C94003">
        <w:t>u</w:t>
      </w:r>
      <w:r w:rsidRPr="00C94003">
        <w:t xml:space="preserve"> </w:t>
      </w:r>
      <w:r w:rsidR="003B2C55" w:rsidRPr="00C94003">
        <w:t>s tretími štátmi.</w:t>
      </w:r>
      <w:r w:rsidR="00C3352B" w:rsidRPr="00C94003">
        <w:t xml:space="preserve"> </w:t>
      </w:r>
      <w:r w:rsidR="003B2C55" w:rsidRPr="00C94003">
        <w:t>V dôsledku uvedeného je potrebné sa za</w:t>
      </w:r>
      <w:r w:rsidR="00EC6252" w:rsidRPr="00C94003">
        <w:t>myslieť nad novou úpravou alebo</w:t>
      </w:r>
      <w:r w:rsidR="003B2C55" w:rsidRPr="00C94003">
        <w:t xml:space="preserve"> </w:t>
      </w:r>
      <w:r w:rsidR="00EC6252" w:rsidRPr="00C94003">
        <w:t xml:space="preserve">aspoň </w:t>
      </w:r>
      <w:r w:rsidR="003B2C55" w:rsidRPr="00C94003">
        <w:t xml:space="preserve">precizovaním  </w:t>
      </w:r>
      <w:r w:rsidR="008576DA" w:rsidRPr="00C94003">
        <w:t xml:space="preserve">postavenia a </w:t>
      </w:r>
      <w:r w:rsidR="003B2C55" w:rsidRPr="00C94003">
        <w:t>úloh</w:t>
      </w:r>
      <w:r w:rsidR="008576DA" w:rsidRPr="00C94003">
        <w:t xml:space="preserve"> ministerstva, súdov a</w:t>
      </w:r>
      <w:r w:rsidR="003B2C55" w:rsidRPr="00C94003">
        <w:t xml:space="preserve"> </w:t>
      </w:r>
      <w:r w:rsidR="000855BA" w:rsidRPr="00C94003">
        <w:t>prokuratúr</w:t>
      </w:r>
      <w:r w:rsidR="000D1881" w:rsidRPr="00C94003">
        <w:t>y</w:t>
      </w:r>
      <w:r w:rsidR="008576DA" w:rsidRPr="00C94003">
        <w:t xml:space="preserve"> </w:t>
      </w:r>
      <w:r w:rsidR="003B2C55" w:rsidRPr="00C94003">
        <w:t>v procese extradície.</w:t>
      </w:r>
    </w:p>
    <w:p w:rsidR="003B2C55" w:rsidRPr="00C94003" w:rsidRDefault="003B2C55" w:rsidP="00ED75DC">
      <w:pPr>
        <w:jc w:val="both"/>
      </w:pPr>
    </w:p>
    <w:p w:rsidR="003B2C55" w:rsidRPr="00C94003" w:rsidRDefault="003B2C55" w:rsidP="00ED75DC">
      <w:pPr>
        <w:jc w:val="both"/>
      </w:pPr>
      <w:r w:rsidRPr="00C94003">
        <w:t xml:space="preserve">V zmysle súčasnej právnej úpravy bolo pôvodnou filozofiou delenie úloh </w:t>
      </w:r>
      <w:r w:rsidR="00E8246B" w:rsidRPr="00C94003">
        <w:t xml:space="preserve">medzi </w:t>
      </w:r>
      <w:r w:rsidR="00015972" w:rsidRPr="00C94003">
        <w:t>prokuratúru resp. súdy</w:t>
      </w:r>
      <w:r w:rsidRPr="00C94003">
        <w:t>, ktor</w:t>
      </w:r>
      <w:r w:rsidR="00015972" w:rsidRPr="00C94003">
        <w:t>é</w:t>
      </w:r>
      <w:r w:rsidRPr="00C94003">
        <w:t xml:space="preserve"> m</w:t>
      </w:r>
      <w:r w:rsidR="00015972" w:rsidRPr="00C94003">
        <w:t>ajú</w:t>
      </w:r>
      <w:r w:rsidRPr="00C94003">
        <w:t xml:space="preserve"> posudzovať zákonné podmienky prípustnosti (§§ 501 a 509 TP), a</w:t>
      </w:r>
      <w:r w:rsidR="00015972" w:rsidRPr="00C94003">
        <w:t> ministerstvo</w:t>
      </w:r>
      <w:r w:rsidRPr="00C94003">
        <w:t>, ktor</w:t>
      </w:r>
      <w:r w:rsidR="00015972" w:rsidRPr="00C94003">
        <w:t>é</w:t>
      </w:r>
      <w:r w:rsidRPr="00C94003">
        <w:t xml:space="preserve"> samotné vydanie povoľuje</w:t>
      </w:r>
      <w:r w:rsidR="00B72CE9" w:rsidRPr="00C94003">
        <w:t xml:space="preserve"> (§ 510 TP)</w:t>
      </w:r>
      <w:r w:rsidRPr="00C94003">
        <w:t xml:space="preserve">. </w:t>
      </w:r>
      <w:r w:rsidR="00B72CE9" w:rsidRPr="00C94003">
        <w:t xml:space="preserve">Povoliť vydanie </w:t>
      </w:r>
      <w:r w:rsidR="00066699" w:rsidRPr="00C94003">
        <w:t xml:space="preserve">ministerstvom </w:t>
      </w:r>
      <w:r w:rsidR="00B72CE9" w:rsidRPr="00C94003">
        <w:t xml:space="preserve">je možné iba v prípade vyslovenia prípustnosti vydania súdom. </w:t>
      </w:r>
      <w:r w:rsidR="008576DA" w:rsidRPr="00C94003">
        <w:t>P</w:t>
      </w:r>
      <w:r w:rsidR="00B72CE9" w:rsidRPr="00C94003">
        <w:t>otreba vyžiadania záruk</w:t>
      </w:r>
      <w:r w:rsidR="008576DA" w:rsidRPr="00C94003">
        <w:t xml:space="preserve"> bola pôvodne zamýšľaná až pri posudzovaní povolenia vydania</w:t>
      </w:r>
      <w:r w:rsidR="00EC6252" w:rsidRPr="00C94003">
        <w:t xml:space="preserve"> (§ 510 TP)</w:t>
      </w:r>
      <w:r w:rsidR="00B72CE9" w:rsidRPr="00C94003">
        <w:t>.</w:t>
      </w:r>
    </w:p>
    <w:p w:rsidR="00B72CE9" w:rsidRPr="00C94003" w:rsidRDefault="00B72CE9" w:rsidP="00ED75DC">
      <w:pPr>
        <w:jc w:val="both"/>
      </w:pPr>
    </w:p>
    <w:p w:rsidR="00470B3E" w:rsidRPr="00C94003" w:rsidRDefault="00EC6252" w:rsidP="00ED75DC">
      <w:pPr>
        <w:jc w:val="both"/>
      </w:pPr>
      <w:r w:rsidRPr="00C94003">
        <w:t>Súčasná prax</w:t>
      </w:r>
      <w:r w:rsidR="00B605B2" w:rsidRPr="00C94003">
        <w:t xml:space="preserve">, vyplývajúca z viacerých rozhodnutí ESĽP, </w:t>
      </w:r>
      <w:r w:rsidR="005C7E58" w:rsidRPr="00C94003">
        <w:t xml:space="preserve">je však taká, že </w:t>
      </w:r>
      <w:r w:rsidRPr="00C94003">
        <w:t>súd</w:t>
      </w:r>
      <w:r w:rsidR="005C7E58" w:rsidRPr="00C94003">
        <w:t>y</w:t>
      </w:r>
      <w:r w:rsidRPr="00C94003">
        <w:t xml:space="preserve"> a</w:t>
      </w:r>
      <w:r w:rsidR="00B62CDF" w:rsidRPr="00C94003">
        <w:t xml:space="preserve"> v dôsledku nevyhnutnosti zabezpečenia všetkých podkladov pre rozhodnutie súdu v rámci predbežného vyšetrovania </w:t>
      </w:r>
      <w:r w:rsidRPr="00C94003">
        <w:t>aj prokuratúr</w:t>
      </w:r>
      <w:r w:rsidR="005C7E58" w:rsidRPr="00C94003">
        <w:t>a</w:t>
      </w:r>
      <w:r w:rsidR="00B62CDF" w:rsidRPr="00C94003">
        <w:t>,</w:t>
      </w:r>
      <w:r w:rsidRPr="00C94003">
        <w:t xml:space="preserve"> začal</w:t>
      </w:r>
      <w:r w:rsidR="005C7E58" w:rsidRPr="00C94003">
        <w:t>i</w:t>
      </w:r>
      <w:r w:rsidRPr="00C94003">
        <w:t xml:space="preserve"> vyžadovať a posudzovať potrebu vydania záruk už v štádiu posudzovania prípustnosti vydania. Súdy sa odvolávajú na judikatúru k čl. 6</w:t>
      </w:r>
      <w:r w:rsidR="005C7E58" w:rsidRPr="00C94003">
        <w:t xml:space="preserve"> EDĽP</w:t>
      </w:r>
      <w:r w:rsidRPr="00C94003">
        <w:t>. Uvedené sa realizuje buď prostredníctvom žiadosti súdu adresovanej ministerstvu so žiadosťou o vyžiadanie záruk ako podmienky posúdenia prípustnosti vydania</w:t>
      </w:r>
      <w:r w:rsidR="00C94003" w:rsidRPr="00C94003">
        <w:t>,</w:t>
      </w:r>
      <w:r w:rsidRPr="00C94003">
        <w:t xml:space="preserve"> alebo prostredníctvom prokuratúry, ktorá vstupuje do pria</w:t>
      </w:r>
      <w:r w:rsidR="00470B3E" w:rsidRPr="00C94003">
        <w:t xml:space="preserve">mej komunikácie s tretím štátom. </w:t>
      </w:r>
      <w:r w:rsidR="001C1F9A" w:rsidRPr="00C94003">
        <w:t>V tejto súvislosti bude potrebné problematiku posudzovať aj v</w:t>
      </w:r>
      <w:r w:rsidR="00A25061" w:rsidRPr="00C94003">
        <w:t xml:space="preserve">o svetle </w:t>
      </w:r>
      <w:r w:rsidR="001C1F9A" w:rsidRPr="00C94003">
        <w:t>relevantnej judikatúry</w:t>
      </w:r>
      <w:r w:rsidR="00066699" w:rsidRPr="00C94003">
        <w:t xml:space="preserve"> </w:t>
      </w:r>
      <w:r w:rsidR="0022129D" w:rsidRPr="00C94003">
        <w:t xml:space="preserve">ESĽP </w:t>
      </w:r>
      <w:r w:rsidR="00066699" w:rsidRPr="00C94003">
        <w:t xml:space="preserve">a Ústavného súdu SR. </w:t>
      </w:r>
      <w:r w:rsidR="00A25061" w:rsidRPr="00C94003">
        <w:t xml:space="preserve"> </w:t>
      </w:r>
    </w:p>
    <w:p w:rsidR="00066699" w:rsidRPr="00C94003" w:rsidRDefault="00066699" w:rsidP="00ED75DC">
      <w:pPr>
        <w:jc w:val="both"/>
      </w:pPr>
    </w:p>
    <w:p w:rsidR="00EC6252" w:rsidRPr="00C94003" w:rsidRDefault="00470B3E" w:rsidP="00ED75DC">
      <w:pPr>
        <w:jc w:val="both"/>
      </w:pPr>
      <w:r w:rsidRPr="00C94003">
        <w:t>Prax</w:t>
      </w:r>
      <w:r w:rsidR="00066699" w:rsidRPr="00C94003">
        <w:t xml:space="preserve"> priameho styku justičných orgánov </w:t>
      </w:r>
      <w:r w:rsidRPr="00C94003">
        <w:t xml:space="preserve">je charakteristická pre justičnú spoluprácu medzi </w:t>
      </w:r>
      <w:r w:rsidR="00626E72" w:rsidRPr="00C94003">
        <w:t xml:space="preserve"> </w:t>
      </w:r>
      <w:r w:rsidRPr="00C94003">
        <w:t xml:space="preserve">štátmi EÚ, nie však v medzinárodnej spolupráci. V nadväznosti na uvedené bude potrebné tieto vzťahy a mechanizmy nastaviť, prípadne </w:t>
      </w:r>
      <w:r w:rsidR="00C94003">
        <w:t>s</w:t>
      </w:r>
      <w:r w:rsidRPr="00C94003">
        <w:t>presniť aj z hľadiska nových trendov s prihliadnutím na zohľadnenie medzinárodných zvyklostí. Osobitne bude potrebné sa vysporiadať s otázkou posudzovania a zachovania základných ľudských práv nielen v rámci spolupráce s členskými štátmi Rady Európy, ale i všeobecne vo vzťahu k tretím štátom mimo právneho rámca EÚ a R</w:t>
      </w:r>
      <w:r w:rsidR="00BE0E66" w:rsidRPr="00C94003">
        <w:t>ady Európy</w:t>
      </w:r>
      <w:r w:rsidRPr="00C94003">
        <w:t xml:space="preserve">. Vývoj judikatúry ESĽP, ako aj </w:t>
      </w:r>
      <w:r w:rsidR="008E2F9D">
        <w:t>Súdneho dvora EÚ</w:t>
      </w:r>
      <w:r w:rsidRPr="00C94003">
        <w:t xml:space="preserve"> bude v tomto smere určujúci.</w:t>
      </w:r>
    </w:p>
    <w:p w:rsidR="00E92708" w:rsidRPr="00C94003" w:rsidRDefault="00E92708" w:rsidP="00ED75DC">
      <w:pPr>
        <w:jc w:val="both"/>
      </w:pPr>
    </w:p>
    <w:p w:rsidR="00E92708" w:rsidRPr="00C94003" w:rsidRDefault="00E92708" w:rsidP="00611DD2">
      <w:pPr>
        <w:numPr>
          <w:ilvl w:val="0"/>
          <w:numId w:val="24"/>
        </w:numPr>
        <w:jc w:val="both"/>
        <w:rPr>
          <w:u w:val="single"/>
        </w:rPr>
      </w:pPr>
      <w:r w:rsidRPr="00C94003">
        <w:rPr>
          <w:u w:val="single"/>
        </w:rPr>
        <w:t xml:space="preserve">zásada aut dedere aut </w:t>
      </w:r>
      <w:r w:rsidR="00C94003">
        <w:rPr>
          <w:u w:val="single"/>
        </w:rPr>
        <w:t>j</w:t>
      </w:r>
      <w:r w:rsidRPr="00C94003">
        <w:rPr>
          <w:u w:val="single"/>
        </w:rPr>
        <w:t>udicare (vydať alebo stíhať)</w:t>
      </w:r>
    </w:p>
    <w:p w:rsidR="00B64F0C" w:rsidRPr="00C94003" w:rsidRDefault="00B64F0C" w:rsidP="00ED75DC">
      <w:pPr>
        <w:jc w:val="both"/>
      </w:pPr>
    </w:p>
    <w:p w:rsidR="004D0CC2" w:rsidRPr="00C94003" w:rsidRDefault="00A94FDE" w:rsidP="00ED75DC">
      <w:pPr>
        <w:jc w:val="both"/>
      </w:pPr>
      <w:r w:rsidRPr="00C94003">
        <w:t xml:space="preserve">Postup upravený Trestným poriadkom pri konaní o vydaní osoby pokiaľ ide o rozhodovanie ministra spravodlivosti upravený v §510 môže vyústiť aj do nepovolenia vydania, pokiaľ prípad napĺňa jeden alebo viac dôvodov </w:t>
      </w:r>
      <w:r w:rsidR="00A22588" w:rsidRPr="00C94003">
        <w:t xml:space="preserve">taxatívne vymenovaných </w:t>
      </w:r>
      <w:r w:rsidRPr="00C94003">
        <w:t xml:space="preserve">v §510 ods. 2. Po zamietnutí vydania ministerstvo spravodlivosti obligatórne </w:t>
      </w:r>
      <w:r w:rsidR="00C16A15" w:rsidRPr="00C94003">
        <w:t xml:space="preserve">postupuje podľa </w:t>
      </w:r>
      <w:r w:rsidRPr="00C94003">
        <w:t>§510 ods. 3</w:t>
      </w:r>
      <w:r w:rsidR="00C16A15" w:rsidRPr="00C94003">
        <w:t xml:space="preserve">, ktorý zakotvuje tradičnú zásadu v extradičnom konaní </w:t>
      </w:r>
      <w:r w:rsidR="00C16A15" w:rsidRPr="00C94003">
        <w:rPr>
          <w:i/>
        </w:rPr>
        <w:t xml:space="preserve">aut dedere aut </w:t>
      </w:r>
      <w:r w:rsidR="00C94003">
        <w:rPr>
          <w:i/>
        </w:rPr>
        <w:t>j</w:t>
      </w:r>
      <w:r w:rsidR="00C16A15" w:rsidRPr="00C94003">
        <w:rPr>
          <w:i/>
        </w:rPr>
        <w:t>udicare</w:t>
      </w:r>
      <w:r w:rsidR="004D0CC2" w:rsidRPr="00C94003">
        <w:rPr>
          <w:i/>
        </w:rPr>
        <w:t xml:space="preserve"> (</w:t>
      </w:r>
      <w:r w:rsidR="00CF4802" w:rsidRPr="00C94003">
        <w:rPr>
          <w:i/>
        </w:rPr>
        <w:t xml:space="preserve">buď </w:t>
      </w:r>
      <w:r w:rsidR="004D0CC2" w:rsidRPr="00C94003">
        <w:rPr>
          <w:i/>
        </w:rPr>
        <w:t>vydať alebo súdiť)</w:t>
      </w:r>
      <w:r w:rsidR="00C16A15" w:rsidRPr="00C94003">
        <w:t>. Ustanovenie bolo pôvodne reakciou na situácie, ktoré sa vyznačovali zákazom vydávania vlastných občanov, avšak</w:t>
      </w:r>
      <w:r w:rsidR="00CF43FB" w:rsidRPr="00C94003">
        <w:t xml:space="preserve"> v súčasnosti je jeho potenciál využitia širší. </w:t>
      </w:r>
    </w:p>
    <w:p w:rsidR="004D0CC2" w:rsidRPr="00C94003" w:rsidRDefault="004D0CC2" w:rsidP="00ED75DC">
      <w:pPr>
        <w:jc w:val="both"/>
      </w:pPr>
    </w:p>
    <w:p w:rsidR="00E92708" w:rsidRPr="00C94003" w:rsidRDefault="00CF43FB" w:rsidP="00ED75DC">
      <w:pPr>
        <w:jc w:val="both"/>
      </w:pPr>
      <w:r w:rsidRPr="00C94003">
        <w:t>Prax naznačuje niekoľko aplikačných problémov, ktoré oslabujú samotný cieľ ustanovenia. Ide napr. o</w:t>
      </w:r>
      <w:r w:rsidR="00C94003">
        <w:t> </w:t>
      </w:r>
      <w:r w:rsidR="00D8252D" w:rsidRPr="00C94003">
        <w:t>situáciu</w:t>
      </w:r>
      <w:r w:rsidR="00C94003">
        <w:t>,</w:t>
      </w:r>
      <w:r w:rsidR="00D8252D" w:rsidRPr="00C94003">
        <w:t xml:space="preserve"> keď </w:t>
      </w:r>
      <w:r w:rsidRPr="00C94003">
        <w:t>štát, do ktorého minister spravodlivosti nepovolil vydanie a ktorý disponuje dôkazmi o trestnej činnosti obžalovaného, nemá záujem spolupracovať pri poskytnutí spisového a iného materiálu prokuratúre Slovenskej republiky. Rovnako je zmysel tohto ustanovenia oslabený v prípade, pokiaľ obžalovaný, ku ktorého vydaniu do iného štátu minister spravodlivosti zaujal odmietavé rozhodnutie, po prepustení z vydávacej väzby opustí územie Slovenskej republiky. Ustanovenie má svoje opodstatnenie</w:t>
      </w:r>
      <w:r w:rsidR="00C94003">
        <w:t>,</w:t>
      </w:r>
      <w:r w:rsidRPr="00C94003">
        <w:t xml:space="preserve"> avšak praktické prekážky </w:t>
      </w:r>
      <w:r w:rsidRPr="00C94003">
        <w:lastRenderedPageBreak/>
        <w:t>jeho úplného naplnenia bude potrebné analyzovať a následne navrhnúť legislatívne príp. praktické opatrenia.</w:t>
      </w:r>
    </w:p>
    <w:p w:rsidR="00E92708" w:rsidRPr="00C94003" w:rsidRDefault="00E92708" w:rsidP="00ED75DC">
      <w:pPr>
        <w:jc w:val="both"/>
      </w:pPr>
    </w:p>
    <w:p w:rsidR="007A05EC" w:rsidRPr="00C94003" w:rsidRDefault="006929A5" w:rsidP="00C94003">
      <w:pPr>
        <w:numPr>
          <w:ilvl w:val="0"/>
          <w:numId w:val="26"/>
        </w:numPr>
        <w:ind w:left="709"/>
        <w:jc w:val="both"/>
        <w:rPr>
          <w:b/>
          <w:strike/>
          <w:u w:val="single"/>
        </w:rPr>
      </w:pPr>
      <w:r w:rsidRPr="00C94003">
        <w:rPr>
          <w:b/>
          <w:u w:val="single"/>
        </w:rPr>
        <w:t>Rev</w:t>
      </w:r>
      <w:r w:rsidR="00BA155B" w:rsidRPr="00C94003">
        <w:rPr>
          <w:b/>
          <w:u w:val="single"/>
        </w:rPr>
        <w:t>í</w:t>
      </w:r>
      <w:r w:rsidRPr="00C94003">
        <w:rPr>
          <w:b/>
          <w:u w:val="single"/>
        </w:rPr>
        <w:t xml:space="preserve">zia podmienok prelamujúcich prekážku zásady </w:t>
      </w:r>
      <w:r w:rsidR="00BA155B" w:rsidRPr="00C94003">
        <w:rPr>
          <w:b/>
          <w:u w:val="single"/>
        </w:rPr>
        <w:t xml:space="preserve">špeciality </w:t>
      </w:r>
    </w:p>
    <w:p w:rsidR="007A05EC" w:rsidRPr="00C94003" w:rsidRDefault="007A05EC" w:rsidP="00ED75DC">
      <w:pPr>
        <w:jc w:val="both"/>
        <w:rPr>
          <w:b/>
        </w:rPr>
      </w:pPr>
    </w:p>
    <w:p w:rsidR="00066699" w:rsidRPr="00C94003" w:rsidRDefault="007A05EC" w:rsidP="00ED75DC">
      <w:pPr>
        <w:jc w:val="both"/>
      </w:pPr>
      <w:r w:rsidRPr="00C94003">
        <w:t xml:space="preserve">Extradičné konania majú </w:t>
      </w:r>
      <w:r w:rsidR="001900DF" w:rsidRPr="00C94003">
        <w:t xml:space="preserve">v rôznych právnych systémoch </w:t>
      </w:r>
      <w:r w:rsidRPr="00C94003">
        <w:t xml:space="preserve">rôzny charakter. Pokiaľ pre </w:t>
      </w:r>
      <w:r w:rsidRPr="00C94003">
        <w:rPr>
          <w:i/>
        </w:rPr>
        <w:t>common law</w:t>
      </w:r>
      <w:r w:rsidRPr="00C94003">
        <w:t xml:space="preserve"> krajiny je tradičným prístupom súdne konanie s preskúmavaním zákonnosti cudzieho práva, pre systémy kontinentálneho práva tento prístup nie je tradičným. </w:t>
      </w:r>
      <w:r w:rsidR="001900DF" w:rsidRPr="00C94003">
        <w:t xml:space="preserve"> Ustanovenie </w:t>
      </w:r>
      <w:r w:rsidRPr="00C94003">
        <w:t>§496 ods. 2 písm. b) TP</w:t>
      </w:r>
      <w:r w:rsidR="001900DF" w:rsidRPr="00C94003">
        <w:t xml:space="preserve"> stanovuje, že zásada špeciality sa voči vydanej osoba z tretieho štátu neuplatní, pokiaľ bola na územie Slovenskej republiky „</w:t>
      </w:r>
      <w:r w:rsidR="001900DF" w:rsidRPr="00C94003">
        <w:rPr>
          <w:shd w:val="clear" w:color="auto" w:fill="FFFFFF"/>
        </w:rPr>
        <w:t>dopravená z tretieho štátu zákonným spôsobom“.</w:t>
      </w:r>
      <w:r w:rsidR="00E71A0B" w:rsidRPr="00C94003">
        <w:t xml:space="preserve"> </w:t>
      </w:r>
      <w:r w:rsidR="001900DF" w:rsidRPr="00C94003">
        <w:t xml:space="preserve">Hoci zámerom §496 ods. 2 písm. b) TP nebolo umožniť preskúmavania zákonnosti cudzieho práva slovenským súdom, pokus o dosiahnutie takejto aplikácie uvedeného ustanovenia už ministerstvo zaznamenalo. Je na posúdení súdu, či </w:t>
      </w:r>
      <w:r w:rsidR="00D8252D" w:rsidRPr="00C94003">
        <w:t xml:space="preserve">sa </w:t>
      </w:r>
      <w:r w:rsidR="001900DF" w:rsidRPr="00C94003">
        <w:t xml:space="preserve">podmienku „dopravená zákonným spôsobom“ bude vykladať ako „dopravenie v súlade so slovenským právnym poriadkom“, alebo toto posúdenie rozšíri aj na súlad s právnym poriadkom tretieho (cudzieho) štátu. </w:t>
      </w:r>
      <w:r w:rsidR="00E71A0B" w:rsidRPr="00C94003">
        <w:t>Z tohto dôvodu je potrebné</w:t>
      </w:r>
      <w:r w:rsidR="00D8252D" w:rsidRPr="00C94003">
        <w:t>,</w:t>
      </w:r>
      <w:r w:rsidR="00E71A0B" w:rsidRPr="00C94003">
        <w:t xml:space="preserve"> </w:t>
      </w:r>
      <w:r w:rsidR="00D8252D" w:rsidRPr="00C94003">
        <w:t>n</w:t>
      </w:r>
      <w:r w:rsidR="006929A5" w:rsidRPr="00C94003">
        <w:t>a základe skúseností zaznamenaných v rámci aplikačnej praxe</w:t>
      </w:r>
      <w:r w:rsidR="00D8252D" w:rsidRPr="00C94003">
        <w:t>,</w:t>
      </w:r>
      <w:r w:rsidR="006929A5" w:rsidRPr="00C94003">
        <w:t xml:space="preserve"> </w:t>
      </w:r>
      <w:r w:rsidR="001900DF" w:rsidRPr="00C94003">
        <w:t>analyz</w:t>
      </w:r>
      <w:r w:rsidR="00C94003">
        <w:t>ovať vhodnosť a možné dôsledky platnej právnej úpravy</w:t>
      </w:r>
      <w:r w:rsidR="00BA155B" w:rsidRPr="00C94003">
        <w:t>.</w:t>
      </w:r>
    </w:p>
    <w:p w:rsidR="00066699" w:rsidRPr="00C94003" w:rsidRDefault="00066699" w:rsidP="00ED75DC">
      <w:pPr>
        <w:jc w:val="both"/>
      </w:pPr>
    </w:p>
    <w:p w:rsidR="00C47494" w:rsidRPr="00C94003" w:rsidRDefault="006C553B" w:rsidP="00611DD2">
      <w:pPr>
        <w:numPr>
          <w:ilvl w:val="0"/>
          <w:numId w:val="26"/>
        </w:numPr>
        <w:ind w:left="709"/>
        <w:jc w:val="both"/>
        <w:rPr>
          <w:b/>
          <w:i/>
        </w:rPr>
      </w:pPr>
      <w:r w:rsidRPr="00C94003">
        <w:rPr>
          <w:b/>
          <w:u w:val="single"/>
        </w:rPr>
        <w:t>O</w:t>
      </w:r>
      <w:r w:rsidR="00355730" w:rsidRPr="00C94003">
        <w:rPr>
          <w:b/>
          <w:u w:val="single"/>
        </w:rPr>
        <w:t xml:space="preserve">dovzdanie trestnej veci  </w:t>
      </w:r>
    </w:p>
    <w:p w:rsidR="00E71A0B" w:rsidRPr="00C94003" w:rsidRDefault="00E71A0B" w:rsidP="00ED75DC">
      <w:pPr>
        <w:jc w:val="both"/>
      </w:pPr>
    </w:p>
    <w:p w:rsidR="00C47494" w:rsidRPr="00C94003" w:rsidRDefault="00E71A0B" w:rsidP="00ED75DC">
      <w:pPr>
        <w:jc w:val="both"/>
      </w:pPr>
      <w:r w:rsidRPr="00C94003">
        <w:t>V</w:t>
      </w:r>
      <w:r w:rsidR="00C47494" w:rsidRPr="00C94003">
        <w:t xml:space="preserve">zhľadom na </w:t>
      </w:r>
      <w:r w:rsidR="00C94003">
        <w:t>aplikačnú</w:t>
      </w:r>
      <w:r w:rsidR="00C47494" w:rsidRPr="00C94003">
        <w:t xml:space="preserve"> prax sa javí</w:t>
      </w:r>
      <w:r w:rsidR="00CE5808" w:rsidRPr="00C94003">
        <w:t xml:space="preserve"> ako</w:t>
      </w:r>
      <w:r w:rsidR="00C47494" w:rsidRPr="00C94003">
        <w:t xml:space="preserve"> potrebné zamyslieť sa nad dostatočnosťou zákonných podmienok pre odovzdanie trestnej veci do cudziny (§529 TP)</w:t>
      </w:r>
      <w:r w:rsidR="00C832EA" w:rsidRPr="00C94003">
        <w:t>, osobitne nad potrebou jej sprísnenia, resp. detailnejšieho rozpracovania.</w:t>
      </w:r>
      <w:r w:rsidR="0082713C" w:rsidRPr="00C94003">
        <w:t xml:space="preserve"> Štandardy medzinárodného práva uprednostňujú z hľadiska postupu gradáciu opatrení, pričom odovzdanie trestnej veci by malo byť opatrenie, ktoré bude jedným z posledných (pred tým napr. snaha o vydanie osoby</w:t>
      </w:r>
      <w:r w:rsidR="00C6303C" w:rsidRPr="00C94003">
        <w:t>). Vzhľadom na dopady rozhodnutia v zmysle spomenutých ustanovení, by mali byť podmienky, ale aj postup z hľadiska jeho detailnosti analyzovaný.</w:t>
      </w:r>
      <w:r w:rsidR="0082713C" w:rsidRPr="00C94003">
        <w:t xml:space="preserve"> </w:t>
      </w:r>
    </w:p>
    <w:p w:rsidR="00C832EA" w:rsidRPr="00C94003" w:rsidRDefault="00C832EA" w:rsidP="00ED75DC">
      <w:pPr>
        <w:jc w:val="both"/>
      </w:pPr>
    </w:p>
    <w:p w:rsidR="00326F7C" w:rsidRPr="00C94003" w:rsidRDefault="00326F7C" w:rsidP="00542B31">
      <w:pPr>
        <w:jc w:val="both"/>
      </w:pPr>
      <w:r w:rsidRPr="00C94003">
        <w:t xml:space="preserve">Prax priniesla aj úvahy </w:t>
      </w:r>
      <w:r w:rsidR="00792967" w:rsidRPr="00C94003">
        <w:t>o </w:t>
      </w:r>
      <w:r w:rsidRPr="00C94003">
        <w:t>užitočnos</w:t>
      </w:r>
      <w:r w:rsidR="00792967" w:rsidRPr="00C94003">
        <w:t xml:space="preserve">ti </w:t>
      </w:r>
      <w:r w:rsidR="00542B31" w:rsidRPr="00C94003">
        <w:t xml:space="preserve">zmeny </w:t>
      </w:r>
      <w:r w:rsidR="00792967" w:rsidRPr="00C94003">
        <w:t xml:space="preserve">legislatívnej </w:t>
      </w:r>
      <w:r w:rsidRPr="00C94003">
        <w:t xml:space="preserve">úpravy podmienok odovzdania trestnej veci, </w:t>
      </w:r>
      <w:r w:rsidR="00792967" w:rsidRPr="00C94003">
        <w:t xml:space="preserve">formou ich primeraného rozšírenia, </w:t>
      </w:r>
      <w:r w:rsidRPr="00C94003">
        <w:t xml:space="preserve">a to v súlade </w:t>
      </w:r>
      <w:r w:rsidR="00792967" w:rsidRPr="00C94003">
        <w:t>s Dohovorom Rady Európy o odovzdávaní trestného konania. Opodstatnenosť je na mieste s ohľadom na obmedzenia, ktoré prináša počet štátov, ktoré sú viazané uvedeným dohovorom a z toho vyplývajúce následné uplatnenie zásady vzájomnosti pri spolupráci založenej t</w:t>
      </w:r>
      <w:r w:rsidR="00542B31" w:rsidRPr="00C94003">
        <w:t>ý</w:t>
      </w:r>
      <w:r w:rsidR="00792967" w:rsidRPr="00C94003">
        <w:t>mto inštitútom. Medzi dôvody potreby prehodnotiť rozsah potenciálneho využitia je napr. aj vzťah k ustanoveniu  §530a a logická snaha o koncentrovanie paralelných konaní do jedného štátu pri viacerých spolupáchateľoch, ktorí nemusia mať bydlisko v danom štát</w:t>
      </w:r>
      <w:r w:rsidR="00683143" w:rsidRPr="00C94003">
        <w:t>e</w:t>
      </w:r>
      <w:r w:rsidR="00792967" w:rsidRPr="00C94003">
        <w:t xml:space="preserve"> </w:t>
      </w:r>
      <w:r w:rsidR="00C94003">
        <w:t xml:space="preserve">a </w:t>
      </w:r>
      <w:r w:rsidR="00792967" w:rsidRPr="00C94003">
        <w:t xml:space="preserve">ani sa tam nemusia zdržovať. </w:t>
      </w:r>
    </w:p>
    <w:p w:rsidR="00792967" w:rsidRPr="00C94003" w:rsidRDefault="00792967" w:rsidP="00ED75DC">
      <w:pPr>
        <w:jc w:val="both"/>
        <w:rPr>
          <w:b/>
          <w:i/>
        </w:rPr>
      </w:pPr>
    </w:p>
    <w:p w:rsidR="001732ED" w:rsidRPr="00C94003" w:rsidRDefault="00A3354D" w:rsidP="00611DD2">
      <w:pPr>
        <w:numPr>
          <w:ilvl w:val="0"/>
          <w:numId w:val="26"/>
        </w:numPr>
        <w:ind w:left="709"/>
        <w:jc w:val="both"/>
        <w:rPr>
          <w:b/>
          <w:u w:val="single"/>
        </w:rPr>
      </w:pPr>
      <w:r w:rsidRPr="00C94003">
        <w:rPr>
          <w:b/>
          <w:u w:val="single"/>
        </w:rPr>
        <w:t>R</w:t>
      </w:r>
      <w:r w:rsidR="00355730" w:rsidRPr="00C94003">
        <w:rPr>
          <w:b/>
          <w:u w:val="single"/>
        </w:rPr>
        <w:t xml:space="preserve">evízia niektorých prerogatív ministra </w:t>
      </w:r>
    </w:p>
    <w:p w:rsidR="001732ED" w:rsidRPr="00C94003" w:rsidRDefault="001732ED" w:rsidP="00ED75DC">
      <w:pPr>
        <w:jc w:val="both"/>
      </w:pPr>
    </w:p>
    <w:p w:rsidR="001732ED" w:rsidRPr="00C94003" w:rsidRDefault="00DD7D64" w:rsidP="00ED75DC">
      <w:pPr>
        <w:jc w:val="both"/>
      </w:pPr>
      <w:r w:rsidRPr="00C94003">
        <w:t>V rámci prípravy návrhu zákona o justičnej spolupráci v trestných veciach b</w:t>
      </w:r>
      <w:r w:rsidR="001732ED" w:rsidRPr="00C94003">
        <w:t xml:space="preserve">ude potrebné </w:t>
      </w:r>
      <w:r w:rsidR="002A174D" w:rsidRPr="00C94003">
        <w:t>vykonať dôslednú a komplexnú revíziu prerogatív ministra spravodlivosti</w:t>
      </w:r>
      <w:r w:rsidR="00D8252D" w:rsidRPr="00C94003">
        <w:t>. Malo by sa najmä</w:t>
      </w:r>
      <w:r w:rsidR="002A174D" w:rsidRPr="00C94003">
        <w:t xml:space="preserve"> </w:t>
      </w:r>
      <w:r w:rsidR="001732ED" w:rsidRPr="00C94003">
        <w:t>posúdiť, v ktorých prípadoch pri styku s cudzinou je nevyhnutné, aby rozhodoval výlučne minister spravodlivosti a kedy je dostatočné rozhodnutie minister</w:t>
      </w:r>
      <w:r w:rsidR="00F33FAA" w:rsidRPr="00C94003">
        <w:t>s</w:t>
      </w:r>
      <w:r w:rsidR="001732ED" w:rsidRPr="00C94003">
        <w:t>tva. Ako príklad budúceho posúde</w:t>
      </w:r>
      <w:r w:rsidR="00F33FAA" w:rsidRPr="00C94003">
        <w:t>n</w:t>
      </w:r>
      <w:r w:rsidR="001732ED" w:rsidRPr="00C94003">
        <w:t xml:space="preserve">ia možno uviesť súčasnú požiadavku rozhodnutia ministrom spravodlivosti pri povoľovaní prevozov cez územie Slovenskej republiky. Táto otázka </w:t>
      </w:r>
      <w:r w:rsidR="002043AC" w:rsidRPr="00C94003">
        <w:t>naberá na význame</w:t>
      </w:r>
      <w:r w:rsidR="001732ED" w:rsidRPr="00C94003">
        <w:t xml:space="preserve"> v rámci spoločného priestoru bezpečnosti, slobody a spravodlivosti (teda p</w:t>
      </w:r>
      <w:r w:rsidR="002043AC" w:rsidRPr="00C94003">
        <w:t xml:space="preserve">ovoľovanie prevozu medzi </w:t>
      </w:r>
      <w:r w:rsidR="00BE0E66" w:rsidRPr="00C94003">
        <w:t xml:space="preserve">členskými štátmi </w:t>
      </w:r>
      <w:r w:rsidR="002043AC" w:rsidRPr="00C94003">
        <w:t>EÚ), kde je pri častých žiadostiach o prevoz súhlas ministra spravodlivosti degradovaný na úroveň formality, ktorú je navyše často potrebné zabezpečiť vo veľmi krátkej lehote.</w:t>
      </w:r>
      <w:r w:rsidR="001732ED" w:rsidRPr="00C94003">
        <w:t xml:space="preserve"> </w:t>
      </w:r>
      <w:r w:rsidR="003761E8" w:rsidRPr="00C94003">
        <w:t>V tejto súvislosti považujeme tiež za dôležité upraviť situáciu žiadostí o prevoz územím iného štátu.</w:t>
      </w:r>
    </w:p>
    <w:p w:rsidR="001732ED" w:rsidRPr="00C94003" w:rsidRDefault="001732ED" w:rsidP="00ED75DC">
      <w:pPr>
        <w:jc w:val="both"/>
      </w:pPr>
    </w:p>
    <w:p w:rsidR="009A5B60" w:rsidRPr="00C94003" w:rsidRDefault="007E63BB" w:rsidP="00C94003">
      <w:pPr>
        <w:numPr>
          <w:ilvl w:val="0"/>
          <w:numId w:val="26"/>
        </w:numPr>
        <w:ind w:left="709"/>
        <w:jc w:val="both"/>
        <w:rPr>
          <w:b/>
          <w:u w:val="single"/>
        </w:rPr>
      </w:pPr>
      <w:r w:rsidRPr="00C94003">
        <w:rPr>
          <w:b/>
          <w:u w:val="single"/>
        </w:rPr>
        <w:lastRenderedPageBreak/>
        <w:t xml:space="preserve">Právna pomoc </w:t>
      </w:r>
    </w:p>
    <w:p w:rsidR="00D06B18" w:rsidRPr="00C94003" w:rsidRDefault="00D06B18" w:rsidP="00ED75DC">
      <w:pPr>
        <w:ind w:left="360"/>
        <w:jc w:val="both"/>
      </w:pPr>
    </w:p>
    <w:p w:rsidR="00D64E8B" w:rsidRPr="00C94003" w:rsidRDefault="00DD7D64" w:rsidP="00ED75DC">
      <w:pPr>
        <w:jc w:val="both"/>
      </w:pPr>
      <w:r w:rsidRPr="00C94003">
        <w:t>V rámci príprav návrhu zákona o justičnej spolupráci v trestných veciach b</w:t>
      </w:r>
      <w:r w:rsidR="009A5B60" w:rsidRPr="00C94003">
        <w:t xml:space="preserve">ude potrebné </w:t>
      </w:r>
      <w:r w:rsidR="00CC1C07" w:rsidRPr="00C94003">
        <w:t xml:space="preserve"> analyzovať</w:t>
      </w:r>
      <w:r w:rsidR="009A5B60" w:rsidRPr="00C94003">
        <w:t xml:space="preserve"> dostatočnosť</w:t>
      </w:r>
      <w:r w:rsidR="00CC1C07" w:rsidRPr="00C94003">
        <w:t xml:space="preserve"> a komplexnosť</w:t>
      </w:r>
      <w:r w:rsidR="009A5B60" w:rsidRPr="00C94003">
        <w:t xml:space="preserve"> existujúcej právnej úpravy</w:t>
      </w:r>
      <w:r w:rsidR="00CC1C07" w:rsidRPr="00C94003">
        <w:t xml:space="preserve"> piatej hlavy V.</w:t>
      </w:r>
      <w:r w:rsidRPr="00C94003">
        <w:t xml:space="preserve"> časti T</w:t>
      </w:r>
      <w:r w:rsidR="002043AC" w:rsidRPr="00C94003">
        <w:t>P,</w:t>
      </w:r>
      <w:r w:rsidR="003761E8" w:rsidRPr="00C94003">
        <w:t xml:space="preserve"> </w:t>
      </w:r>
      <w:r w:rsidR="00A3198C" w:rsidRPr="00C94003">
        <w:t xml:space="preserve">vo vzťahu ku globalizačným trendom, vrátane </w:t>
      </w:r>
      <w:r w:rsidR="007C58E0" w:rsidRPr="00C94003">
        <w:t>digitalizácie</w:t>
      </w:r>
      <w:r w:rsidR="00B352DB" w:rsidRPr="00C94003">
        <w:t xml:space="preserve">, ako aj  prehodnotenia postupov doručovania žiadostí </w:t>
      </w:r>
      <w:r w:rsidR="00D8252D" w:rsidRPr="00C94003">
        <w:t xml:space="preserve">za účelom </w:t>
      </w:r>
      <w:r w:rsidR="00B352DB" w:rsidRPr="00C94003">
        <w:t>zrýchleni</w:t>
      </w:r>
      <w:r w:rsidR="00D8252D" w:rsidRPr="00C94003">
        <w:t>a</w:t>
      </w:r>
      <w:r w:rsidR="00B352DB" w:rsidRPr="00C94003">
        <w:t xml:space="preserve"> a zefektívneni</w:t>
      </w:r>
      <w:r w:rsidR="00D8252D" w:rsidRPr="00C94003">
        <w:t>a</w:t>
      </w:r>
      <w:r w:rsidR="00B352DB" w:rsidRPr="00C94003">
        <w:t xml:space="preserve"> vykonania právnej pomoci</w:t>
      </w:r>
      <w:r w:rsidR="007C58E0" w:rsidRPr="00C94003">
        <w:t xml:space="preserve">. </w:t>
      </w:r>
      <w:r w:rsidR="00327475" w:rsidRPr="00C94003">
        <w:t>Je nevyhnutné doplniť úpravu všeobecnej časti o ďalšie osobitné formy právnej pomoci, úpravu vytvorenia a pôsobenia spoločných vyšetrovacích tímov</w:t>
      </w:r>
      <w:r w:rsidR="00D8252D" w:rsidRPr="00C94003">
        <w:t xml:space="preserve"> a</w:t>
      </w:r>
      <w:r w:rsidR="00327475" w:rsidRPr="00C94003">
        <w:t xml:space="preserve"> dôsledne analyzovať existujúce osobitné formy právnej pomoci, ako napríklad cezhraničné sledovanie. </w:t>
      </w:r>
    </w:p>
    <w:p w:rsidR="00C94003" w:rsidRDefault="00C94003" w:rsidP="00ED75DC">
      <w:pPr>
        <w:jc w:val="both"/>
      </w:pPr>
    </w:p>
    <w:p w:rsidR="00D64E8B" w:rsidRPr="00C94003" w:rsidRDefault="00D64E8B" w:rsidP="00ED75DC">
      <w:pPr>
        <w:jc w:val="both"/>
      </w:pPr>
      <w:r w:rsidRPr="00927B7C">
        <w:t>Vzhľadom na účinnosť novej formy ce</w:t>
      </w:r>
      <w:r w:rsidR="000C7034" w:rsidRPr="00927B7C">
        <w:t>z</w:t>
      </w:r>
      <w:r w:rsidRPr="00927B7C">
        <w:t>hraničnej spolupráce</w:t>
      </w:r>
      <w:r w:rsidR="00B352DB" w:rsidRPr="00927B7C">
        <w:t xml:space="preserve"> v rámci zabezpečovania dôkazov</w:t>
      </w:r>
      <w:r w:rsidRPr="00927B7C">
        <w:t xml:space="preserve"> medzi členskými štátmi EÚ európskeho vyšetrovacieho príkazu</w:t>
      </w:r>
      <w:r w:rsidR="00B352DB" w:rsidRPr="00927B7C">
        <w:t xml:space="preserve"> (EVP)</w:t>
      </w:r>
      <w:r w:rsidRPr="00927B7C">
        <w:t>, bude potrebné upriamiť pozornosť na dôsledné vyhodnotenie aplikačnej praxe v kontexte prebiehajúcich štúdií a projektov z hľadiska rozsahu pôsobnosti</w:t>
      </w:r>
      <w:r w:rsidR="000C7034" w:rsidRPr="00927B7C">
        <w:t xml:space="preserve"> EVP</w:t>
      </w:r>
      <w:r w:rsidR="00B352DB" w:rsidRPr="00927B7C">
        <w:t>,</w:t>
      </w:r>
      <w:r w:rsidRPr="00927B7C">
        <w:t> interakcie štandardného poskytovania právnej pomoci a vykonávania úkonov na báze EVP.</w:t>
      </w:r>
      <w:r w:rsidRPr="00C94003">
        <w:t xml:space="preserve">  </w:t>
      </w:r>
    </w:p>
    <w:p w:rsidR="00C94003" w:rsidRDefault="00C94003" w:rsidP="00ED75DC">
      <w:pPr>
        <w:jc w:val="both"/>
      </w:pPr>
    </w:p>
    <w:p w:rsidR="009A5B60" w:rsidRPr="00C94003" w:rsidRDefault="00C94003" w:rsidP="00ED75DC">
      <w:pPr>
        <w:jc w:val="both"/>
      </w:pPr>
      <w:r>
        <w:t>Právna ú</w:t>
      </w:r>
      <w:r w:rsidR="00327475" w:rsidRPr="00C94003">
        <w:t>prava týkajúca sa elektronizácie právneho prostredia v oblasti doručovania alebo zabezpečovania a následnej využiteľnosti elektronických dôkazov v trestnom konaní je otvorenou úlohou</w:t>
      </w:r>
      <w:r w:rsidR="000C5B9B" w:rsidRPr="00C94003">
        <w:t>,</w:t>
      </w:r>
      <w:r w:rsidR="00327475" w:rsidRPr="00C94003">
        <w:t xml:space="preserve"> priebežne d</w:t>
      </w:r>
      <w:r>
        <w:t>iskutovanou</w:t>
      </w:r>
      <w:r w:rsidR="00327475" w:rsidRPr="00C94003">
        <w:t xml:space="preserve"> na rôznych vnútroštátnych i medzinárodných úrovniach. </w:t>
      </w:r>
      <w:r w:rsidR="009A5B60" w:rsidRPr="00C94003">
        <w:t>V prípade úprav teda pôjde primárne o reagovanie na nové trendy páchania trestnej činnosti a zefektívnenie poskytovania právnej pomoci. Osobitne bude potrebné prihliadať na zvyšujúce sa požiadavky na ochranu základných práv a slobôd, vrátane ochrany osobných údajov a oprávnených práv a záujmov tretích osôb.</w:t>
      </w:r>
      <w:r w:rsidR="001C1F9A" w:rsidRPr="00C94003">
        <w:t xml:space="preserve"> </w:t>
      </w:r>
    </w:p>
    <w:p w:rsidR="009A5B60" w:rsidRPr="00C94003" w:rsidRDefault="009A5B60" w:rsidP="00217CCF">
      <w:pPr>
        <w:tabs>
          <w:tab w:val="left" w:pos="6436"/>
        </w:tabs>
        <w:jc w:val="both"/>
        <w:rPr>
          <w:i/>
        </w:rPr>
      </w:pPr>
      <w:r w:rsidRPr="00C94003">
        <w:t xml:space="preserve"> </w:t>
      </w:r>
      <w:r w:rsidR="00327475" w:rsidRPr="00C94003">
        <w:tab/>
      </w:r>
    </w:p>
    <w:p w:rsidR="0035641F" w:rsidRPr="00C94003" w:rsidRDefault="00A3354D" w:rsidP="00611DD2">
      <w:pPr>
        <w:numPr>
          <w:ilvl w:val="0"/>
          <w:numId w:val="26"/>
        </w:numPr>
        <w:ind w:left="709"/>
        <w:jc w:val="both"/>
        <w:rPr>
          <w:b/>
          <w:u w:val="single"/>
        </w:rPr>
      </w:pPr>
      <w:r w:rsidRPr="00C94003">
        <w:rPr>
          <w:b/>
          <w:u w:val="single"/>
        </w:rPr>
        <w:t>P</w:t>
      </w:r>
      <w:r w:rsidR="00444B18" w:rsidRPr="00C94003">
        <w:rPr>
          <w:b/>
          <w:u w:val="single"/>
        </w:rPr>
        <w:t xml:space="preserve">odmienky spolupráce s medzinárodnými súdmi </w:t>
      </w:r>
      <w:r w:rsidR="00DE51EF" w:rsidRPr="00C94003">
        <w:rPr>
          <w:b/>
          <w:u w:val="single"/>
        </w:rPr>
        <w:t>a medzinárodnými organizáciami</w:t>
      </w:r>
    </w:p>
    <w:p w:rsidR="00A3354D" w:rsidRPr="00C94003" w:rsidRDefault="00A3354D" w:rsidP="00ED75DC">
      <w:pPr>
        <w:jc w:val="both"/>
        <w:rPr>
          <w:u w:val="single"/>
        </w:rPr>
      </w:pPr>
    </w:p>
    <w:p w:rsidR="00BB2689" w:rsidRPr="00C94003" w:rsidRDefault="000C5B9B" w:rsidP="00ED75DC">
      <w:pPr>
        <w:jc w:val="both"/>
      </w:pPr>
      <w:r w:rsidRPr="00C94003">
        <w:t>P</w:t>
      </w:r>
      <w:r w:rsidR="0035641F" w:rsidRPr="00C94003">
        <w:t xml:space="preserve">odmienky spolupráce s medzinárodnými súdmi </w:t>
      </w:r>
      <w:r w:rsidR="00A3198C" w:rsidRPr="00C94003">
        <w:t xml:space="preserve">a medzinárodnými organizáciami </w:t>
      </w:r>
      <w:r w:rsidRPr="00C94003">
        <w:t xml:space="preserve">by mali byť podrobnejšie upravené </w:t>
      </w:r>
      <w:r w:rsidR="0035641F" w:rsidRPr="00C94003">
        <w:t xml:space="preserve">tak, aby s nimi bola umožnená efektívna spolupráca. </w:t>
      </w:r>
      <w:r w:rsidR="00F67546" w:rsidRPr="00C94003">
        <w:t xml:space="preserve">Osobitne bude potrebné vyhodnotiť možnosť odvolania výhrady </w:t>
      </w:r>
      <w:r w:rsidR="002043AC" w:rsidRPr="00C94003">
        <w:t>SR</w:t>
      </w:r>
      <w:r w:rsidR="00F67546" w:rsidRPr="00C94003">
        <w:t xml:space="preserve"> v súvislosti s </w:t>
      </w:r>
      <w:r w:rsidR="00D142E2" w:rsidRPr="00C94003">
        <w:t>prevzatím osôb odsúdených Medzinárodným trestným súdom a  uplatňovaním princípu</w:t>
      </w:r>
      <w:r w:rsidR="00BB2689" w:rsidRPr="00C94003">
        <w:t xml:space="preserve"> premen</w:t>
      </w:r>
      <w:r w:rsidR="00D142E2" w:rsidRPr="00C94003">
        <w:t>y</w:t>
      </w:r>
      <w:r w:rsidR="00BB2689" w:rsidRPr="00C94003">
        <w:t xml:space="preserve"> trestu. K zmene právnej úpravy pristúpila aj Česká republika tak, aby umožnila pomoc </w:t>
      </w:r>
      <w:r w:rsidR="00A3198C" w:rsidRPr="00C94003">
        <w:t>a spoluprácu s M</w:t>
      </w:r>
      <w:r w:rsidR="00BB2689" w:rsidRPr="00C94003">
        <w:t>edzinárodným trestným súdom pri medzinárodnom výkone spravodlivosti. Otázka nadobúda na aktuálnosti aj v našom regióne s priblížením sa konfliktov napr. na Ukrajine, či v Gruzínsku.</w:t>
      </w:r>
    </w:p>
    <w:p w:rsidR="008E2F9D" w:rsidRDefault="008E2F9D" w:rsidP="00ED75DC">
      <w:pPr>
        <w:jc w:val="both"/>
      </w:pPr>
    </w:p>
    <w:p w:rsidR="006C553B" w:rsidRPr="00C94003" w:rsidRDefault="00D142E2" w:rsidP="00ED75DC">
      <w:pPr>
        <w:jc w:val="both"/>
      </w:pPr>
      <w:r w:rsidRPr="00C94003">
        <w:t>Osobitne bude potrebné posúdiť aj o</w:t>
      </w:r>
      <w:r w:rsidR="00A07737" w:rsidRPr="00C94003">
        <w:t>tázk</w:t>
      </w:r>
      <w:r w:rsidRPr="00C94003">
        <w:t>y</w:t>
      </w:r>
      <w:r w:rsidR="00A07737" w:rsidRPr="00C94003">
        <w:t xml:space="preserve"> </w:t>
      </w:r>
      <w:r w:rsidR="00CE369B" w:rsidRPr="00C94003">
        <w:t xml:space="preserve">spolupráce </w:t>
      </w:r>
      <w:r w:rsidR="00A07737" w:rsidRPr="00C94003">
        <w:t xml:space="preserve">s medzinárodnými organizáciami: </w:t>
      </w:r>
      <w:r w:rsidR="00CE369B" w:rsidRPr="00C94003">
        <w:t>bude potrebné prediskutovať možnosti zapojenia zástupcov justičných orgánov do ad hoc misií a ad hoc vyšetrovacích orgánov nejustičnej povahy (</w:t>
      </w:r>
      <w:r w:rsidR="002043AC" w:rsidRPr="00C94003">
        <w:t>najmä</w:t>
      </w:r>
      <w:r w:rsidR="00CE369B" w:rsidRPr="00C94003">
        <w:t xml:space="preserve"> </w:t>
      </w:r>
      <w:r w:rsidR="00A3198C" w:rsidRPr="00C94003">
        <w:t xml:space="preserve">v rámci </w:t>
      </w:r>
      <w:r w:rsidR="00CE369B" w:rsidRPr="00C94003">
        <w:t>OSN).</w:t>
      </w:r>
      <w:r w:rsidR="00945ED4" w:rsidRPr="00C94003">
        <w:t xml:space="preserve">                                                                                                                                               </w:t>
      </w:r>
      <w:r w:rsidR="00CE369B" w:rsidRPr="00C94003">
        <w:t xml:space="preserve"> </w:t>
      </w:r>
    </w:p>
    <w:p w:rsidR="00CE369B" w:rsidRPr="00C94003" w:rsidRDefault="00CE369B" w:rsidP="00ED75DC">
      <w:pPr>
        <w:ind w:left="360"/>
        <w:jc w:val="both"/>
      </w:pPr>
    </w:p>
    <w:p w:rsidR="006C553B" w:rsidRPr="00C94003" w:rsidRDefault="001900DF" w:rsidP="00611DD2">
      <w:pPr>
        <w:numPr>
          <w:ilvl w:val="0"/>
          <w:numId w:val="26"/>
        </w:numPr>
        <w:ind w:left="709"/>
        <w:jc w:val="both"/>
        <w:rPr>
          <w:b/>
          <w:u w:val="single"/>
        </w:rPr>
      </w:pPr>
      <w:r w:rsidRPr="00C94003">
        <w:rPr>
          <w:b/>
          <w:u w:val="single"/>
        </w:rPr>
        <w:t>Zohľadnenie výsledkov aktualizácie existujúcich</w:t>
      </w:r>
      <w:r w:rsidR="006C553B" w:rsidRPr="00C94003">
        <w:rPr>
          <w:b/>
          <w:u w:val="single"/>
        </w:rPr>
        <w:t xml:space="preserve"> výhrad k medzinárodným dohovorom z oblasti justičnej spolupráce</w:t>
      </w:r>
    </w:p>
    <w:p w:rsidR="00BB2689" w:rsidRPr="00C94003" w:rsidRDefault="00BB2689" w:rsidP="00ED75DC">
      <w:pPr>
        <w:jc w:val="both"/>
      </w:pPr>
    </w:p>
    <w:p w:rsidR="00BB2689" w:rsidRPr="00C94003" w:rsidRDefault="00E71A0B" w:rsidP="00ED75DC">
      <w:pPr>
        <w:jc w:val="both"/>
      </w:pPr>
      <w:r w:rsidRPr="00C94003">
        <w:t xml:space="preserve">Súčasne bude potrebné </w:t>
      </w:r>
      <w:r w:rsidR="001900DF" w:rsidRPr="00C94003">
        <w:t xml:space="preserve">v legislatívnych prácach zohľadniť výsledky preskúmania </w:t>
      </w:r>
      <w:r w:rsidRPr="00C94003">
        <w:t>opodstatnenos</w:t>
      </w:r>
      <w:r w:rsidR="001900DF" w:rsidRPr="00C94003">
        <w:t>ti</w:t>
      </w:r>
      <w:r w:rsidRPr="00C94003">
        <w:t xml:space="preserve"> a aktuálnos</w:t>
      </w:r>
      <w:r w:rsidR="001900DF" w:rsidRPr="00C94003">
        <w:t>ti</w:t>
      </w:r>
      <w:r w:rsidRPr="00C94003">
        <w:t xml:space="preserve"> existujúcich výhrad</w:t>
      </w:r>
      <w:r w:rsidR="00A3198C" w:rsidRPr="00C94003">
        <w:t>, ktoré</w:t>
      </w:r>
      <w:r w:rsidRPr="00C94003">
        <w:t xml:space="preserve"> SR uplatn</w:t>
      </w:r>
      <w:r w:rsidR="00A3198C" w:rsidRPr="00C94003">
        <w:t>ila</w:t>
      </w:r>
      <w:r w:rsidRPr="00C94003">
        <w:t xml:space="preserve"> k medzinárodným dohovorom v oblasti justičnej spolupráce</w:t>
      </w:r>
      <w:r w:rsidR="00A3198C" w:rsidRPr="00C94003">
        <w:t xml:space="preserve"> v trestných veciach</w:t>
      </w:r>
      <w:r w:rsidRPr="00C94003">
        <w:t>.</w:t>
      </w:r>
    </w:p>
    <w:p w:rsidR="00411B02" w:rsidRDefault="00411B02" w:rsidP="00ED75DC">
      <w:pPr>
        <w:jc w:val="both"/>
      </w:pPr>
    </w:p>
    <w:p w:rsidR="008E2F9D" w:rsidRDefault="008E2F9D" w:rsidP="00ED75DC">
      <w:pPr>
        <w:jc w:val="both"/>
      </w:pPr>
    </w:p>
    <w:p w:rsidR="008E2F9D" w:rsidRDefault="008E2F9D" w:rsidP="00ED75DC">
      <w:pPr>
        <w:jc w:val="both"/>
      </w:pPr>
    </w:p>
    <w:p w:rsidR="008E2F9D" w:rsidRPr="00C94003" w:rsidRDefault="008E2F9D" w:rsidP="00ED75DC">
      <w:pPr>
        <w:jc w:val="both"/>
      </w:pPr>
    </w:p>
    <w:p w:rsidR="00A30EA7" w:rsidRPr="00C94003" w:rsidRDefault="00A30EA7" w:rsidP="008E2F9D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9" w:hanging="513"/>
        <w:jc w:val="both"/>
        <w:rPr>
          <w:b/>
        </w:rPr>
      </w:pPr>
      <w:r w:rsidRPr="00C94003">
        <w:rPr>
          <w:b/>
        </w:rPr>
        <w:lastRenderedPageBreak/>
        <w:t xml:space="preserve">Justičná spolupráca v trestných veciach medzi </w:t>
      </w:r>
      <w:r w:rsidR="00BE0E66" w:rsidRPr="00C94003">
        <w:rPr>
          <w:b/>
        </w:rPr>
        <w:t>členskými štátmi</w:t>
      </w:r>
      <w:r w:rsidRPr="00C94003">
        <w:rPr>
          <w:b/>
        </w:rPr>
        <w:t xml:space="preserve"> EÚ : podnety na konsolidáciu</w:t>
      </w:r>
      <w:r w:rsidR="007107D5" w:rsidRPr="00C94003">
        <w:rPr>
          <w:b/>
        </w:rPr>
        <w:t xml:space="preserve"> a revíziu</w:t>
      </w:r>
    </w:p>
    <w:p w:rsidR="00A30EA7" w:rsidRPr="00C94003" w:rsidRDefault="00A30EA7" w:rsidP="00ED75DC">
      <w:pPr>
        <w:jc w:val="both"/>
      </w:pPr>
    </w:p>
    <w:p w:rsidR="00A30EA7" w:rsidRPr="00C94003" w:rsidRDefault="00A30EA7" w:rsidP="00611DD2">
      <w:pPr>
        <w:numPr>
          <w:ilvl w:val="0"/>
          <w:numId w:val="27"/>
        </w:numPr>
        <w:ind w:left="709"/>
        <w:jc w:val="both"/>
        <w:rPr>
          <w:b/>
          <w:u w:val="single"/>
        </w:rPr>
      </w:pPr>
      <w:r w:rsidRPr="00C94003">
        <w:rPr>
          <w:b/>
          <w:u w:val="single"/>
        </w:rPr>
        <w:t>Koncept obvyklého pobytu v trestnom práve</w:t>
      </w:r>
    </w:p>
    <w:p w:rsidR="00A30EA7" w:rsidRPr="00C94003" w:rsidRDefault="00A30EA7" w:rsidP="00ED75DC">
      <w:pPr>
        <w:jc w:val="both"/>
        <w:rPr>
          <w:i/>
        </w:rPr>
      </w:pPr>
    </w:p>
    <w:p w:rsidR="00A30EA7" w:rsidRPr="00C94003" w:rsidRDefault="000558AB" w:rsidP="00ED75DC">
      <w:pPr>
        <w:jc w:val="both"/>
      </w:pPr>
      <w:r w:rsidRPr="00C94003">
        <w:t>Analyzovať by sa mali možnosti</w:t>
      </w:r>
      <w:r w:rsidR="00A30EA7" w:rsidRPr="00C94003">
        <w:t xml:space="preserve"> </w:t>
      </w:r>
      <w:r w:rsidRPr="00C94003">
        <w:t xml:space="preserve">zjednotenia prístupu ku </w:t>
      </w:r>
      <w:r w:rsidR="00A30EA7" w:rsidRPr="00C94003">
        <w:t>koncept</w:t>
      </w:r>
      <w:r w:rsidRPr="00C94003">
        <w:t>u</w:t>
      </w:r>
      <w:r w:rsidR="00A30EA7" w:rsidRPr="00C94003">
        <w:t xml:space="preserve"> obvyklého pobytu, na ktorého existenciu sa v úvodných rokoch členstva </w:t>
      </w:r>
      <w:r w:rsidR="002043AC" w:rsidRPr="00C94003">
        <w:t>SR</w:t>
      </w:r>
      <w:r w:rsidR="00A30EA7" w:rsidRPr="00C94003">
        <w:t xml:space="preserve"> v </w:t>
      </w:r>
      <w:r w:rsidR="002043AC" w:rsidRPr="00C94003">
        <w:t>EÚ</w:t>
      </w:r>
      <w:r w:rsidR="00A30EA7" w:rsidRPr="00C94003">
        <w:t xml:space="preserve"> </w:t>
      </w:r>
      <w:r w:rsidRPr="00C94003">
        <w:t>slovenská</w:t>
      </w:r>
      <w:r w:rsidR="00A30EA7" w:rsidRPr="00C94003">
        <w:t xml:space="preserve"> odborná verejnosť </w:t>
      </w:r>
      <w:r w:rsidR="002043AC" w:rsidRPr="00C94003">
        <w:t>pozerala</w:t>
      </w:r>
      <w:r w:rsidR="00A30EA7" w:rsidRPr="00C94003">
        <w:t xml:space="preserve"> </w:t>
      </w:r>
      <w:r w:rsidRPr="00C94003">
        <w:t xml:space="preserve">často </w:t>
      </w:r>
      <w:r w:rsidR="00A30EA7" w:rsidRPr="00C94003">
        <w:t>s výhradou až odmiet</w:t>
      </w:r>
      <w:r w:rsidR="002043AC" w:rsidRPr="00C94003">
        <w:t>an</w:t>
      </w:r>
      <w:r w:rsidR="00A30EA7" w:rsidRPr="00C94003">
        <w:t>ím</w:t>
      </w:r>
      <w:r w:rsidRPr="00C94003">
        <w:t>. P</w:t>
      </w:r>
      <w:r w:rsidR="00A30EA7" w:rsidRPr="00C94003">
        <w:t xml:space="preserve">ostupom času </w:t>
      </w:r>
      <w:r w:rsidRPr="00C94003">
        <w:t>(</w:t>
      </w:r>
      <w:r w:rsidR="00A30EA7" w:rsidRPr="00C94003">
        <w:t>a</w:t>
      </w:r>
      <w:r w:rsidR="002043AC" w:rsidRPr="00C94003">
        <w:t xml:space="preserve"> vo svetle judikatúr</w:t>
      </w:r>
      <w:r w:rsidRPr="00C94003">
        <w:t>y</w:t>
      </w:r>
      <w:r w:rsidR="002043AC" w:rsidRPr="00C94003">
        <w:t xml:space="preserve"> SDEÚ</w:t>
      </w:r>
      <w:r w:rsidRPr="00C94003">
        <w:t>)</w:t>
      </w:r>
      <w:r w:rsidR="002043AC" w:rsidRPr="00C94003">
        <w:t xml:space="preserve"> je </w:t>
      </w:r>
      <w:r w:rsidRPr="00C94003">
        <w:t xml:space="preserve">však </w:t>
      </w:r>
      <w:r w:rsidR="002043AC" w:rsidRPr="00C94003">
        <w:t xml:space="preserve">zrejmé, že </w:t>
      </w:r>
      <w:r w:rsidR="00411B02" w:rsidRPr="00C94003">
        <w:t xml:space="preserve">súčasný, </w:t>
      </w:r>
      <w:r w:rsidR="00A30EA7" w:rsidRPr="00C94003">
        <w:t>i keď slovenskému prostrediu bližší koncept trvalé</w:t>
      </w:r>
      <w:r w:rsidRPr="00C94003">
        <w:t>ho</w:t>
      </w:r>
      <w:r w:rsidR="00A30EA7" w:rsidRPr="00C94003">
        <w:t xml:space="preserve"> </w:t>
      </w:r>
      <w:r w:rsidR="00A3198C" w:rsidRPr="00C94003">
        <w:t>pobytu</w:t>
      </w:r>
      <w:r w:rsidR="00411B02" w:rsidRPr="00C94003">
        <w:t xml:space="preserve">, </w:t>
      </w:r>
      <w:r w:rsidR="00A30EA7" w:rsidRPr="00C94003">
        <w:t>nepredstav</w:t>
      </w:r>
      <w:r w:rsidR="00411B02" w:rsidRPr="00C94003">
        <w:t>uje</w:t>
      </w:r>
      <w:r w:rsidR="00A30EA7" w:rsidRPr="00C94003">
        <w:t xml:space="preserve"> </w:t>
      </w:r>
      <w:r w:rsidRPr="00C94003">
        <w:t>vhodný spôsob transpozície</w:t>
      </w:r>
      <w:r w:rsidR="00A30EA7" w:rsidRPr="00C94003">
        <w:rPr>
          <w:strike/>
        </w:rPr>
        <w:t>.</w:t>
      </w:r>
      <w:r w:rsidR="00A30EA7" w:rsidRPr="00C94003">
        <w:t xml:space="preserve"> </w:t>
      </w:r>
      <w:r w:rsidRPr="00C94003">
        <w:t xml:space="preserve">Používanie </w:t>
      </w:r>
      <w:r w:rsidR="00947D01" w:rsidRPr="00C94003">
        <w:t xml:space="preserve">konceptu </w:t>
      </w:r>
      <w:r w:rsidRPr="00C94003">
        <w:t xml:space="preserve">obvyklého pobytu </w:t>
      </w:r>
      <w:r w:rsidR="00947D01" w:rsidRPr="00C94003">
        <w:t>naprieč transponovanými nástrojmi EÚ v oblasti justičnej spolupráce a stabilizácia výkladu s cieľom eliminovať riziko negatívneho judikovania slovenskej transpozície z úrovne EÚ, by mali byť základné východisk</w:t>
      </w:r>
      <w:r w:rsidRPr="00C94003">
        <w:t>á</w:t>
      </w:r>
      <w:r w:rsidR="00947D01" w:rsidRPr="00C94003">
        <w:t xml:space="preserve"> prác</w:t>
      </w:r>
      <w:r w:rsidR="00A3198C" w:rsidRPr="00C94003">
        <w:t>, napriek tomu, že jednotná zákonná definícia obvyklého pobytu pre všetky dotknuté nástroje nebude možná</w:t>
      </w:r>
      <w:r w:rsidR="00947D01" w:rsidRPr="00C94003">
        <w:t>.</w:t>
      </w:r>
      <w:r w:rsidR="00D142E2" w:rsidRPr="00C94003">
        <w:t xml:space="preserve"> </w:t>
      </w:r>
      <w:r w:rsidR="00A3198C" w:rsidRPr="00C94003">
        <w:t xml:space="preserve">Ide totiž o komunitárny pojem, ktorého výklad </w:t>
      </w:r>
      <w:r w:rsidR="009543E8" w:rsidRPr="00C94003">
        <w:t>podlieha vývoju aj vplyvom judikatúry S</w:t>
      </w:r>
      <w:r w:rsidR="008E2F9D">
        <w:t>údneho dvora EÚ</w:t>
      </w:r>
      <w:r w:rsidR="009543E8" w:rsidRPr="00C94003">
        <w:t>.</w:t>
      </w:r>
    </w:p>
    <w:p w:rsidR="009543E8" w:rsidRPr="00C94003" w:rsidRDefault="009543E8" w:rsidP="00ED75DC">
      <w:pPr>
        <w:jc w:val="both"/>
      </w:pPr>
    </w:p>
    <w:p w:rsidR="00A30EA7" w:rsidRPr="00C94003" w:rsidRDefault="00166711" w:rsidP="00611DD2">
      <w:pPr>
        <w:numPr>
          <w:ilvl w:val="0"/>
          <w:numId w:val="27"/>
        </w:numPr>
        <w:ind w:left="709"/>
        <w:jc w:val="both"/>
        <w:rPr>
          <w:b/>
          <w:u w:val="single"/>
        </w:rPr>
      </w:pPr>
      <w:r w:rsidRPr="00C94003">
        <w:rPr>
          <w:b/>
          <w:u w:val="single"/>
        </w:rPr>
        <w:t>Príslušné orgány a rozsah ich pôsobnosti</w:t>
      </w:r>
    </w:p>
    <w:p w:rsidR="00A30EA7" w:rsidRPr="00C94003" w:rsidRDefault="00A30EA7" w:rsidP="00ED75DC">
      <w:pPr>
        <w:jc w:val="both"/>
      </w:pPr>
    </w:p>
    <w:p w:rsidR="009543E8" w:rsidRPr="00C94003" w:rsidRDefault="00A30EA7" w:rsidP="00ED75DC">
      <w:pPr>
        <w:jc w:val="both"/>
      </w:pPr>
      <w:r w:rsidRPr="00C94003">
        <w:t xml:space="preserve">Dôležitým aspektom efektívnej spolupráce medzi členskými štátmi sú aj adekvátne určené a notifikované príslušné orgány, ktoré sú v podmienkach </w:t>
      </w:r>
      <w:r w:rsidR="000558AB" w:rsidRPr="00C94003">
        <w:t>SR</w:t>
      </w:r>
      <w:r w:rsidRPr="00C94003">
        <w:t xml:space="preserve"> stanovené zákonne a následne notifikované tak, aby cudzie orgány mali bezprostrednú a aktualizovanú znalosť komu zaslať príslušnú žiadosť na vykonanie justičnej spolupráce. Rovnako s týmto aspektom súvisí i</w:t>
      </w:r>
      <w:r w:rsidR="000C7034" w:rsidRPr="00C94003">
        <w:t>  určenie</w:t>
      </w:r>
      <w:r w:rsidRPr="00C94003">
        <w:t xml:space="preserve"> resp. rozsah pôsobnosti tzv. ústredného orgánu, ktorý je v istom zmysle výnimkou zo zásady priameho styku justičných orgánov ako výrazu vzájomnej dôvery, ktorá je predpokladom vzájomného uznávania rozhodnutí orgánov členských štátov. </w:t>
      </w:r>
    </w:p>
    <w:p w:rsidR="009543E8" w:rsidRPr="00C94003" w:rsidRDefault="009543E8" w:rsidP="00ED75DC">
      <w:pPr>
        <w:jc w:val="both"/>
      </w:pPr>
    </w:p>
    <w:p w:rsidR="00166711" w:rsidRPr="00C94003" w:rsidRDefault="00A30EA7" w:rsidP="00ED75DC">
      <w:pPr>
        <w:jc w:val="both"/>
      </w:pPr>
      <w:r w:rsidRPr="00C94003">
        <w:t xml:space="preserve">Preto cieľom vyhodnotenia aktuálne platných transpozičných zákonov je i opodstatnenie určenia alebo naopak neurčenia tejto kategórie orgánov ako i rozsah ich pôsobnosti. Ministerstvo má vo viacerých </w:t>
      </w:r>
      <w:r w:rsidR="007A585B" w:rsidRPr="00C94003">
        <w:t xml:space="preserve">transponovaných právnych nástrojoch EÚ v oblasti justičnej spolupráce </w:t>
      </w:r>
      <w:r w:rsidRPr="00C94003">
        <w:t xml:space="preserve">okrem iného aj </w:t>
      </w:r>
      <w:r w:rsidR="009543E8" w:rsidRPr="00C94003">
        <w:t xml:space="preserve">podpornú </w:t>
      </w:r>
      <w:r w:rsidRPr="00C94003">
        <w:t>pozíciu z hľadiska napomáhania v plynulom kontaktovaní príslušných justičných orgánov v </w:t>
      </w:r>
      <w:r w:rsidR="000558AB" w:rsidRPr="00C94003">
        <w:t>SR</w:t>
      </w:r>
      <w:r w:rsidRPr="00C94003">
        <w:t xml:space="preserve"> a takisto aj poskytuje v prípade nevyhnutnosti prvotné informácie právnej povahy cudzím justičným orgánom.</w:t>
      </w:r>
      <w:r w:rsidR="009543E8" w:rsidRPr="00C94003">
        <w:t xml:space="preserve"> </w:t>
      </w:r>
    </w:p>
    <w:p w:rsidR="00166711" w:rsidRPr="00C94003" w:rsidRDefault="00166711" w:rsidP="00ED75DC">
      <w:pPr>
        <w:jc w:val="both"/>
      </w:pPr>
    </w:p>
    <w:p w:rsidR="00A30EA7" w:rsidRPr="00C94003" w:rsidRDefault="00166711" w:rsidP="00611DD2">
      <w:pPr>
        <w:numPr>
          <w:ilvl w:val="0"/>
          <w:numId w:val="27"/>
        </w:numPr>
        <w:ind w:left="709"/>
        <w:jc w:val="both"/>
        <w:rPr>
          <w:b/>
          <w:u w:val="single"/>
        </w:rPr>
      </w:pPr>
      <w:r w:rsidRPr="00C94003">
        <w:rPr>
          <w:b/>
          <w:u w:val="single"/>
        </w:rPr>
        <w:t>Informačná povinnosť a prístup k informáciám</w:t>
      </w:r>
    </w:p>
    <w:p w:rsidR="00166711" w:rsidRPr="00C94003" w:rsidRDefault="00166711" w:rsidP="00ED75DC">
      <w:pPr>
        <w:jc w:val="both"/>
      </w:pPr>
    </w:p>
    <w:p w:rsidR="00A30EA7" w:rsidRPr="00C94003" w:rsidRDefault="00A30EA7" w:rsidP="00ED75DC">
      <w:pPr>
        <w:jc w:val="both"/>
      </w:pPr>
      <w:r w:rsidRPr="00C94003">
        <w:t xml:space="preserve">Inštitucionálne nastavenie spolupráce s partnermi v iných členských štátoch nepredstavuje len formálne splnenie povinnosti štátu, ale najmä vytvorenie podmienok pre plynulý, efektívny a kvalifikovaný výkon justičnej spolupráce, avšak rovnako aj zabezpečenie jednotnosti z hľadiska stanovenej trestnoprávnej politiky </w:t>
      </w:r>
      <w:r w:rsidR="000558AB" w:rsidRPr="00C94003">
        <w:t>SR</w:t>
      </w:r>
      <w:r w:rsidRPr="00C94003">
        <w:t xml:space="preserve"> v oblasti medzinárodnej justičnej spolupráce. Neoddeliteľnou súčasťou vzájomného uznávania v podmienkach trestnoprávnej spolupráce je priamy styk justičných orgánov členských štátov, ktorý sa aplikuje buď už v úvodnej fáze spolupráce alebo nastupuje neskôr napr. počas dodatočných žiadostí na doplnenie podkladov. Uplatňovanie tejto kľúčovej zásady by však nemal</w:t>
      </w:r>
      <w:r w:rsidR="00166711" w:rsidRPr="00C94003">
        <w:t>o</w:t>
      </w:r>
      <w:r w:rsidRPr="00C94003">
        <w:t xml:space="preserve"> viesť k výpadkom informácií a údajov na strane ministerstva o základných skutočnostiach o prebiehajúcich resp. ukončených konaniach, a to najmä kvôli povinnosti poskytovať štatistické údaje vo vzťahu k inštitúciám EÚ, avšak nemenej dôležitým dôvodom je nevyhnutnosť disponovať informáciami a údajmi o</w:t>
      </w:r>
      <w:r w:rsidR="007A585B" w:rsidRPr="00C94003">
        <w:t> </w:t>
      </w:r>
      <w:r w:rsidRPr="00C94003">
        <w:t>aplikácii</w:t>
      </w:r>
      <w:r w:rsidR="007A585B" w:rsidRPr="00C94003">
        <w:t xml:space="preserve"> právnych</w:t>
      </w:r>
      <w:r w:rsidRPr="00C94003">
        <w:t xml:space="preserve"> nástrojov EÚ z hľadiska ich vnútroštátneho vyhodnocovania, a to i z pohľadu vhodného nastavenia stratégií v prebiehajúcich rokovaniach na pracovnej a politickej úrovni v rámci EÚ. </w:t>
      </w:r>
    </w:p>
    <w:p w:rsidR="00066699" w:rsidRPr="00C94003" w:rsidRDefault="00066699" w:rsidP="00ED75DC">
      <w:pPr>
        <w:jc w:val="both"/>
      </w:pPr>
    </w:p>
    <w:p w:rsidR="00A30EA7" w:rsidRPr="00C94003" w:rsidRDefault="00A30EA7" w:rsidP="00ED75DC">
      <w:pPr>
        <w:jc w:val="both"/>
      </w:pPr>
      <w:r w:rsidRPr="00C94003">
        <w:lastRenderedPageBreak/>
        <w:t>Medzi zdrojové informácie s potenciálom poskytnúť podnety pre úvahy o platnej vnútroštátnej úprave a </w:t>
      </w:r>
      <w:r w:rsidR="007A585B" w:rsidRPr="00C94003">
        <w:t xml:space="preserve"> následného prijatia legislatívnych opatrení,</w:t>
      </w:r>
      <w:r w:rsidRPr="00C94003">
        <w:t xml:space="preserve"> predkladateľ zaraďuje aj správy Európskej komisie k uplatňovaniu a vykonávaniu niektorých </w:t>
      </w:r>
      <w:r w:rsidR="007A585B" w:rsidRPr="00C94003">
        <w:t xml:space="preserve">právnych </w:t>
      </w:r>
      <w:r w:rsidRPr="00C94003">
        <w:t xml:space="preserve">nástrojov EÚ. Výhodou uvedených dokumentov je ich porovnávací charakter z hľadiska konceptov uplatnených v rôznych členských štátoch a snaha o objektivitu záverov všeobecnej povahy. Na druhej strane je potrebné zohľadniť i to, že tieto analytické dokumenty odzrkadľujú obdobie, v ktorom vznikli a rovnako bol pri nich uplatnený odlišný stupeň vzájomného odborného dialógu medzi hodnoteným štátom a hodnotiteľom.   </w:t>
      </w:r>
    </w:p>
    <w:p w:rsidR="00166711" w:rsidRPr="00C94003" w:rsidRDefault="00166711" w:rsidP="00ED75DC">
      <w:pPr>
        <w:jc w:val="both"/>
      </w:pPr>
    </w:p>
    <w:p w:rsidR="00166711" w:rsidRPr="00043006" w:rsidRDefault="00166711" w:rsidP="00611DD2">
      <w:pPr>
        <w:numPr>
          <w:ilvl w:val="0"/>
          <w:numId w:val="27"/>
        </w:numPr>
        <w:ind w:left="709"/>
        <w:jc w:val="both"/>
        <w:rPr>
          <w:b/>
          <w:u w:val="single"/>
        </w:rPr>
      </w:pPr>
      <w:r w:rsidRPr="00043006">
        <w:rPr>
          <w:b/>
          <w:u w:val="single"/>
        </w:rPr>
        <w:t xml:space="preserve">Dôvody odmietnutia </w:t>
      </w:r>
      <w:r w:rsidR="00043006" w:rsidRPr="00043006">
        <w:rPr>
          <w:b/>
          <w:u w:val="single"/>
        </w:rPr>
        <w:t>žiadosti o vykonanie justičných rozhodnutí</w:t>
      </w:r>
    </w:p>
    <w:p w:rsidR="00CF2B27" w:rsidRPr="00C94003" w:rsidRDefault="00CF2B27" w:rsidP="00ED75DC">
      <w:pPr>
        <w:jc w:val="both"/>
        <w:rPr>
          <w:b/>
          <w:i/>
        </w:rPr>
      </w:pPr>
    </w:p>
    <w:p w:rsidR="00166711" w:rsidRPr="00C94003" w:rsidRDefault="00A30EA7" w:rsidP="00ED75DC">
      <w:pPr>
        <w:jc w:val="both"/>
      </w:pPr>
      <w:r w:rsidRPr="00C94003">
        <w:t>Otázky spôsobu</w:t>
      </w:r>
      <w:r w:rsidR="009452E9" w:rsidRPr="00C94003">
        <w:t>,</w:t>
      </w:r>
      <w:r w:rsidRPr="00C94003">
        <w:t xml:space="preserve"> </w:t>
      </w:r>
      <w:r w:rsidR="009452E9" w:rsidRPr="00C94003">
        <w:t xml:space="preserve">správnosti a dôslednosti </w:t>
      </w:r>
      <w:r w:rsidRPr="00C94003">
        <w:t xml:space="preserve">transpozície, a to buď z hľadiska posúdenia správnej aplikácie nosnej zásady vzájomného uznávania alebo prípadných nejasností, ktoré spôsobujú problémy praktikom, budú predmetom analýz z hľadiska možností realizácie legislatívnych úprav. Do tejto kategórie ustanovení zaraďujeme aj </w:t>
      </w:r>
      <w:r w:rsidR="009452E9" w:rsidRPr="00C94003">
        <w:t xml:space="preserve">transponovaný rozsah dôvodov </w:t>
      </w:r>
      <w:r w:rsidRPr="00C94003">
        <w:t xml:space="preserve">odmietnutia žiadostí o vykonanie justičných rozhodnutí (napr.  </w:t>
      </w:r>
      <w:r w:rsidRPr="00C94003">
        <w:rPr>
          <w:i/>
        </w:rPr>
        <w:t>zák</w:t>
      </w:r>
      <w:r w:rsidR="006F3983" w:rsidRPr="00C94003">
        <w:rPr>
          <w:i/>
        </w:rPr>
        <w:t>on</w:t>
      </w:r>
      <w:r w:rsidRPr="00C94003">
        <w:rPr>
          <w:i/>
        </w:rPr>
        <w:t xml:space="preserve"> č. 183/2011 Z. z.  o uznávaní a výkone rozhodnutí o peňažnej sankcii v Európskej únii a o zmene a doplnení niektorých zákonov</w:t>
      </w:r>
      <w:r w:rsidRPr="00C94003">
        <w:t xml:space="preserve">). </w:t>
      </w:r>
    </w:p>
    <w:p w:rsidR="00166711" w:rsidRPr="00C94003" w:rsidRDefault="00166711" w:rsidP="00ED75DC">
      <w:pPr>
        <w:jc w:val="both"/>
      </w:pPr>
    </w:p>
    <w:p w:rsidR="00043006" w:rsidRDefault="00A30EA7" w:rsidP="00ED75DC">
      <w:pPr>
        <w:jc w:val="both"/>
      </w:pPr>
      <w:r w:rsidRPr="00C94003">
        <w:t>Súvisiacou je i otázka možnosti stanoviť</w:t>
      </w:r>
      <w:r w:rsidR="002C0BBC" w:rsidRPr="00C94003">
        <w:t xml:space="preserve"> fakultatívne</w:t>
      </w:r>
      <w:r w:rsidRPr="00C94003">
        <w:t xml:space="preserve"> dôvody odmietnutia v prípadoch, v ktorých by diskr</w:t>
      </w:r>
      <w:r w:rsidR="006F3983" w:rsidRPr="00C94003">
        <w:t>ečná právomoc</w:t>
      </w:r>
      <w:r w:rsidRPr="00C94003">
        <w:t xml:space="preserve"> na strane súdov napomohla preukázateľne naplniť  sociálno-rehabilitačný rozmer odovzdania odsúdeného do domovskej krajiny </w:t>
      </w:r>
      <w:r w:rsidR="009A630B" w:rsidRPr="00C94003">
        <w:t>(</w:t>
      </w:r>
      <w:r w:rsidR="002E6776" w:rsidRPr="00C94003">
        <w:t xml:space="preserve">napr. </w:t>
      </w:r>
      <w:r w:rsidRPr="00C94003">
        <w:t xml:space="preserve">v kontexte </w:t>
      </w:r>
      <w:r w:rsidRPr="00C94003">
        <w:rPr>
          <w:i/>
        </w:rPr>
        <w:t>zákona č. 549/2011 Z. z. o uznávaní a výkone rozhodnutí, ktorými sa ukladá trestná sankcia spojená s odňatím slobody v Európskej únii a o zmene a doplnení zákona č. 221/2006 Z. z. o výkone väzby</w:t>
      </w:r>
      <w:r w:rsidR="009A630B" w:rsidRPr="00C94003">
        <w:t>)</w:t>
      </w:r>
      <w:r w:rsidR="002E6776" w:rsidRPr="00C94003">
        <w:t xml:space="preserve">. </w:t>
      </w:r>
    </w:p>
    <w:p w:rsidR="00043006" w:rsidRDefault="00043006" w:rsidP="00ED75DC">
      <w:pPr>
        <w:jc w:val="both"/>
      </w:pPr>
    </w:p>
    <w:p w:rsidR="009A630B" w:rsidRPr="00C94003" w:rsidRDefault="002E6776" w:rsidP="00ED75DC">
      <w:pPr>
        <w:jc w:val="both"/>
      </w:pPr>
      <w:r w:rsidRPr="00C94003">
        <w:t>Podobne sa táto otázka otvára aj vo vzťahu k</w:t>
      </w:r>
      <w:r w:rsidR="009543E8" w:rsidRPr="00C94003">
        <w:t xml:space="preserve"> nevydani</w:t>
      </w:r>
      <w:r w:rsidRPr="00C94003">
        <w:t>u</w:t>
      </w:r>
      <w:r w:rsidR="009543E8" w:rsidRPr="00C94003">
        <w:t xml:space="preserve"> osoby s</w:t>
      </w:r>
      <w:r w:rsidR="000219DE" w:rsidRPr="00C94003">
        <w:t xml:space="preserve"> povolením na pobyt na dobu neurčitú </w:t>
      </w:r>
      <w:r w:rsidR="009543E8" w:rsidRPr="00C94003">
        <w:t xml:space="preserve">alebo občianstvom SR do iného členského štátu </w:t>
      </w:r>
      <w:r w:rsidR="000219DE" w:rsidRPr="00C94003">
        <w:t xml:space="preserve">na výkon trestu odňatia slobody </w:t>
      </w:r>
      <w:r w:rsidR="009543E8" w:rsidRPr="00C94003">
        <w:t>na základe európskeho zatýkacieho rozkazu</w:t>
      </w:r>
      <w:r w:rsidR="009A630B" w:rsidRPr="00C94003">
        <w:t xml:space="preserve">, </w:t>
      </w:r>
      <w:r w:rsidRPr="00C94003">
        <w:t>dodržujúc</w:t>
      </w:r>
      <w:r w:rsidR="000219DE" w:rsidRPr="00C94003">
        <w:t xml:space="preserve"> zásadu rozšírenej resocializácie a reintegrácie aj po výkone trestu. </w:t>
      </w:r>
      <w:r w:rsidR="009A630B" w:rsidRPr="00C94003">
        <w:t xml:space="preserve">(v kontexte </w:t>
      </w:r>
      <w:r w:rsidR="009A630B" w:rsidRPr="00C94003">
        <w:rPr>
          <w:i/>
        </w:rPr>
        <w:t>čl. 4 ods. 6 rámcového rozhodnutie 2002/584/SVV z 13. júna 2002 o európskom zatykači a postupoch odovzdávania osôb medzi členskými štátmi</w:t>
      </w:r>
      <w:r w:rsidR="000219DE" w:rsidRPr="00C94003">
        <w:rPr>
          <w:i/>
        </w:rPr>
        <w:t xml:space="preserve"> a rozsudku SD EÚ C-579/15, Popławski</w:t>
      </w:r>
      <w:r w:rsidR="009A630B" w:rsidRPr="00C94003">
        <w:rPr>
          <w:i/>
        </w:rPr>
        <w:t>)</w:t>
      </w:r>
      <w:r w:rsidR="00A30EA7" w:rsidRPr="00C94003">
        <w:t xml:space="preserve">. </w:t>
      </w:r>
    </w:p>
    <w:p w:rsidR="009A630B" w:rsidRPr="00C94003" w:rsidRDefault="009A630B" w:rsidP="00ED75DC">
      <w:pPr>
        <w:jc w:val="both"/>
      </w:pPr>
    </w:p>
    <w:p w:rsidR="00166711" w:rsidRPr="00C94003" w:rsidRDefault="009A630B" w:rsidP="00ED75DC">
      <w:pPr>
        <w:jc w:val="both"/>
      </w:pPr>
      <w:r w:rsidRPr="00C94003">
        <w:t>Tieto</w:t>
      </w:r>
      <w:r w:rsidR="00A30EA7" w:rsidRPr="00C94003">
        <w:t xml:space="preserve"> príklady súvisia s dôsledným uplatnením zásady vzájomného uznávania (limitujúc dôvody odmietnutia na rozsah upravený v príslušnom </w:t>
      </w:r>
      <w:r w:rsidR="00086C3A" w:rsidRPr="00C94003">
        <w:t xml:space="preserve">právnom </w:t>
      </w:r>
      <w:r w:rsidR="00A30EA7" w:rsidRPr="00C94003">
        <w:t xml:space="preserve">nástroji EÚ) alebo </w:t>
      </w:r>
      <w:r w:rsidR="00086C3A" w:rsidRPr="00C94003">
        <w:t xml:space="preserve">s cieľom </w:t>
      </w:r>
      <w:r w:rsidR="00A30EA7" w:rsidRPr="00C94003">
        <w:t>transponované</w:t>
      </w:r>
      <w:r w:rsidR="007A585B" w:rsidRPr="00C94003">
        <w:t>ho</w:t>
      </w:r>
      <w:r w:rsidR="00A30EA7" w:rsidRPr="00C94003">
        <w:t xml:space="preserve"> legislatívneho</w:t>
      </w:r>
      <w:r w:rsidR="00086C3A" w:rsidRPr="00C94003">
        <w:t>/právneho</w:t>
      </w:r>
      <w:r w:rsidR="00A30EA7" w:rsidRPr="00C94003">
        <w:t xml:space="preserve"> nástroja EÚ, vyplynuli zohľadnením všeobecných usmernení Európskej komisie pri posudzovaní transpozičných aktivít členských štátov</w:t>
      </w:r>
      <w:r w:rsidRPr="00C94003">
        <w:t>,</w:t>
      </w:r>
      <w:r w:rsidR="00A30EA7" w:rsidRPr="00C94003">
        <w:t xml:space="preserve"> prihliadnuc </w:t>
      </w:r>
      <w:r w:rsidRPr="00C94003">
        <w:t>aj</w:t>
      </w:r>
      <w:r w:rsidR="00A30EA7" w:rsidRPr="00C94003">
        <w:t xml:space="preserve"> na potreby praxe a na základné zásady vnútroštátnych právnych poriadkov. </w:t>
      </w:r>
    </w:p>
    <w:p w:rsidR="00166711" w:rsidRPr="00C94003" w:rsidRDefault="00166711" w:rsidP="00ED75DC">
      <w:pPr>
        <w:jc w:val="both"/>
      </w:pPr>
    </w:p>
    <w:p w:rsidR="00A30EA7" w:rsidRPr="00C94003" w:rsidRDefault="00A30EA7" w:rsidP="00ED75DC">
      <w:pPr>
        <w:jc w:val="both"/>
      </w:pPr>
      <w:r w:rsidRPr="00C94003">
        <w:t xml:space="preserve">Plánované zmeny právnej úpravy </w:t>
      </w:r>
      <w:r w:rsidR="00086C3A" w:rsidRPr="00C94003">
        <w:t>budú</w:t>
      </w:r>
      <w:r w:rsidRPr="00C94003">
        <w:t xml:space="preserve"> reagovať i na prax a jej požiadavky, pokiaľ ide o niektoré ustanovenia, ktoré vyvolali odlišný výklad alebo ktorých pôvodný zmysel nepredstavuje ani požiadavku na správnu transpozíciu ani na zvýšenie efektívneho postupu vykonávania príslušného právneho aktu EÚ.</w:t>
      </w:r>
    </w:p>
    <w:p w:rsidR="00166711" w:rsidRPr="00C94003" w:rsidRDefault="00166711" w:rsidP="00ED75DC">
      <w:pPr>
        <w:jc w:val="both"/>
      </w:pPr>
    </w:p>
    <w:p w:rsidR="00A30EA7" w:rsidRPr="00C94003" w:rsidRDefault="00166711" w:rsidP="00611DD2">
      <w:pPr>
        <w:numPr>
          <w:ilvl w:val="0"/>
          <w:numId w:val="27"/>
        </w:numPr>
        <w:ind w:left="709"/>
        <w:jc w:val="both"/>
        <w:rPr>
          <w:b/>
          <w:u w:val="single"/>
        </w:rPr>
      </w:pPr>
      <w:r w:rsidRPr="00C94003">
        <w:rPr>
          <w:b/>
          <w:u w:val="single"/>
        </w:rPr>
        <w:t>Zlepšenie rešpektovania zásad trestného konania pri aplikácii</w:t>
      </w:r>
      <w:r w:rsidR="00086C3A" w:rsidRPr="00C94003">
        <w:rPr>
          <w:b/>
          <w:u w:val="single"/>
        </w:rPr>
        <w:t xml:space="preserve"> právnych</w:t>
      </w:r>
      <w:r w:rsidRPr="00C94003">
        <w:rPr>
          <w:b/>
          <w:u w:val="single"/>
        </w:rPr>
        <w:t xml:space="preserve"> nástrojov EÚ</w:t>
      </w:r>
      <w:r w:rsidR="00A30EA7" w:rsidRPr="00C94003">
        <w:rPr>
          <w:b/>
          <w:u w:val="single"/>
        </w:rPr>
        <w:t xml:space="preserve">  </w:t>
      </w:r>
    </w:p>
    <w:p w:rsidR="00CF2B27" w:rsidRPr="00C94003" w:rsidRDefault="00CF2B27" w:rsidP="00ED75DC">
      <w:pPr>
        <w:jc w:val="both"/>
      </w:pPr>
    </w:p>
    <w:p w:rsidR="00DF1ABB" w:rsidRPr="00C94003" w:rsidRDefault="00A30EA7" w:rsidP="00ED75DC">
      <w:pPr>
        <w:jc w:val="both"/>
      </w:pPr>
      <w:r w:rsidRPr="00C94003">
        <w:t xml:space="preserve">Prax pri využívaní niektorých nástrojov justičnej spolupráce v priestore </w:t>
      </w:r>
      <w:r w:rsidR="006F3983" w:rsidRPr="00C94003">
        <w:t>EÚ</w:t>
      </w:r>
      <w:r w:rsidRPr="00C94003">
        <w:t xml:space="preserve"> identifikovala aj niektoré rezervy a možnosti zlepšenia ich uplatňovania v </w:t>
      </w:r>
      <w:r w:rsidR="006F3983" w:rsidRPr="00C94003">
        <w:t>SR</w:t>
      </w:r>
      <w:r w:rsidRPr="00C94003">
        <w:t xml:space="preserve"> z hľadiska rešpektovania zásad trestného konania za zachovania cieľov transponovanej európskej úpravy. </w:t>
      </w:r>
    </w:p>
    <w:p w:rsidR="00DF1ABB" w:rsidRPr="00C94003" w:rsidRDefault="00DF1ABB" w:rsidP="00ED75DC">
      <w:pPr>
        <w:jc w:val="both"/>
      </w:pPr>
    </w:p>
    <w:p w:rsidR="0094416B" w:rsidRPr="00043006" w:rsidRDefault="0094416B" w:rsidP="00043006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u w:val="single"/>
        </w:rPr>
      </w:pPr>
      <w:r w:rsidRPr="00043006">
        <w:rPr>
          <w:b/>
        </w:rPr>
        <w:lastRenderedPageBreak/>
        <w:t>Spoločné okruhy na širokú diskusiu</w:t>
      </w:r>
    </w:p>
    <w:p w:rsidR="0094416B" w:rsidRPr="00C94003" w:rsidRDefault="0094416B" w:rsidP="00ED75DC">
      <w:pPr>
        <w:jc w:val="both"/>
      </w:pPr>
    </w:p>
    <w:p w:rsidR="00AC2389" w:rsidRPr="00C94003" w:rsidRDefault="009A630B" w:rsidP="00ED75DC">
      <w:pPr>
        <w:jc w:val="both"/>
      </w:pPr>
      <w:r w:rsidRPr="00C94003">
        <w:t>Otvorená by mala byť aj otázka</w:t>
      </w:r>
      <w:r w:rsidR="0094416B" w:rsidRPr="00C94003">
        <w:t xml:space="preserve"> </w:t>
      </w:r>
      <w:r w:rsidR="00E92708" w:rsidRPr="00C94003">
        <w:t xml:space="preserve">limitovaného </w:t>
      </w:r>
      <w:r w:rsidR="0094416B" w:rsidRPr="00C94003">
        <w:t xml:space="preserve">prístupu </w:t>
      </w:r>
      <w:r w:rsidR="006F3983" w:rsidRPr="00C94003">
        <w:t>ministerstva</w:t>
      </w:r>
      <w:r w:rsidR="0094416B" w:rsidRPr="00C94003">
        <w:t xml:space="preserve"> k niektorým databázam</w:t>
      </w:r>
      <w:r w:rsidR="002E6776" w:rsidRPr="00C94003">
        <w:t xml:space="preserve"> </w:t>
      </w:r>
      <w:r w:rsidR="00E92708" w:rsidRPr="00C94003">
        <w:t>(</w:t>
      </w:r>
      <w:r w:rsidR="002E6776" w:rsidRPr="00C94003">
        <w:t xml:space="preserve">napr. na báze </w:t>
      </w:r>
      <w:r w:rsidR="002E6776" w:rsidRPr="00C94003">
        <w:rPr>
          <w:i/>
        </w:rPr>
        <w:t>hit / no hit</w:t>
      </w:r>
      <w:r w:rsidR="00E92708" w:rsidRPr="00C94003">
        <w:t>),</w:t>
      </w:r>
      <w:r w:rsidR="002E6776" w:rsidRPr="00C94003">
        <w:t xml:space="preserve"> </w:t>
      </w:r>
      <w:r w:rsidR="0094416B" w:rsidRPr="00C94003">
        <w:t>za</w:t>
      </w:r>
      <w:r w:rsidR="00685052" w:rsidRPr="00C94003">
        <w:t xml:space="preserve"> účelom</w:t>
      </w:r>
      <w:r w:rsidR="0094416B" w:rsidRPr="00C94003">
        <w:t xml:space="preserve"> súčasného zefektívnenia súvisiacej asistenčnej úlohy </w:t>
      </w:r>
      <w:r w:rsidR="006F3983" w:rsidRPr="00C94003">
        <w:t>ministerstva</w:t>
      </w:r>
      <w:r w:rsidR="0094416B" w:rsidRPr="00C94003">
        <w:t xml:space="preserve"> v systéme justičnej spolupráce v trestných veciach. </w:t>
      </w:r>
    </w:p>
    <w:p w:rsidR="00066699" w:rsidRPr="00C94003" w:rsidRDefault="00066699" w:rsidP="00ED75DC">
      <w:pPr>
        <w:jc w:val="both"/>
      </w:pPr>
    </w:p>
    <w:p w:rsidR="00043006" w:rsidRDefault="006F3983" w:rsidP="00ED75DC">
      <w:pPr>
        <w:jc w:val="both"/>
      </w:pPr>
      <w:r w:rsidRPr="00C94003">
        <w:t>Ministerstvo</w:t>
      </w:r>
      <w:r w:rsidR="0094416B" w:rsidRPr="00C94003">
        <w:t xml:space="preserve"> by malo plniť poradnú a koordinačnú funkciu aj po prenesení kompetencie priamo na súdy medzi </w:t>
      </w:r>
      <w:r w:rsidRPr="00C94003">
        <w:t>členské štáty</w:t>
      </w:r>
      <w:r w:rsidR="0094416B" w:rsidRPr="00C94003">
        <w:t xml:space="preserve"> EÚ. Túto funkciu však reálne </w:t>
      </w:r>
      <w:r w:rsidR="00E92708" w:rsidRPr="00C94003">
        <w:t xml:space="preserve">za súčasného stavu </w:t>
      </w:r>
      <w:r w:rsidR="0094416B" w:rsidRPr="00C94003">
        <w:t>nie je schopné plniť.</w:t>
      </w:r>
      <w:r w:rsidR="004373B2" w:rsidRPr="00C94003">
        <w:t xml:space="preserve"> </w:t>
      </w:r>
      <w:r w:rsidR="0094416B" w:rsidRPr="00C94003">
        <w:t>Absencia centralizovaného prístupu k aktuálnym informáciám o súdmi vedených konaniach v rámci justičnej spolupráce v trestných veciach vedie k situáciám, v ktorých dva súdy konajú vo vzťahu k jednej osobe o identickom, ale často i odlišnom inštitúte v rámci vzájomného uznávania v priestore EÚ</w:t>
      </w:r>
      <w:r w:rsidR="000C5B9B" w:rsidRPr="00C94003">
        <w:t>.</w:t>
      </w:r>
      <w:r w:rsidR="0094416B" w:rsidRPr="00C94003">
        <w:t xml:space="preserve"> </w:t>
      </w:r>
    </w:p>
    <w:p w:rsidR="00043006" w:rsidRDefault="00043006" w:rsidP="00ED75DC">
      <w:pPr>
        <w:jc w:val="both"/>
      </w:pPr>
    </w:p>
    <w:p w:rsidR="000558AB" w:rsidRDefault="000C5B9B" w:rsidP="00ED75DC">
      <w:pPr>
        <w:jc w:val="both"/>
      </w:pPr>
      <w:r w:rsidRPr="00C94003">
        <w:t>K</w:t>
      </w:r>
      <w:r w:rsidR="0094416B" w:rsidRPr="00C94003">
        <w:t xml:space="preserve">onkrétne ide </w:t>
      </w:r>
      <w:r w:rsidR="006F3983" w:rsidRPr="00C94003">
        <w:t xml:space="preserve">najčastejšie </w:t>
      </w:r>
      <w:r w:rsidR="0094416B" w:rsidRPr="00C94003">
        <w:t>o kolízie konaní o EZR a</w:t>
      </w:r>
      <w:r w:rsidR="00E92708" w:rsidRPr="00C94003">
        <w:t xml:space="preserve"> konaní o </w:t>
      </w:r>
      <w:r w:rsidR="0094416B" w:rsidRPr="00C94003">
        <w:t>odovzdaní na výkon trestu odňatia slobody do iného členského štátu (alebo iného EZR), o ktorom nemajú vzájomne vedomosť ani dotknuté súdy a rovnako ani ministerstvo spravodlivosti a k tomuto zisteniu príde až vo finálnom štádiu konaní</w:t>
      </w:r>
      <w:r w:rsidR="006F3983" w:rsidRPr="00C94003">
        <w:t>. N</w:t>
      </w:r>
      <w:r w:rsidR="0094416B" w:rsidRPr="00C94003">
        <w:t xml:space="preserve">ásledne je nevyhnutné sanovať situáciu, v ktorej dôjde k uprednostneniu jedného inštitútu alebo jedného členského štátu rušením už prijatých rozhodnutí, čo v konečnom dôsledku znižuje prestíž obrazu slovenskej justície a rovnako oslabuje zásadu vzájomnej dôvery medzi justičnými orgánmi EÚ. </w:t>
      </w:r>
      <w:r w:rsidR="00AC2389" w:rsidRPr="00C94003">
        <w:t>Boli dokumentované prípady, kedy v dôsledku vzájomnej neinformovanosti pri kolíznych inštitútoch musela byť osoba prepustená na slobodu.</w:t>
      </w:r>
    </w:p>
    <w:p w:rsidR="00043006" w:rsidRPr="00C94003" w:rsidRDefault="00043006" w:rsidP="00ED75DC">
      <w:pPr>
        <w:jc w:val="both"/>
      </w:pPr>
    </w:p>
    <w:p w:rsidR="005C48A3" w:rsidRPr="00C94003" w:rsidRDefault="005C48A3" w:rsidP="00ED75DC">
      <w:pPr>
        <w:jc w:val="both"/>
      </w:pPr>
    </w:p>
    <w:p w:rsidR="005C48A3" w:rsidRPr="00C94003" w:rsidRDefault="005C48A3" w:rsidP="00611DD2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C94003">
        <w:rPr>
          <w:b/>
        </w:rPr>
        <w:t>Oblasť ochrany osobných údajov</w:t>
      </w:r>
    </w:p>
    <w:p w:rsidR="005C48A3" w:rsidRPr="00C94003" w:rsidRDefault="005C48A3" w:rsidP="005C48A3">
      <w:pPr>
        <w:jc w:val="both"/>
      </w:pPr>
    </w:p>
    <w:p w:rsidR="005C48A3" w:rsidRPr="00C94003" w:rsidRDefault="005C48A3" w:rsidP="005C48A3">
      <w:pPr>
        <w:jc w:val="both"/>
      </w:pPr>
      <w:r w:rsidRPr="00C94003">
        <w:t xml:space="preserve">V rámci budúcich diskusií o právnej úprave justičnej spolupráce v trestných veciach sa bude potrebné venovať aj otázkam ochrany osobných údajov. Nová právna úprava by mala v súlade s </w:t>
      </w:r>
      <w:r w:rsidRPr="00C94003">
        <w:rPr>
          <w:i/>
        </w:rPr>
        <w:t>§13 ods. 2 zákona č. 18/2018 Z.z. o ochrane osobných údajov a o zmene a doplnení niektorých zákonov</w:t>
      </w:r>
      <w:r w:rsidRPr="00C94003">
        <w:t xml:space="preserve"> obsahovať účel spracúvania osobných údajov, kategóriu dotknutých osôb a zoznam spracúvaných osobných údajov alebo rozsah spracúvaných osobných údajov zohľadňujúc osobitosti jednotlivých inštitútov resp. nástrojov.</w:t>
      </w:r>
    </w:p>
    <w:p w:rsidR="005C48A3" w:rsidRPr="00C94003" w:rsidRDefault="005C48A3" w:rsidP="00ED75DC">
      <w:pPr>
        <w:jc w:val="both"/>
      </w:pPr>
    </w:p>
    <w:p w:rsidR="000558AB" w:rsidRPr="00C94003" w:rsidRDefault="000558AB" w:rsidP="00ED75DC">
      <w:pPr>
        <w:jc w:val="both"/>
      </w:pPr>
    </w:p>
    <w:p w:rsidR="000558AB" w:rsidRPr="00C94003" w:rsidRDefault="000558AB" w:rsidP="00ED75DC">
      <w:pPr>
        <w:jc w:val="both"/>
      </w:pPr>
    </w:p>
    <w:p w:rsidR="000558AB" w:rsidRPr="00C94003" w:rsidRDefault="000558AB" w:rsidP="00ED75DC">
      <w:pPr>
        <w:jc w:val="both"/>
      </w:pPr>
    </w:p>
    <w:p w:rsidR="003761E8" w:rsidRPr="00C94003" w:rsidRDefault="006F3983" w:rsidP="00CF2B27">
      <w:pPr>
        <w:jc w:val="right"/>
        <w:rPr>
          <w:b/>
          <w:u w:val="single"/>
        </w:rPr>
      </w:pPr>
      <w:r w:rsidRPr="00C94003">
        <w:rPr>
          <w:b/>
          <w:u w:val="single"/>
        </w:rPr>
        <w:br w:type="page"/>
      </w:r>
      <w:r w:rsidR="003761E8" w:rsidRPr="00C94003">
        <w:rPr>
          <w:b/>
          <w:u w:val="single"/>
        </w:rPr>
        <w:lastRenderedPageBreak/>
        <w:t xml:space="preserve">Príloha </w:t>
      </w:r>
    </w:p>
    <w:p w:rsidR="003761E8" w:rsidRPr="00C94003" w:rsidRDefault="003761E8" w:rsidP="00ED75DC">
      <w:pPr>
        <w:jc w:val="both"/>
      </w:pPr>
    </w:p>
    <w:p w:rsidR="00633B61" w:rsidRPr="00C94003" w:rsidRDefault="00AC2389" w:rsidP="000558AB">
      <w:pPr>
        <w:jc w:val="center"/>
        <w:rPr>
          <w:b/>
          <w:sz w:val="28"/>
          <w:szCs w:val="28"/>
        </w:rPr>
      </w:pPr>
      <w:r w:rsidRPr="00C94003">
        <w:rPr>
          <w:b/>
          <w:sz w:val="28"/>
          <w:szCs w:val="28"/>
        </w:rPr>
        <w:t>Prehľad nástrojov justičnej spolupráce v trestných veciach</w:t>
      </w:r>
      <w:r w:rsidR="00633B61" w:rsidRPr="00C94003">
        <w:rPr>
          <w:b/>
          <w:sz w:val="28"/>
          <w:szCs w:val="28"/>
        </w:rPr>
        <w:t xml:space="preserve"> </w:t>
      </w:r>
    </w:p>
    <w:p w:rsidR="00AC2389" w:rsidRPr="00C94003" w:rsidRDefault="00633B61" w:rsidP="000558AB">
      <w:pPr>
        <w:jc w:val="center"/>
        <w:rPr>
          <w:b/>
          <w:sz w:val="28"/>
          <w:szCs w:val="28"/>
        </w:rPr>
      </w:pPr>
      <w:r w:rsidRPr="00C94003">
        <w:rPr>
          <w:b/>
          <w:sz w:val="28"/>
          <w:szCs w:val="28"/>
        </w:rPr>
        <w:t xml:space="preserve">a súvisiacich predpisov </w:t>
      </w:r>
    </w:p>
    <w:p w:rsidR="003761E8" w:rsidRPr="00C94003" w:rsidRDefault="003761E8" w:rsidP="00ED75DC">
      <w:pPr>
        <w:jc w:val="both"/>
      </w:pPr>
    </w:p>
    <w:p w:rsidR="003761E8" w:rsidRPr="00C94003" w:rsidRDefault="003761E8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sz w:val="24"/>
          <w:szCs w:val="24"/>
          <w:highlight w:val="lightGray"/>
        </w:rPr>
        <w:t>Eurojust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CE4728" w:rsidRPr="00C94003" w:rsidRDefault="00E468E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r</w:t>
      </w:r>
      <w:r w:rsidR="003761E8" w:rsidRPr="00C94003">
        <w:rPr>
          <w:rFonts w:ascii="Times New Roman" w:hAnsi="Times New Roman"/>
          <w:b/>
          <w:bCs/>
          <w:sz w:val="24"/>
          <w:szCs w:val="24"/>
        </w:rPr>
        <w:t>ozhodnutie Rady 2002/187/SVV</w:t>
      </w:r>
      <w:r w:rsidR="003761E8" w:rsidRPr="00C94003">
        <w:rPr>
          <w:rFonts w:ascii="Times New Roman" w:hAnsi="Times New Roman"/>
          <w:bCs/>
          <w:sz w:val="24"/>
          <w:szCs w:val="24"/>
        </w:rPr>
        <w:t xml:space="preserve"> z 28. februára 2002, ktorým sa zriaďuje Eurojust s cieľom posilniť boj proti závažným trestným činom, zmenené rozhodnutím Rady 2003/659/SVV z 18. júna 2003, ktorým sa mení a dopĺňa rozhodnutie Rady 2002/187/SVV, ktorým sa zriaďuje Eurojust s cieľom posilniť boj proti závažným trestným činom; a rozhodnutím Rady 2009/426/SVV zo 16. decembra 2008 o posilnení Eurojustu a o zmene a doplnení rozhodnutia Rady 2002/187/SVV, ktorým sa zriaďuje Eurojust s cieľom posilniť boj proti závažným trestným činom</w:t>
      </w:r>
      <w:r w:rsidR="009B5714" w:rsidRPr="00C94003">
        <w:rPr>
          <w:rFonts w:ascii="Times New Roman" w:hAnsi="Times New Roman"/>
          <w:bCs/>
          <w:sz w:val="24"/>
          <w:szCs w:val="24"/>
        </w:rPr>
        <w:t xml:space="preserve"> (platné do11.12.2019)</w:t>
      </w:r>
    </w:p>
    <w:p w:rsidR="009B5714" w:rsidRPr="00C94003" w:rsidRDefault="009B5714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nariadenie EP a Rady (EÚ) č. 2018/1727</w:t>
      </w:r>
      <w:r w:rsidR="00A60D51" w:rsidRPr="00C94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D51" w:rsidRPr="00C94003">
        <w:rPr>
          <w:rFonts w:ascii="Times New Roman" w:hAnsi="Times New Roman"/>
          <w:bCs/>
          <w:sz w:val="24"/>
          <w:szCs w:val="24"/>
        </w:rPr>
        <w:t>o Agentúre Európskej únie pre justičnú spoluprácu v trestných veciach (Eurojust) a o nahradení a zrušení rozhodnutia Rady 2002/187/SVV</w:t>
      </w:r>
      <w:r w:rsidRPr="00C94003">
        <w:rPr>
          <w:rFonts w:ascii="Times New Roman" w:hAnsi="Times New Roman"/>
          <w:bCs/>
          <w:sz w:val="24"/>
          <w:szCs w:val="24"/>
        </w:rPr>
        <w:t xml:space="preserve"> (</w:t>
      </w:r>
      <w:r w:rsidR="00A60D51" w:rsidRPr="00C94003">
        <w:rPr>
          <w:rFonts w:ascii="Times New Roman" w:hAnsi="Times New Roman"/>
          <w:bCs/>
          <w:sz w:val="24"/>
          <w:szCs w:val="24"/>
        </w:rPr>
        <w:t xml:space="preserve">uplatňuje sa </w:t>
      </w:r>
      <w:r w:rsidRPr="00C94003">
        <w:rPr>
          <w:rFonts w:ascii="Times New Roman" w:hAnsi="Times New Roman"/>
          <w:bCs/>
          <w:sz w:val="24"/>
          <w:szCs w:val="24"/>
        </w:rPr>
        <w:t>od 12.12.2019)</w:t>
      </w:r>
    </w:p>
    <w:p w:rsidR="003761E8" w:rsidRPr="00C94003" w:rsidRDefault="00E468E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z</w:t>
      </w:r>
      <w:r w:rsidR="003761E8" w:rsidRPr="00C94003">
        <w:rPr>
          <w:rFonts w:ascii="Times New Roman" w:hAnsi="Times New Roman"/>
          <w:b/>
          <w:bCs/>
          <w:sz w:val="24"/>
          <w:szCs w:val="24"/>
        </w:rPr>
        <w:t>ákon č. 383/2011 Z. z.</w:t>
      </w:r>
      <w:r w:rsidR="003761E8" w:rsidRPr="00C94003">
        <w:rPr>
          <w:rFonts w:ascii="Times New Roman" w:hAnsi="Times New Roman"/>
          <w:bCs/>
          <w:sz w:val="24"/>
          <w:szCs w:val="24"/>
        </w:rPr>
        <w:t xml:space="preserve"> o zastúpení Slovenskej republiky v Eurojuste</w:t>
      </w:r>
    </w:p>
    <w:p w:rsidR="003761E8" w:rsidRPr="00C94003" w:rsidRDefault="003761E8" w:rsidP="00ED75DC">
      <w:pPr>
        <w:jc w:val="both"/>
        <w:rPr>
          <w:bCs/>
        </w:rPr>
      </w:pPr>
    </w:p>
    <w:p w:rsidR="003761E8" w:rsidRPr="00C94003" w:rsidRDefault="003761E8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sz w:val="24"/>
          <w:szCs w:val="24"/>
          <w:highlight w:val="lightGray"/>
        </w:rPr>
        <w:t xml:space="preserve">Európska justičná sieť v trestných veciach 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3761E8" w:rsidRPr="00C94003" w:rsidRDefault="003761E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rozhodnutie Rady 2008/976/SVV</w:t>
      </w:r>
      <w:r w:rsidRPr="00C94003">
        <w:rPr>
          <w:rFonts w:ascii="Times New Roman" w:hAnsi="Times New Roman"/>
          <w:bCs/>
          <w:sz w:val="24"/>
          <w:szCs w:val="24"/>
        </w:rPr>
        <w:t xml:space="preserve"> zo 16. decembra 2008 o Európskej justičnej sieti.</w:t>
      </w:r>
    </w:p>
    <w:p w:rsidR="003761E8" w:rsidRPr="00C94003" w:rsidRDefault="00CE472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Inštrukcia 38/2017 Ministerstva spravodlivosti</w:t>
      </w:r>
      <w:r w:rsidRPr="00C94003">
        <w:rPr>
          <w:rFonts w:ascii="Times New Roman" w:hAnsi="Times New Roman"/>
          <w:sz w:val="24"/>
          <w:szCs w:val="24"/>
        </w:rPr>
        <w:t xml:space="preserve"> Slovenskej republiky z 26. októbra 2017 č. 68/2017/83/K18, ktorou sa ustanovuje organizácia a pôsobnosť Súdnej siete pre trestné veci Slovenskej republiky</w:t>
      </w:r>
    </w:p>
    <w:p w:rsidR="003761E8" w:rsidRPr="00C94003" w:rsidRDefault="003761E8" w:rsidP="00ED75DC">
      <w:pPr>
        <w:jc w:val="both"/>
      </w:pPr>
    </w:p>
    <w:p w:rsidR="003761E8" w:rsidRPr="00C94003" w:rsidRDefault="003761E8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sz w:val="24"/>
          <w:szCs w:val="24"/>
          <w:highlight w:val="lightGray"/>
        </w:rPr>
        <w:t>Predchádzanie</w:t>
      </w:r>
      <w:r w:rsidRPr="00C94003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kolíziám v rámci EÚ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3761E8" w:rsidRPr="00C94003" w:rsidRDefault="005B4B72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r</w:t>
      </w:r>
      <w:r w:rsidR="003761E8" w:rsidRPr="00C94003">
        <w:rPr>
          <w:rFonts w:ascii="Times New Roman" w:hAnsi="Times New Roman"/>
          <w:b/>
          <w:bCs/>
          <w:sz w:val="24"/>
          <w:szCs w:val="24"/>
        </w:rPr>
        <w:t>ámcové rozhodnutie Rady 2009/948/SVV</w:t>
      </w:r>
      <w:r w:rsidR="003761E8" w:rsidRPr="00C94003">
        <w:rPr>
          <w:rFonts w:ascii="Times New Roman" w:hAnsi="Times New Roman"/>
          <w:i/>
          <w:sz w:val="24"/>
          <w:szCs w:val="24"/>
        </w:rPr>
        <w:t xml:space="preserve"> </w:t>
      </w:r>
      <w:r w:rsidR="003761E8" w:rsidRPr="00C94003">
        <w:rPr>
          <w:rFonts w:ascii="Times New Roman" w:hAnsi="Times New Roman"/>
          <w:sz w:val="24"/>
          <w:szCs w:val="24"/>
        </w:rPr>
        <w:t xml:space="preserve">z  30. novembra 2009 o predchádzaní kolíziám pri výkone právomoci v trestných veciach a ich urovnávaní </w:t>
      </w:r>
    </w:p>
    <w:p w:rsidR="003761E8" w:rsidRPr="00C94003" w:rsidRDefault="003761E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§ 530a T</w:t>
      </w:r>
      <w:r w:rsidR="00633B61" w:rsidRPr="00C94003">
        <w:rPr>
          <w:rFonts w:ascii="Times New Roman" w:hAnsi="Times New Roman"/>
          <w:b/>
          <w:bCs/>
          <w:sz w:val="24"/>
          <w:szCs w:val="24"/>
        </w:rPr>
        <w:t>restného poriadku</w:t>
      </w:r>
    </w:p>
    <w:p w:rsidR="00ED75DC" w:rsidRPr="00C94003" w:rsidRDefault="00ED75DC" w:rsidP="00ED75D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3761E8" w:rsidRPr="00C94003" w:rsidRDefault="003761E8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sz w:val="24"/>
          <w:szCs w:val="24"/>
          <w:highlight w:val="lightGray"/>
        </w:rPr>
        <w:t xml:space="preserve">Európsky zatýkací rozkaz 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3761E8" w:rsidRPr="00C94003" w:rsidRDefault="003761E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rámcové rozhodnutie 2002/584/SVV</w:t>
      </w:r>
      <w:r w:rsidRPr="00C94003">
        <w:rPr>
          <w:rFonts w:ascii="Times New Roman" w:hAnsi="Times New Roman"/>
          <w:sz w:val="24"/>
          <w:szCs w:val="24"/>
        </w:rPr>
        <w:t xml:space="preserve"> z 13. júna 2002 o európskom zatykači a postupoch odovzdávania osôb medzi členskými štátmi</w:t>
      </w:r>
    </w:p>
    <w:p w:rsidR="003761E8" w:rsidRPr="00C94003" w:rsidRDefault="00E468E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r</w:t>
      </w:r>
      <w:r w:rsidR="003761E8" w:rsidRPr="00C94003">
        <w:rPr>
          <w:rFonts w:ascii="Times New Roman" w:hAnsi="Times New Roman"/>
          <w:b/>
          <w:sz w:val="24"/>
          <w:szCs w:val="24"/>
        </w:rPr>
        <w:t>ámcové rozhodnutie Rady 2009/299/SVV</w:t>
      </w:r>
      <w:r w:rsidR="003761E8" w:rsidRPr="00C94003">
        <w:rPr>
          <w:rFonts w:ascii="Times New Roman" w:hAnsi="Times New Roman"/>
          <w:sz w:val="24"/>
          <w:szCs w:val="24"/>
        </w:rPr>
        <w:t xml:space="preserve"> z  26. februára 2009 o zmene a doplnení rámcových rozhodnutí 2002/584/SVV, 2005/214/SVV, 2006/783/SVV, 2008/909/SVV a 2008/947/SVV a o posilnení procesných práv osôb, podpore uplatňovania zásady vzájomného uznávania, pokiaľ ide o rozhodnutia vydané v neprítomnosti dotknutej osoby na konaní</w:t>
      </w:r>
    </w:p>
    <w:p w:rsidR="003761E8" w:rsidRPr="00C94003" w:rsidRDefault="00E468E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z</w:t>
      </w:r>
      <w:r w:rsidR="003761E8" w:rsidRPr="00C94003">
        <w:rPr>
          <w:rFonts w:ascii="Times New Roman" w:hAnsi="Times New Roman"/>
          <w:b/>
          <w:sz w:val="24"/>
          <w:szCs w:val="24"/>
        </w:rPr>
        <w:t>ákon</w:t>
      </w:r>
      <w:r w:rsidR="003761E8" w:rsidRPr="00C94003">
        <w:rPr>
          <w:rFonts w:ascii="Times New Roman" w:hAnsi="Times New Roman"/>
          <w:b/>
          <w:bCs/>
          <w:sz w:val="24"/>
          <w:szCs w:val="24"/>
        </w:rPr>
        <w:t xml:space="preserve"> č. 154/2010 Z. z.</w:t>
      </w:r>
      <w:r w:rsidR="003761E8" w:rsidRPr="00C94003">
        <w:rPr>
          <w:rFonts w:ascii="Times New Roman" w:hAnsi="Times New Roman"/>
          <w:bCs/>
          <w:sz w:val="24"/>
          <w:szCs w:val="24"/>
        </w:rPr>
        <w:t xml:space="preserve"> o európskom zatýkacom rozkaze </w:t>
      </w:r>
    </w:p>
    <w:p w:rsidR="00ED75DC" w:rsidRPr="00C94003" w:rsidRDefault="00ED75DC" w:rsidP="00ED75DC">
      <w:pPr>
        <w:pStyle w:val="Odsekzoznamu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61E8" w:rsidRPr="00C94003" w:rsidRDefault="003761E8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sz w:val="24"/>
          <w:szCs w:val="24"/>
          <w:highlight w:val="lightGray"/>
        </w:rPr>
        <w:t xml:space="preserve">Uznávanie a výkon rozhodnutí ukladajúcich trest odňatia slobody alebo opatrení zahŕňajúcich pozbavenie osobnej slobody 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3761E8" w:rsidRPr="00C94003" w:rsidRDefault="003761E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rámcové rozhodnutie Rady 2008/909/SVV</w:t>
      </w:r>
      <w:r w:rsidRPr="00C94003">
        <w:rPr>
          <w:rFonts w:ascii="Times New Roman" w:hAnsi="Times New Roman"/>
          <w:sz w:val="24"/>
          <w:szCs w:val="24"/>
        </w:rPr>
        <w:t xml:space="preserve"> z  27. novembra 2008 o uplatňovaní zásady vzájomného uznávania na rozsudky v trestných veciach, ktorými sa ukladajú </w:t>
      </w:r>
      <w:r w:rsidRPr="00C94003">
        <w:rPr>
          <w:rFonts w:ascii="Times New Roman" w:hAnsi="Times New Roman"/>
          <w:sz w:val="24"/>
          <w:szCs w:val="24"/>
        </w:rPr>
        <w:lastRenderedPageBreak/>
        <w:t>tresty odňatia slobody alebo opatrenia zahŕňajúce pozbavenie osobnej slobody, na účely ich výkonu v Európskej únii</w:t>
      </w:r>
    </w:p>
    <w:p w:rsidR="003761E8" w:rsidRPr="00C94003" w:rsidRDefault="00E468E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r</w:t>
      </w:r>
      <w:r w:rsidR="003761E8" w:rsidRPr="00C94003">
        <w:rPr>
          <w:rFonts w:ascii="Times New Roman" w:hAnsi="Times New Roman"/>
          <w:b/>
          <w:sz w:val="24"/>
          <w:szCs w:val="24"/>
        </w:rPr>
        <w:t>ámcové rozhodnutie Rady 2009/299/SVV</w:t>
      </w:r>
      <w:r w:rsidR="003761E8" w:rsidRPr="00C94003">
        <w:rPr>
          <w:rFonts w:ascii="Times New Roman" w:hAnsi="Times New Roman"/>
          <w:sz w:val="24"/>
          <w:szCs w:val="24"/>
        </w:rPr>
        <w:t xml:space="preserve"> z  26. februára 2009 o zmene a doplnení rámcových rozhodnutí 2002/584/SVV, 2005/214/SVV, 2006/783/SVV, 2008/909/SVV a 2008/947/SVV a o posilnení procesných práv osôb, podpore uplatňovania zásady vzájomného uznávania, pokiaľ ide o rozhodnutia vydané v neprítomnosti dotknutej osoby na konaní</w:t>
      </w:r>
    </w:p>
    <w:p w:rsidR="003761E8" w:rsidRPr="00C94003" w:rsidRDefault="003761E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zákon č. 549/2011 Z.</w:t>
      </w:r>
      <w:r w:rsidR="00F33FAA" w:rsidRPr="00C94003">
        <w:rPr>
          <w:rFonts w:ascii="Times New Roman" w:hAnsi="Times New Roman"/>
          <w:b/>
          <w:sz w:val="24"/>
          <w:szCs w:val="24"/>
        </w:rPr>
        <w:t xml:space="preserve"> </w:t>
      </w:r>
      <w:r w:rsidRPr="00C94003">
        <w:rPr>
          <w:rFonts w:ascii="Times New Roman" w:hAnsi="Times New Roman"/>
          <w:b/>
          <w:sz w:val="24"/>
          <w:szCs w:val="24"/>
        </w:rPr>
        <w:t>z.</w:t>
      </w:r>
      <w:r w:rsidRPr="00C94003">
        <w:rPr>
          <w:rFonts w:ascii="Times New Roman" w:hAnsi="Times New Roman"/>
          <w:sz w:val="24"/>
          <w:szCs w:val="24"/>
        </w:rPr>
        <w:t xml:space="preserve">  o uznávaní a výkone rozhodnutí, ktorými sa ukladá trestná sankcia spojená s odňatím slobody v Európskej únii a o zmene a doplnení zákona č. 221/2006 Z. z. o výkone väzby v znení neskorších predpisov</w:t>
      </w:r>
    </w:p>
    <w:p w:rsidR="005F7D28" w:rsidRPr="00C94003" w:rsidRDefault="005F7D2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rámcové rozhodnutie Rady 2008/675/SVV</w:t>
      </w:r>
      <w:r w:rsidRPr="00C94003">
        <w:rPr>
          <w:rFonts w:ascii="Times New Roman" w:hAnsi="Times New Roman"/>
          <w:sz w:val="24"/>
          <w:szCs w:val="24"/>
        </w:rPr>
        <w:t xml:space="preserve"> z  24. júla 2008 o zohľadňovaní odsúdení </w:t>
      </w:r>
      <w:r w:rsidRPr="00C94003">
        <w:rPr>
          <w:rFonts w:ascii="Times New Roman" w:hAnsi="Times New Roman"/>
          <w:bCs/>
          <w:sz w:val="24"/>
          <w:szCs w:val="24"/>
        </w:rPr>
        <w:t>v členských štátoch Európskej únie v novom trestnom konaní</w:t>
      </w:r>
    </w:p>
    <w:p w:rsidR="003761E8" w:rsidRPr="00C94003" w:rsidRDefault="003761E8" w:rsidP="00ED75D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1E8" w:rsidRPr="00C94003" w:rsidRDefault="003761E8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sz w:val="24"/>
          <w:szCs w:val="24"/>
          <w:highlight w:val="lightGray"/>
        </w:rPr>
        <w:t xml:space="preserve">Uznávanie a výkon rozhodnutí ukladajúcich dohľad alebo alternatívne sankcie 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3761E8" w:rsidRPr="00C94003" w:rsidRDefault="003761E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rámcové rozhodnutie 2008/947/SVV</w:t>
      </w:r>
      <w:r w:rsidRPr="00C94003">
        <w:rPr>
          <w:rFonts w:ascii="Times New Roman" w:hAnsi="Times New Roman"/>
          <w:sz w:val="24"/>
          <w:szCs w:val="24"/>
        </w:rPr>
        <w:t xml:space="preserve"> z  27. novembra 2008 o uplatňovaní zásady vzájomného uznávania na rozsudky a probačné rozhodnutia na účely dohľadu nad probačnými opatreniami a alternatívnymi sankciami</w:t>
      </w:r>
    </w:p>
    <w:p w:rsidR="003761E8" w:rsidRPr="00C94003" w:rsidRDefault="00E468E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r</w:t>
      </w:r>
      <w:r w:rsidR="003761E8" w:rsidRPr="00C94003">
        <w:rPr>
          <w:rFonts w:ascii="Times New Roman" w:hAnsi="Times New Roman"/>
          <w:b/>
          <w:sz w:val="24"/>
          <w:szCs w:val="24"/>
        </w:rPr>
        <w:t>ámcové rozhodnutie Rady 2009/299/SVV</w:t>
      </w:r>
      <w:r w:rsidR="003761E8" w:rsidRPr="00C94003">
        <w:rPr>
          <w:rFonts w:ascii="Times New Roman" w:hAnsi="Times New Roman"/>
          <w:sz w:val="24"/>
          <w:szCs w:val="24"/>
        </w:rPr>
        <w:t xml:space="preserve"> z  26. februára 2009 o zmene a doplnení rámcových rozhodnutí 2002/584/SVV, 2005/214/SVV, 2006/783/SVV, 2008/909/SVV a 2008/947/SVV a o posilnení procesných práv osôb, podpore uplatňovania zásady vzájomného uznávania, pokiaľ ide o rozhodnutia vydané v neprítomnosti dotknutej osoby na konaní</w:t>
      </w:r>
    </w:p>
    <w:p w:rsidR="003761E8" w:rsidRPr="00C94003" w:rsidRDefault="003761E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zákon č. 533/2011 Z. z.</w:t>
      </w:r>
      <w:r w:rsidRPr="00C94003">
        <w:rPr>
          <w:rFonts w:ascii="Times New Roman" w:hAnsi="Times New Roman"/>
          <w:sz w:val="24"/>
          <w:szCs w:val="24"/>
        </w:rPr>
        <w:t xml:space="preserve"> o uznávaní a výkone rozhodnutí, ktorými sa ukladá trestná sankcia nespojená s odňatím slobody alebo probačné opatrenie na účely dohľadu v Európskej únii</w:t>
      </w:r>
    </w:p>
    <w:p w:rsidR="003761E8" w:rsidRPr="00C94003" w:rsidRDefault="003761E8" w:rsidP="00ED75D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1E8" w:rsidRPr="00C94003" w:rsidRDefault="003761E8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sz w:val="24"/>
          <w:szCs w:val="24"/>
          <w:highlight w:val="lightGray"/>
        </w:rPr>
        <w:t>Európsky ochranný príkaz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3761E8" w:rsidRPr="00C94003" w:rsidRDefault="00E468E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s</w:t>
      </w:r>
      <w:r w:rsidR="003761E8" w:rsidRPr="00C94003">
        <w:rPr>
          <w:rFonts w:ascii="Times New Roman" w:hAnsi="Times New Roman"/>
          <w:b/>
          <w:sz w:val="24"/>
          <w:szCs w:val="24"/>
        </w:rPr>
        <w:t>mernica Európskeho parlamentu a Rady 2011/99/EU</w:t>
      </w:r>
      <w:r w:rsidR="003761E8" w:rsidRPr="00C94003">
        <w:rPr>
          <w:rFonts w:ascii="Times New Roman" w:hAnsi="Times New Roman"/>
          <w:sz w:val="24"/>
          <w:szCs w:val="24"/>
        </w:rPr>
        <w:t xml:space="preserve"> z 13. decembra 2011 o Európskom ochrannom príkaze</w:t>
      </w:r>
    </w:p>
    <w:p w:rsidR="003761E8" w:rsidRPr="00C94003" w:rsidRDefault="003761E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sz w:val="24"/>
          <w:szCs w:val="24"/>
        </w:rPr>
        <w:t>zákon č. 398/2015 Z.</w:t>
      </w:r>
      <w:r w:rsidR="00F33FAA" w:rsidRPr="00C94003">
        <w:rPr>
          <w:rFonts w:ascii="Times New Roman" w:hAnsi="Times New Roman"/>
          <w:b/>
          <w:sz w:val="24"/>
          <w:szCs w:val="24"/>
        </w:rPr>
        <w:t xml:space="preserve"> </w:t>
      </w:r>
      <w:r w:rsidRPr="00C94003">
        <w:rPr>
          <w:rFonts w:ascii="Times New Roman" w:hAnsi="Times New Roman"/>
          <w:b/>
          <w:sz w:val="24"/>
          <w:szCs w:val="24"/>
        </w:rPr>
        <w:t>z.</w:t>
      </w:r>
      <w:r w:rsidRPr="00C94003">
        <w:rPr>
          <w:rFonts w:ascii="Times New Roman" w:hAnsi="Times New Roman"/>
          <w:sz w:val="24"/>
          <w:szCs w:val="24"/>
        </w:rPr>
        <w:t xml:space="preserve"> o európskom ochrannom príkaze v trestných veciach a o zmene  a doplnení niektorých zákonov</w:t>
      </w:r>
    </w:p>
    <w:p w:rsidR="003761E8" w:rsidRPr="00C94003" w:rsidRDefault="003761E8" w:rsidP="00ED75D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1E8" w:rsidRPr="00C94003" w:rsidRDefault="003761E8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sz w:val="24"/>
          <w:szCs w:val="24"/>
          <w:highlight w:val="lightGray"/>
        </w:rPr>
        <w:t>Uznávanie a výkon rozhodnutí o peňažnej sankcii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3761E8" w:rsidRPr="00C94003" w:rsidRDefault="00E468E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r</w:t>
      </w:r>
      <w:r w:rsidR="003761E8" w:rsidRPr="00C94003">
        <w:rPr>
          <w:rFonts w:ascii="Times New Roman" w:hAnsi="Times New Roman"/>
          <w:b/>
          <w:bCs/>
          <w:sz w:val="24"/>
          <w:szCs w:val="24"/>
        </w:rPr>
        <w:t>ámcové rozhodnutie Rady 2005/214/SVV</w:t>
      </w:r>
      <w:r w:rsidR="003761E8" w:rsidRPr="00C94003">
        <w:rPr>
          <w:rFonts w:ascii="Times New Roman" w:hAnsi="Times New Roman"/>
          <w:bCs/>
          <w:sz w:val="24"/>
          <w:szCs w:val="24"/>
        </w:rPr>
        <w:t xml:space="preserve"> z 24. februára 2005 o uplatňovaní zásady vzájomného uznávania na peňažné sankcie</w:t>
      </w:r>
    </w:p>
    <w:p w:rsidR="003761E8" w:rsidRPr="00C94003" w:rsidRDefault="00E468E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r</w:t>
      </w:r>
      <w:r w:rsidR="003761E8" w:rsidRPr="00C94003">
        <w:rPr>
          <w:rFonts w:ascii="Times New Roman" w:hAnsi="Times New Roman"/>
          <w:b/>
          <w:bCs/>
          <w:sz w:val="24"/>
          <w:szCs w:val="24"/>
        </w:rPr>
        <w:t>ámcové rozhodnutie</w:t>
      </w:r>
      <w:r w:rsidR="003761E8" w:rsidRPr="00C94003">
        <w:rPr>
          <w:rFonts w:ascii="Times New Roman" w:hAnsi="Times New Roman"/>
          <w:bCs/>
          <w:sz w:val="24"/>
          <w:szCs w:val="24"/>
        </w:rPr>
        <w:t xml:space="preserve"> </w:t>
      </w:r>
      <w:r w:rsidR="003761E8" w:rsidRPr="00C94003">
        <w:rPr>
          <w:rFonts w:ascii="Times New Roman" w:hAnsi="Times New Roman"/>
          <w:b/>
          <w:bCs/>
          <w:sz w:val="24"/>
          <w:szCs w:val="24"/>
        </w:rPr>
        <w:t>Rady 2009/299/SVV</w:t>
      </w:r>
      <w:r w:rsidR="003761E8" w:rsidRPr="00C94003">
        <w:rPr>
          <w:rFonts w:ascii="Times New Roman" w:hAnsi="Times New Roman"/>
          <w:bCs/>
          <w:sz w:val="24"/>
          <w:szCs w:val="24"/>
        </w:rPr>
        <w:t xml:space="preserve"> z  26. februára 2009 o zmene a doplnení rámcových rozhodnutí 2002/584/SVV, 2005/214/SVV, 2006/783/SVV, 2008/909/SVV a 2008/947/SVV a o posilnení procesných práv osôb, podpore uplatňovania zásady vzájomného uznávania, pokiaľ ide o rozhodnutia vydané v neprítomnosti dotknutej osoby na konaní</w:t>
      </w:r>
    </w:p>
    <w:p w:rsidR="003761E8" w:rsidRPr="00C94003" w:rsidRDefault="005F7D2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z</w:t>
      </w:r>
      <w:r w:rsidR="003761E8" w:rsidRPr="00C94003">
        <w:rPr>
          <w:rFonts w:ascii="Times New Roman" w:hAnsi="Times New Roman"/>
          <w:b/>
          <w:bCs/>
          <w:sz w:val="24"/>
          <w:szCs w:val="24"/>
        </w:rPr>
        <w:t>ákon č. 183/2011 Z. z.</w:t>
      </w:r>
      <w:r w:rsidR="003761E8" w:rsidRPr="00C94003">
        <w:rPr>
          <w:rFonts w:ascii="Times New Roman" w:hAnsi="Times New Roman"/>
          <w:bCs/>
          <w:sz w:val="24"/>
          <w:szCs w:val="24"/>
        </w:rPr>
        <w:t xml:space="preserve"> o uznávaní a výkone rozhodnutí o peňažnej sankcii v Európskej únii a o zmene a doplnení niektorých zákonov</w:t>
      </w:r>
    </w:p>
    <w:p w:rsidR="003761E8" w:rsidRPr="00C94003" w:rsidRDefault="003761E8" w:rsidP="00ED75D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B61" w:rsidRPr="00C94003" w:rsidRDefault="00633B61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633B61" w:rsidRPr="00C94003" w:rsidRDefault="00633B61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633B61" w:rsidRPr="00C94003" w:rsidRDefault="00633B61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633B61" w:rsidRPr="00C94003" w:rsidRDefault="00633B61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3761E8" w:rsidRPr="00C94003" w:rsidRDefault="003761E8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sz w:val="24"/>
          <w:szCs w:val="24"/>
          <w:highlight w:val="lightGray"/>
        </w:rPr>
        <w:lastRenderedPageBreak/>
        <w:t>Uznanie a výkon rozhodnutí ukladajúcich náhradné opatrenia za väzbu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3761E8" w:rsidRPr="00C94003" w:rsidRDefault="00E468E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r</w:t>
      </w:r>
      <w:r w:rsidR="003761E8" w:rsidRPr="00C94003">
        <w:rPr>
          <w:rFonts w:ascii="Times New Roman" w:hAnsi="Times New Roman"/>
          <w:b/>
          <w:bCs/>
          <w:sz w:val="24"/>
          <w:szCs w:val="24"/>
        </w:rPr>
        <w:t>ámcové rozhodnutie Rady 2009/829/SVV</w:t>
      </w:r>
      <w:r w:rsidR="003761E8" w:rsidRPr="00C94003">
        <w:rPr>
          <w:rFonts w:ascii="Times New Roman" w:hAnsi="Times New Roman"/>
          <w:bCs/>
          <w:sz w:val="24"/>
          <w:szCs w:val="24"/>
        </w:rPr>
        <w:t xml:space="preserve"> z  23. októbra 2009 o uplatňovaní zásady vzájomného uznávania na rozhodnutia o opatreniach dohľadu ako alternatíve väzby medzi členskými štátmi Európskej únie</w:t>
      </w:r>
    </w:p>
    <w:p w:rsidR="003761E8" w:rsidRPr="00C94003" w:rsidRDefault="003761E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zákon č. 161/2013 Z. z.</w:t>
      </w:r>
      <w:r w:rsidRPr="00C94003">
        <w:rPr>
          <w:rFonts w:ascii="Times New Roman" w:hAnsi="Times New Roman"/>
          <w:bCs/>
          <w:sz w:val="24"/>
          <w:szCs w:val="24"/>
        </w:rPr>
        <w:t xml:space="preserve"> o odovzdávaní, uznávaní a výkone rozhodnutí o opatreniach dohľadu ako náhrade väzby v Európskej únii</w:t>
      </w:r>
    </w:p>
    <w:p w:rsidR="003761E8" w:rsidRPr="00C94003" w:rsidRDefault="003761E8" w:rsidP="00ED75DC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761E8" w:rsidRPr="00C94003" w:rsidRDefault="003761E8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sz w:val="24"/>
          <w:szCs w:val="24"/>
          <w:highlight w:val="lightGray"/>
        </w:rPr>
        <w:t>Zaistenie</w:t>
      </w:r>
      <w:r w:rsidRPr="00C94003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majetku alebo dôkazov v Európskej únii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3761E8" w:rsidRPr="00C94003" w:rsidRDefault="003761E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rámcové rozhodnutie Rady 2003/577/SVV</w:t>
      </w:r>
      <w:r w:rsidRPr="00C94003">
        <w:rPr>
          <w:rFonts w:ascii="Times New Roman" w:hAnsi="Times New Roman"/>
          <w:bCs/>
          <w:sz w:val="24"/>
          <w:szCs w:val="24"/>
        </w:rPr>
        <w:t xml:space="preserve"> z 22. júla 2003 o vykonaní príkazu na zaistenie majetku alebo dôkazov v Európskej únii</w:t>
      </w:r>
    </w:p>
    <w:p w:rsidR="00CE4728" w:rsidRPr="00C94003" w:rsidRDefault="003761E8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zákon č. 650/2005 Z. z</w:t>
      </w:r>
      <w:r w:rsidRPr="00C94003">
        <w:rPr>
          <w:rFonts w:ascii="Times New Roman" w:hAnsi="Times New Roman"/>
          <w:bCs/>
          <w:sz w:val="24"/>
          <w:szCs w:val="24"/>
        </w:rPr>
        <w:t>. o vykonaní príkazu na zaistenie majetku alebo dôkazov v Európskej únii a o zmene a doplnení zákona č. 300/2005 Z.</w:t>
      </w:r>
      <w:r w:rsidR="00F33FAA" w:rsidRPr="00C94003">
        <w:rPr>
          <w:rFonts w:ascii="Times New Roman" w:hAnsi="Times New Roman"/>
          <w:bCs/>
          <w:sz w:val="24"/>
          <w:szCs w:val="24"/>
        </w:rPr>
        <w:t xml:space="preserve"> </w:t>
      </w:r>
      <w:r w:rsidRPr="00C94003">
        <w:rPr>
          <w:rFonts w:ascii="Times New Roman" w:hAnsi="Times New Roman"/>
          <w:bCs/>
          <w:sz w:val="24"/>
          <w:szCs w:val="24"/>
        </w:rPr>
        <w:t>z. Trestný zákon, zákona č. 301/2005 Z. z. Trestný poriadok a zákona Slovenskej národnej rady č. 372/1990 Zb. o priestupkoch v znení neskorších predpisov</w:t>
      </w:r>
    </w:p>
    <w:p w:rsidR="00A60D51" w:rsidRPr="00C94003" w:rsidRDefault="00A60D51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 xml:space="preserve">nariadenie EP a Rady (EÚ) 2018/1805 </w:t>
      </w:r>
      <w:r w:rsidRPr="00C94003">
        <w:rPr>
          <w:rFonts w:ascii="Times New Roman" w:hAnsi="Times New Roman"/>
          <w:bCs/>
          <w:sz w:val="24"/>
          <w:szCs w:val="24"/>
        </w:rPr>
        <w:t>zo 14. novembra 2018 o vzájomnom uznávaní príkazov na zaistenie a príkazov na konfiškáciu (uplatňuje sa od 19. decembra 2020)</w:t>
      </w:r>
    </w:p>
    <w:p w:rsidR="003761E8" w:rsidRPr="00C94003" w:rsidRDefault="003761E8" w:rsidP="00ED75D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3761E8" w:rsidRPr="00C94003" w:rsidRDefault="003761E8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Európsky </w:t>
      </w:r>
      <w:r w:rsidRPr="00C94003">
        <w:rPr>
          <w:rFonts w:ascii="Times New Roman" w:hAnsi="Times New Roman"/>
          <w:b/>
          <w:sz w:val="24"/>
          <w:szCs w:val="24"/>
          <w:highlight w:val="lightGray"/>
        </w:rPr>
        <w:t>vyšetrovací</w:t>
      </w:r>
      <w:r w:rsidRPr="00C94003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príkaz 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3761E8" w:rsidRPr="00C94003" w:rsidRDefault="00E468E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s</w:t>
      </w:r>
      <w:r w:rsidR="00D94A31" w:rsidRPr="00C94003">
        <w:rPr>
          <w:rFonts w:ascii="Times New Roman" w:hAnsi="Times New Roman"/>
          <w:b/>
          <w:bCs/>
          <w:sz w:val="24"/>
          <w:szCs w:val="24"/>
        </w:rPr>
        <w:t>mernica Európskeho parlamentu a Rady 2014/41/EÚ</w:t>
      </w:r>
      <w:r w:rsidR="00D94A31" w:rsidRPr="00C94003">
        <w:rPr>
          <w:rFonts w:ascii="Times New Roman" w:hAnsi="Times New Roman"/>
          <w:bCs/>
          <w:sz w:val="24"/>
          <w:szCs w:val="24"/>
        </w:rPr>
        <w:t xml:space="preserve"> z 3. apríla 2014 o európskom vyšetrovacom príkaze v trestných veciach</w:t>
      </w:r>
    </w:p>
    <w:p w:rsidR="00D94A31" w:rsidRPr="00C94003" w:rsidRDefault="00D94A31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 xml:space="preserve">zákon č. 236/2017 Z.z. </w:t>
      </w:r>
      <w:r w:rsidRPr="00C94003">
        <w:rPr>
          <w:rFonts w:ascii="Times New Roman" w:hAnsi="Times New Roman"/>
          <w:bCs/>
          <w:sz w:val="24"/>
          <w:szCs w:val="24"/>
        </w:rPr>
        <w:t>o európskom vyšetrovacom príkaze v trestných veciach a o zmene a doplnení niektorých zákonov</w:t>
      </w:r>
    </w:p>
    <w:p w:rsidR="003761E8" w:rsidRPr="00C94003" w:rsidRDefault="003761E8" w:rsidP="00ED75D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3761E8" w:rsidRPr="00C94003" w:rsidRDefault="003761E8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sz w:val="24"/>
          <w:szCs w:val="24"/>
          <w:highlight w:val="lightGray"/>
        </w:rPr>
        <w:t>Konfiškácie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3761E8" w:rsidRPr="00C94003" w:rsidRDefault="00E468E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r</w:t>
      </w:r>
      <w:r w:rsidR="003761E8" w:rsidRPr="00C94003">
        <w:rPr>
          <w:rFonts w:ascii="Times New Roman" w:hAnsi="Times New Roman"/>
          <w:b/>
          <w:bCs/>
          <w:sz w:val="24"/>
          <w:szCs w:val="24"/>
        </w:rPr>
        <w:t>ámcové rozhodnutie Rady 2006/783/SVV</w:t>
      </w:r>
      <w:r w:rsidR="003761E8" w:rsidRPr="00C94003">
        <w:rPr>
          <w:rFonts w:ascii="Times New Roman" w:hAnsi="Times New Roman"/>
          <w:bCs/>
          <w:sz w:val="24"/>
          <w:szCs w:val="24"/>
        </w:rPr>
        <w:t xml:space="preserve"> zo 6. októbra 2006 o uplatňovaní zásady vzájomného uznávania na príkazy na konfiškáciu</w:t>
      </w:r>
    </w:p>
    <w:p w:rsidR="003761E8" w:rsidRPr="00C94003" w:rsidRDefault="003761E8" w:rsidP="00633B6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 xml:space="preserve">zákon č. 316/2016 Z. z. </w:t>
      </w:r>
      <w:r w:rsidRPr="00C94003">
        <w:rPr>
          <w:rFonts w:ascii="Times New Roman" w:hAnsi="Times New Roman"/>
          <w:bCs/>
          <w:sz w:val="24"/>
          <w:szCs w:val="24"/>
        </w:rPr>
        <w:t xml:space="preserve"> o uznávaní a výkone majetkového rozhodnutia vydaného v trestnom konaní v Európskej únie a o zmene a doplnení niektorých zákonov</w:t>
      </w:r>
    </w:p>
    <w:p w:rsidR="003761E8" w:rsidRPr="00C94003" w:rsidRDefault="003761E8" w:rsidP="00ED75D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D94A31" w:rsidRPr="00C94003" w:rsidRDefault="00D94A31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bCs/>
          <w:sz w:val="24"/>
          <w:szCs w:val="24"/>
          <w:highlight w:val="lightGray"/>
        </w:rPr>
        <w:t>Európska prokuratúra</w:t>
      </w:r>
    </w:p>
    <w:p w:rsidR="00CE4728" w:rsidRPr="00C94003" w:rsidRDefault="00CE4728" w:rsidP="007616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D94A31" w:rsidRPr="00C94003" w:rsidRDefault="00D94A31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nariadenie Rady (EÚ) 2017/1939</w:t>
      </w:r>
      <w:r w:rsidRPr="00C94003">
        <w:rPr>
          <w:rFonts w:ascii="Times New Roman" w:hAnsi="Times New Roman"/>
          <w:bCs/>
          <w:sz w:val="24"/>
          <w:szCs w:val="24"/>
        </w:rPr>
        <w:t xml:space="preserve"> z 12. o</w:t>
      </w:r>
      <w:r w:rsidR="00F33FAA" w:rsidRPr="00C94003">
        <w:rPr>
          <w:rFonts w:ascii="Times New Roman" w:hAnsi="Times New Roman"/>
          <w:bCs/>
          <w:sz w:val="24"/>
          <w:szCs w:val="24"/>
        </w:rPr>
        <w:t>k</w:t>
      </w:r>
      <w:r w:rsidRPr="00C94003">
        <w:rPr>
          <w:rFonts w:ascii="Times New Roman" w:hAnsi="Times New Roman"/>
          <w:bCs/>
          <w:sz w:val="24"/>
          <w:szCs w:val="24"/>
        </w:rPr>
        <w:t xml:space="preserve">tóbra 2017, </w:t>
      </w:r>
      <w:r w:rsidRPr="00C94003">
        <w:rPr>
          <w:rFonts w:ascii="Times New Roman" w:hAnsi="Times New Roman"/>
          <w:bCs/>
          <w:color w:val="000000"/>
          <w:sz w:val="24"/>
          <w:szCs w:val="24"/>
        </w:rPr>
        <w:t>ktorým sa vykonáva posilnená spolupráca na účely zriadenia Európskej prokuratúry</w:t>
      </w:r>
      <w:r w:rsidR="00A60D51" w:rsidRPr="00C94003">
        <w:rPr>
          <w:rFonts w:ascii="Times New Roman" w:hAnsi="Times New Roman"/>
          <w:bCs/>
          <w:color w:val="000000"/>
          <w:sz w:val="24"/>
          <w:szCs w:val="24"/>
        </w:rPr>
        <w:t xml:space="preserve"> (uplatňuje sa najskôr od decembra 2020)</w:t>
      </w:r>
    </w:p>
    <w:p w:rsidR="005F7D28" w:rsidRPr="00C94003" w:rsidRDefault="006F3983" w:rsidP="00CE472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b/>
          <w:bCs/>
          <w:sz w:val="24"/>
          <w:szCs w:val="24"/>
        </w:rPr>
        <w:t>zákon</w:t>
      </w:r>
      <w:r w:rsidR="00D94A31" w:rsidRPr="00C94003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C94003">
        <w:rPr>
          <w:rFonts w:ascii="Times New Roman" w:hAnsi="Times New Roman"/>
          <w:b/>
          <w:sz w:val="24"/>
          <w:szCs w:val="24"/>
        </w:rPr>
        <w:t>č.</w:t>
      </w:r>
      <w:r w:rsidR="00D94A31" w:rsidRPr="00C94003">
        <w:rPr>
          <w:rFonts w:ascii="Times New Roman" w:hAnsi="Times New Roman"/>
          <w:b/>
          <w:sz w:val="24"/>
          <w:szCs w:val="24"/>
        </w:rPr>
        <w:t xml:space="preserve"> </w:t>
      </w:r>
      <w:r w:rsidR="00A60D51" w:rsidRPr="00C94003">
        <w:rPr>
          <w:rFonts w:ascii="Times New Roman" w:hAnsi="Times New Roman"/>
          <w:b/>
          <w:sz w:val="24"/>
          <w:szCs w:val="24"/>
        </w:rPr>
        <w:t>286</w:t>
      </w:r>
      <w:r w:rsidR="00D94A31" w:rsidRPr="00C94003">
        <w:rPr>
          <w:rFonts w:ascii="Times New Roman" w:hAnsi="Times New Roman"/>
          <w:b/>
          <w:sz w:val="24"/>
          <w:szCs w:val="24"/>
        </w:rPr>
        <w:t xml:space="preserve"> </w:t>
      </w:r>
      <w:r w:rsidRPr="00C94003">
        <w:rPr>
          <w:rFonts w:ascii="Times New Roman" w:hAnsi="Times New Roman"/>
          <w:b/>
          <w:sz w:val="24"/>
          <w:szCs w:val="24"/>
        </w:rPr>
        <w:t>/</w:t>
      </w:r>
      <w:r w:rsidR="00D94A31" w:rsidRPr="00C94003">
        <w:rPr>
          <w:rFonts w:ascii="Times New Roman" w:hAnsi="Times New Roman"/>
          <w:b/>
          <w:sz w:val="24"/>
          <w:szCs w:val="24"/>
        </w:rPr>
        <w:t>2018</w:t>
      </w:r>
      <w:r w:rsidRPr="00C94003">
        <w:rPr>
          <w:rFonts w:ascii="Times New Roman" w:hAnsi="Times New Roman"/>
          <w:b/>
          <w:sz w:val="24"/>
          <w:szCs w:val="24"/>
        </w:rPr>
        <w:t xml:space="preserve"> Z.z.</w:t>
      </w:r>
      <w:r w:rsidR="00D94A31" w:rsidRPr="00C940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D94A31" w:rsidRPr="00C94003">
        <w:rPr>
          <w:rFonts w:ascii="Times New Roman" w:hAnsi="Times New Roman"/>
          <w:sz w:val="24"/>
          <w:szCs w:val="24"/>
          <w:highlight w:val="white"/>
        </w:rPr>
        <w:t xml:space="preserve">o výbere kandidátov na funkciu  </w:t>
      </w:r>
      <w:r w:rsidR="00D94A31" w:rsidRPr="00C94003">
        <w:rPr>
          <w:rFonts w:ascii="Times New Roman" w:hAnsi="Times New Roman"/>
          <w:sz w:val="24"/>
          <w:szCs w:val="24"/>
        </w:rPr>
        <w:t>európskeho prokurátora a európskeho delegovaného prokurátora v Európskej prokuratúre</w:t>
      </w:r>
      <w:r w:rsidRPr="00C94003">
        <w:rPr>
          <w:rFonts w:ascii="Times New Roman" w:hAnsi="Times New Roman"/>
          <w:sz w:val="24"/>
          <w:szCs w:val="24"/>
        </w:rPr>
        <w:t xml:space="preserve"> </w:t>
      </w:r>
    </w:p>
    <w:p w:rsidR="00633B61" w:rsidRPr="00C94003" w:rsidRDefault="00633B61" w:rsidP="00633B6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C94003">
          <w:rPr>
            <w:rFonts w:ascii="Times New Roman" w:hAnsi="Times New Roman"/>
            <w:b/>
            <w:sz w:val="24"/>
            <w:szCs w:val="24"/>
          </w:rPr>
          <w:t>vykonávacie rozhodnutie Rady (EÚ) 2018/1696</w:t>
        </w:r>
        <w:r w:rsidRPr="00C94003">
          <w:rPr>
            <w:rFonts w:ascii="Times New Roman" w:hAnsi="Times New Roman"/>
            <w:sz w:val="24"/>
            <w:szCs w:val="24"/>
          </w:rPr>
          <w:t xml:space="preserve"> z 13. júla 2018 o pravidlách fungovania výberovej komisie podľa článku 14 ods. 3 nariadenia (EÚ) 2017/1939, ktorým sa vykonáva posilnená spolupráca na účely zriadenia Európskej prokuratúry</w:t>
        </w:r>
      </w:hyperlink>
    </w:p>
    <w:bookmarkStart w:id="1" w:name="https://eur-lex.europa.eu/legal-content/"/>
    <w:p w:rsidR="00633B61" w:rsidRPr="00C94003" w:rsidRDefault="00633B61" w:rsidP="00633B6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03">
        <w:rPr>
          <w:rFonts w:ascii="Times New Roman" w:hAnsi="Times New Roman"/>
          <w:sz w:val="24"/>
          <w:szCs w:val="24"/>
        </w:rPr>
        <w:fldChar w:fldCharType="begin"/>
      </w:r>
      <w:r w:rsidRPr="00C94003">
        <w:rPr>
          <w:rFonts w:ascii="Times New Roman" w:hAnsi="Times New Roman"/>
          <w:sz w:val="24"/>
          <w:szCs w:val="24"/>
        </w:rPr>
        <w:instrText xml:space="preserve"> HYPERLINK "https://eur-lex.europa.eu/legal-content/AUTO/?uri=CELEX:32019D0598&amp;qid=1559207143982&amp;rid=3" </w:instrText>
      </w:r>
      <w:r w:rsidRPr="00C94003">
        <w:rPr>
          <w:rFonts w:ascii="Times New Roman" w:hAnsi="Times New Roman"/>
          <w:sz w:val="24"/>
          <w:szCs w:val="24"/>
        </w:rPr>
        <w:fldChar w:fldCharType="separate"/>
      </w:r>
      <w:r w:rsidRPr="00C94003">
        <w:rPr>
          <w:rFonts w:ascii="Times New Roman" w:hAnsi="Times New Roman"/>
          <w:b/>
          <w:sz w:val="24"/>
          <w:szCs w:val="24"/>
        </w:rPr>
        <w:t xml:space="preserve">vykonávacie rozhodnutie Rady (EÚ) 2019/598 </w:t>
      </w:r>
      <w:r w:rsidRPr="00C94003">
        <w:rPr>
          <w:rFonts w:ascii="Times New Roman" w:hAnsi="Times New Roman"/>
          <w:sz w:val="24"/>
          <w:szCs w:val="24"/>
        </w:rPr>
        <w:t>z 9. apríla 2019 o prechodných pravidlách vymenovania európskych prokurátorov na ich prvé funkčné obdobie a počas tohto obdobia, ako sa stanovuje v článku 16 ods. 4 nariadenia (EÚ) 2017/1939</w:t>
      </w:r>
      <w:r w:rsidRPr="00C94003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5F7D28" w:rsidRPr="00C94003" w:rsidRDefault="005F7D28" w:rsidP="00633B61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D28" w:rsidRPr="00C94003" w:rsidRDefault="005F7D28" w:rsidP="00ED75DC">
      <w:pPr>
        <w:pStyle w:val="Normlny1"/>
        <w:spacing w:line="240" w:lineRule="auto"/>
        <w:ind w:left="615"/>
        <w:contextualSpacing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:rsidR="005F7D28" w:rsidRPr="00C94003" w:rsidRDefault="006B2EBC" w:rsidP="00611DD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C94003">
        <w:rPr>
          <w:rFonts w:ascii="Times New Roman" w:hAnsi="Times New Roman"/>
          <w:b/>
          <w:bCs/>
          <w:sz w:val="24"/>
          <w:szCs w:val="24"/>
          <w:highlight w:val="lightGray"/>
        </w:rPr>
        <w:lastRenderedPageBreak/>
        <w:t>Najvýznamnejšie v</w:t>
      </w:r>
      <w:r w:rsidR="005F7D28" w:rsidRPr="00C94003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iacstranné medzinárodné nástroje v oblasti justičnej spolupráce v trestných veciach </w:t>
      </w:r>
    </w:p>
    <w:p w:rsidR="005F7D28" w:rsidRPr="00C94003" w:rsidRDefault="005F7D28" w:rsidP="00B751DF">
      <w:pPr>
        <w:pStyle w:val="Normlny1"/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:rsidR="00633B61" w:rsidRPr="00C94003" w:rsidRDefault="00633B61" w:rsidP="00633B61">
      <w:pPr>
        <w:pStyle w:val="Normlny1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C94003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Dohovor o vzájomnej pomoci v trestných veciach medzi členskými štátmi EÚ</w:t>
      </w:r>
      <w:r w:rsidRPr="00C94003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, vypracovaný Radou v súlade s článkom 34 Zmluvy o EÚ (Brusel; 29.5.2000, ozn.č. 572/2006 Z.z.) </w:t>
      </w:r>
    </w:p>
    <w:p w:rsidR="00633B61" w:rsidRPr="00C94003" w:rsidRDefault="00633B61" w:rsidP="00633B61">
      <w:pPr>
        <w:pStyle w:val="Normlny1"/>
        <w:numPr>
          <w:ilvl w:val="1"/>
          <w:numId w:val="17"/>
        </w:numPr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C94003">
        <w:rPr>
          <w:rFonts w:ascii="Times New Roman" w:hAnsi="Times New Roman" w:cs="Times New Roman"/>
          <w:color w:val="auto"/>
          <w:sz w:val="24"/>
          <w:szCs w:val="24"/>
          <w:lang w:val="sk-SK"/>
        </w:rPr>
        <w:t>Protokol k Dohovoru o vzájomnej pomoci v trestných veciach medzi členskými štátmi Európskej únie, vypracovanému Radou v súlade s </w:t>
      </w:r>
      <w:hyperlink r:id="rId9" w:anchor="prilohy.priloha-30.op-zmluva_o_europskej_unii.text" w:tooltip="Odkaz na predpis alebo ustanovenie" w:history="1">
        <w:r w:rsidRPr="00C94003">
          <w:rPr>
            <w:rFonts w:ascii="Times New Roman" w:hAnsi="Times New Roman" w:cs="Times New Roman"/>
            <w:color w:val="auto"/>
            <w:sz w:val="24"/>
            <w:szCs w:val="24"/>
            <w:lang w:val="sk-SK"/>
          </w:rPr>
          <w:t>článkom 34 Zmluvy o Európskej únii</w:t>
        </w:r>
      </w:hyperlink>
      <w:r w:rsidRPr="00C94003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(Luxemburg, 16. októbra 2001, ozn.č. 572/2006 Z.z.)</w:t>
      </w:r>
    </w:p>
    <w:p w:rsidR="000D5C42" w:rsidRPr="00C94003" w:rsidRDefault="000D5C42" w:rsidP="00B751DF">
      <w:pPr>
        <w:pStyle w:val="Normlny1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sk-SK"/>
        </w:rPr>
      </w:pPr>
      <w:r w:rsidRPr="00C94003">
        <w:rPr>
          <w:rFonts w:ascii="Times New Roman" w:hAnsi="Times New Roman" w:cs="Times New Roman"/>
          <w:b/>
          <w:sz w:val="24"/>
          <w:szCs w:val="24"/>
          <w:lang w:val="sk-SK"/>
        </w:rPr>
        <w:t>Európsky dohovor o vydávaní</w:t>
      </w:r>
      <w:r w:rsidRPr="00C94003">
        <w:rPr>
          <w:rFonts w:ascii="Times New Roman" w:hAnsi="Times New Roman" w:cs="Times New Roman"/>
          <w:sz w:val="24"/>
          <w:szCs w:val="24"/>
          <w:lang w:val="sk-SK"/>
        </w:rPr>
        <w:t xml:space="preserve"> (Paríž 13. decembra 1957, ozn.č.     549/1992 Zb. v znení ozn.č. 312/2000 Z.z.)</w:t>
      </w:r>
    </w:p>
    <w:p w:rsidR="000D5C42" w:rsidRPr="00C94003" w:rsidRDefault="000D5C42" w:rsidP="00633B61">
      <w:pPr>
        <w:pStyle w:val="Normlny1"/>
        <w:numPr>
          <w:ilvl w:val="1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sk-SK"/>
        </w:rPr>
      </w:pPr>
      <w:r w:rsidRPr="00C94003">
        <w:rPr>
          <w:rFonts w:ascii="Times New Roman" w:hAnsi="Times New Roman" w:cs="Times New Roman"/>
          <w:sz w:val="24"/>
          <w:szCs w:val="24"/>
          <w:lang w:val="sk-SK"/>
        </w:rPr>
        <w:t>Dodatkový protokol k Európskemu dohovoru o vydávaní z 13. 12. 1957 (Štrasburg 15. októbra 1975, ozn.č. 10/1997 Z.z.)</w:t>
      </w:r>
    </w:p>
    <w:p w:rsidR="000D5C42" w:rsidRPr="00C94003" w:rsidRDefault="000D5C42" w:rsidP="00633B61">
      <w:pPr>
        <w:pStyle w:val="Normlny1"/>
        <w:numPr>
          <w:ilvl w:val="1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sk-SK"/>
        </w:rPr>
      </w:pPr>
      <w:r w:rsidRPr="00C94003">
        <w:rPr>
          <w:rFonts w:ascii="Times New Roman" w:hAnsi="Times New Roman" w:cs="Times New Roman"/>
          <w:sz w:val="24"/>
          <w:szCs w:val="24"/>
          <w:lang w:val="sk-SK"/>
        </w:rPr>
        <w:t>Druhý Dodatkový protokol k Európskemu dohovoru o vydávaní z 13. 12. 1957 (Štrasburg 17. marca 1978, ozn.č. 11/1997 Z.z.)</w:t>
      </w:r>
    </w:p>
    <w:p w:rsidR="000D5C42" w:rsidRPr="00C94003" w:rsidRDefault="000D5C42" w:rsidP="00B751DF">
      <w:pPr>
        <w:pStyle w:val="Normlny1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sk-SK"/>
        </w:rPr>
      </w:pPr>
      <w:r w:rsidRPr="00C94003">
        <w:rPr>
          <w:rFonts w:ascii="Times New Roman" w:hAnsi="Times New Roman" w:cs="Times New Roman"/>
          <w:b/>
          <w:sz w:val="24"/>
          <w:szCs w:val="24"/>
          <w:lang w:val="sk-SK"/>
        </w:rPr>
        <w:t>Európsky  dohovor  o  vzájomnej  pomoci  v  trestných veciach</w:t>
      </w:r>
      <w:r w:rsidRPr="00C94003">
        <w:rPr>
          <w:rFonts w:ascii="Times New Roman" w:hAnsi="Times New Roman" w:cs="Times New Roman"/>
          <w:sz w:val="24"/>
          <w:szCs w:val="24"/>
          <w:lang w:val="sk-SK"/>
        </w:rPr>
        <w:t xml:space="preserve">  (Štrasburg 20. apríla 1959, ozn.č. 550/1992 Zb. v znení ozn.č. 313/2000 Z.z.)</w:t>
      </w:r>
    </w:p>
    <w:p w:rsidR="000D5C42" w:rsidRPr="00C94003" w:rsidRDefault="000D5C42" w:rsidP="00633B61">
      <w:pPr>
        <w:numPr>
          <w:ilvl w:val="1"/>
          <w:numId w:val="17"/>
        </w:numPr>
        <w:jc w:val="both"/>
      </w:pPr>
      <w:r w:rsidRPr="00C94003">
        <w:t>Dodatkový protokol k Európskemu dohovoru o vzájomnej pomoci v trestných veciach z 20. 4. 1959 (Štrasburg 17. marca 1978, ozn.č. 12/1997 Z.z.);</w:t>
      </w:r>
    </w:p>
    <w:p w:rsidR="000D5C42" w:rsidRPr="00C94003" w:rsidRDefault="000D5C42" w:rsidP="00633B61">
      <w:pPr>
        <w:numPr>
          <w:ilvl w:val="1"/>
          <w:numId w:val="17"/>
        </w:numPr>
        <w:jc w:val="both"/>
      </w:pPr>
      <w:r w:rsidRPr="00C94003">
        <w:t>Druhý dodatkový protokol k Európskemu dohovoru k o vzájomnej pomoci v trestných veciach z 20. 4. 1959 (Štrasburg, 8. novembra 2001, ozn.č. 165/2005 Z.</w:t>
      </w:r>
      <w:r w:rsidR="00C00419" w:rsidRPr="00C94003">
        <w:t xml:space="preserve"> </w:t>
      </w:r>
      <w:r w:rsidRPr="00C94003">
        <w:t>z.); Dohovor  o odovzdávaní odsúdených osôb ( Štrasburg  21. marca 1983, ozn.č. 553/1992 Zb. v znení ozn.č. 113/1996 Z.z.)</w:t>
      </w:r>
    </w:p>
    <w:p w:rsidR="005F7D28" w:rsidRPr="00C94003" w:rsidRDefault="000D5C42" w:rsidP="00B751DF">
      <w:pPr>
        <w:pStyle w:val="Normlny1"/>
        <w:numPr>
          <w:ilvl w:val="0"/>
          <w:numId w:val="18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spacing w:val="30"/>
          <w:sz w:val="24"/>
          <w:szCs w:val="24"/>
          <w:lang w:val="sk-SK"/>
        </w:rPr>
      </w:pPr>
      <w:r w:rsidRPr="00C94003">
        <w:rPr>
          <w:rFonts w:ascii="Times New Roman" w:hAnsi="Times New Roman" w:cs="Times New Roman"/>
          <w:b/>
          <w:sz w:val="24"/>
          <w:szCs w:val="24"/>
          <w:lang w:val="sk-SK"/>
        </w:rPr>
        <w:t>Dohovor OSN proti nadnárodnému organizovanému zločinu</w:t>
      </w:r>
      <w:r w:rsidRPr="00C94003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C94003">
        <w:rPr>
          <w:rFonts w:ascii="Times New Roman" w:hAnsi="Times New Roman" w:cs="Times New Roman"/>
          <w:sz w:val="24"/>
          <w:szCs w:val="24"/>
          <w:lang w:val="sk-SK"/>
        </w:rPr>
        <w:t>(New York 15. novembra 2000, ozn. č. 621/2003 Z.z.);</w:t>
      </w:r>
    </w:p>
    <w:p w:rsidR="0016076B" w:rsidRPr="00C94003" w:rsidRDefault="000D5C42" w:rsidP="00A60D51">
      <w:pPr>
        <w:pStyle w:val="Normlny1"/>
        <w:numPr>
          <w:ilvl w:val="0"/>
          <w:numId w:val="18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C94003">
        <w:rPr>
          <w:rFonts w:ascii="Times New Roman" w:hAnsi="Times New Roman" w:cs="Times New Roman"/>
          <w:b/>
          <w:sz w:val="24"/>
          <w:szCs w:val="24"/>
          <w:lang w:val="sk-SK"/>
        </w:rPr>
        <w:t>Dohovor</w:t>
      </w:r>
      <w:r w:rsidRPr="00C94003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 xml:space="preserve"> OSN proti korupcii</w:t>
      </w:r>
      <w:r w:rsidRPr="00C94003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(New York 31. októbra 2003, ozn.č. 434/2006 Z.z.)</w:t>
      </w:r>
    </w:p>
    <w:p w:rsidR="00633B61" w:rsidRPr="00C94003" w:rsidRDefault="00633B61" w:rsidP="00633B61">
      <w:pPr>
        <w:pStyle w:val="Normlny1"/>
        <w:numPr>
          <w:ilvl w:val="0"/>
          <w:numId w:val="18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C94003">
        <w:rPr>
          <w:rFonts w:ascii="Times New Roman" w:hAnsi="Times New Roman" w:cs="Times New Roman"/>
          <w:b/>
          <w:bCs/>
          <w:color w:val="auto"/>
          <w:sz w:val="24"/>
          <w:szCs w:val="24"/>
          <w:lang w:val="sk-SK"/>
        </w:rPr>
        <w:t>Dohovor o počítačovej kriminalite (</w:t>
      </w:r>
      <w:r w:rsidRPr="00C94003">
        <w:rPr>
          <w:rFonts w:ascii="Times New Roman" w:hAnsi="Times New Roman" w:cs="Times New Roman"/>
          <w:color w:val="auto"/>
          <w:sz w:val="24"/>
          <w:szCs w:val="24"/>
          <w:lang w:val="sk-SK"/>
        </w:rPr>
        <w:t>Budapešť 23.11.2001, </w:t>
      </w:r>
      <w:r w:rsidRPr="00C94003">
        <w:rPr>
          <w:rFonts w:ascii="Times New Roman" w:hAnsi="Times New Roman" w:cs="Times New Roman"/>
          <w:bCs/>
          <w:color w:val="auto"/>
          <w:sz w:val="24"/>
          <w:szCs w:val="24"/>
          <w:lang w:val="sk-SK"/>
        </w:rPr>
        <w:t>ozn. č. 137/2008 Z.z.)</w:t>
      </w:r>
    </w:p>
    <w:p w:rsidR="00F27E92" w:rsidRPr="00C94003" w:rsidRDefault="00F27E92" w:rsidP="006B2EBC">
      <w:pPr>
        <w:pStyle w:val="Normlny1"/>
        <w:numPr>
          <w:ilvl w:val="0"/>
          <w:numId w:val="18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auto"/>
          <w:sz w:val="32"/>
          <w:szCs w:val="24"/>
          <w:lang w:val="sk-SK"/>
        </w:rPr>
      </w:pPr>
      <w:r w:rsidRPr="00C94003">
        <w:rPr>
          <w:rFonts w:ascii="Times New Roman" w:hAnsi="Times New Roman" w:cs="Times New Roman"/>
          <w:b/>
          <w:color w:val="auto"/>
          <w:sz w:val="24"/>
          <w:lang w:val="sk-SK"/>
        </w:rPr>
        <w:t xml:space="preserve">Dohovor OSN o potláčaní financovania terorizmu </w:t>
      </w:r>
      <w:r w:rsidRPr="00C94003">
        <w:rPr>
          <w:rFonts w:ascii="Times New Roman" w:hAnsi="Times New Roman" w:cs="Times New Roman"/>
          <w:color w:val="auto"/>
          <w:sz w:val="24"/>
          <w:lang w:val="sk-SK"/>
        </w:rPr>
        <w:t>(New York 9. 12.1999, ozn.č. 593/2002 Z.z.)</w:t>
      </w:r>
    </w:p>
    <w:p w:rsidR="00F27E92" w:rsidRPr="00C94003" w:rsidRDefault="00F27E92" w:rsidP="006B2EBC">
      <w:pPr>
        <w:pStyle w:val="Normlny1"/>
        <w:numPr>
          <w:ilvl w:val="0"/>
          <w:numId w:val="18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auto"/>
          <w:sz w:val="40"/>
          <w:szCs w:val="24"/>
          <w:lang w:val="sk-SK"/>
        </w:rPr>
      </w:pPr>
      <w:r w:rsidRPr="00C94003">
        <w:rPr>
          <w:rFonts w:ascii="Times New Roman" w:hAnsi="Times New Roman" w:cs="Times New Roman"/>
          <w:b/>
          <w:color w:val="auto"/>
          <w:sz w:val="24"/>
          <w:lang w:val="sk-SK"/>
        </w:rPr>
        <w:t xml:space="preserve">Dohovor Rady Európy o praní špinavých peňazí, vyhľadávaní, zhabaní a konfiškácii ziskov z trestnej činnosti </w:t>
      </w:r>
      <w:r w:rsidRPr="00C94003">
        <w:rPr>
          <w:rFonts w:ascii="Times New Roman" w:hAnsi="Times New Roman" w:cs="Times New Roman"/>
          <w:color w:val="auto"/>
          <w:sz w:val="24"/>
          <w:lang w:val="sk-SK"/>
        </w:rPr>
        <w:t>(Štrasburg 8. novembra 1991, ozn.č. 109/2002 Z.z. v znení ozn.č. 76/2004 Z.z. a 549/2006 Z.z.)</w:t>
      </w:r>
    </w:p>
    <w:p w:rsidR="00F27E92" w:rsidRPr="00C94003" w:rsidRDefault="00F27E92" w:rsidP="006B2EBC">
      <w:pPr>
        <w:pStyle w:val="Normlny1"/>
        <w:numPr>
          <w:ilvl w:val="0"/>
          <w:numId w:val="18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auto"/>
          <w:sz w:val="48"/>
          <w:szCs w:val="24"/>
          <w:lang w:val="sk-SK"/>
        </w:rPr>
      </w:pPr>
      <w:r w:rsidRPr="00C94003">
        <w:rPr>
          <w:rFonts w:ascii="Times New Roman" w:hAnsi="Times New Roman" w:cs="Times New Roman"/>
          <w:b/>
          <w:color w:val="auto"/>
          <w:sz w:val="24"/>
          <w:lang w:val="sk-SK"/>
        </w:rPr>
        <w:t xml:space="preserve">Dohovor Rady Európy o praní špinavých peňazí, vyhľadávaní, zaistení a konfiškácii ziskov z trestnej činnosti a o financovaní terorizmu </w:t>
      </w:r>
      <w:r w:rsidRPr="00C94003">
        <w:rPr>
          <w:rFonts w:ascii="Times New Roman" w:hAnsi="Times New Roman" w:cs="Times New Roman"/>
          <w:color w:val="auto"/>
          <w:sz w:val="24"/>
          <w:lang w:val="sk-SK"/>
        </w:rPr>
        <w:t>(Varšava 16. mája 2005, ozn. č. 91/2009 Z.z.)</w:t>
      </w:r>
    </w:p>
    <w:sectPr w:rsidR="00F27E92" w:rsidRPr="00C94003" w:rsidSect="00611DD2">
      <w:footerReference w:type="defaul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53" w:rsidRDefault="00A04253" w:rsidP="00470BC9">
      <w:r>
        <w:separator/>
      </w:r>
    </w:p>
  </w:endnote>
  <w:endnote w:type="continuationSeparator" w:id="0">
    <w:p w:rsidR="00A04253" w:rsidRDefault="00A04253" w:rsidP="0047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C9" w:rsidRDefault="00470BC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51C5C">
      <w:rPr>
        <w:noProof/>
      </w:rPr>
      <w:t>1</w:t>
    </w:r>
    <w:r>
      <w:fldChar w:fldCharType="end"/>
    </w:r>
  </w:p>
  <w:p w:rsidR="00470BC9" w:rsidRDefault="00470B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53" w:rsidRDefault="00A04253" w:rsidP="00470BC9">
      <w:r>
        <w:separator/>
      </w:r>
    </w:p>
  </w:footnote>
  <w:footnote w:type="continuationSeparator" w:id="0">
    <w:p w:rsidR="00A04253" w:rsidRDefault="00A04253" w:rsidP="0047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BEA"/>
    <w:multiLevelType w:val="hybridMultilevel"/>
    <w:tmpl w:val="08EA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022C"/>
    <w:multiLevelType w:val="hybridMultilevel"/>
    <w:tmpl w:val="BF163724"/>
    <w:lvl w:ilvl="0" w:tplc="036C984A">
      <w:start w:val="5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34D0"/>
    <w:multiLevelType w:val="hybridMultilevel"/>
    <w:tmpl w:val="179ABF7C"/>
    <w:lvl w:ilvl="0" w:tplc="98185A2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2F9F"/>
    <w:multiLevelType w:val="hybridMultilevel"/>
    <w:tmpl w:val="F1B68554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34A1F"/>
    <w:multiLevelType w:val="hybridMultilevel"/>
    <w:tmpl w:val="936AB9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4E3909"/>
    <w:multiLevelType w:val="hybridMultilevel"/>
    <w:tmpl w:val="B338F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A7349"/>
    <w:multiLevelType w:val="hybridMultilevel"/>
    <w:tmpl w:val="EAA8C8B0"/>
    <w:lvl w:ilvl="0" w:tplc="93F22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34599"/>
    <w:multiLevelType w:val="hybridMultilevel"/>
    <w:tmpl w:val="CAB86EA4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96922"/>
    <w:multiLevelType w:val="hybridMultilevel"/>
    <w:tmpl w:val="CAB86EA4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4348F"/>
    <w:multiLevelType w:val="hybridMultilevel"/>
    <w:tmpl w:val="FD7E80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B02EBE"/>
    <w:multiLevelType w:val="hybridMultilevel"/>
    <w:tmpl w:val="3F2286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279B2"/>
    <w:multiLevelType w:val="hybridMultilevel"/>
    <w:tmpl w:val="2B141412"/>
    <w:lvl w:ilvl="0" w:tplc="9EE66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08C4"/>
    <w:multiLevelType w:val="hybridMultilevel"/>
    <w:tmpl w:val="CAD60DB6"/>
    <w:lvl w:ilvl="0" w:tplc="CC30E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64A0C"/>
    <w:multiLevelType w:val="hybridMultilevel"/>
    <w:tmpl w:val="4812645E"/>
    <w:lvl w:ilvl="0" w:tplc="7AA448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1331"/>
    <w:multiLevelType w:val="hybridMultilevel"/>
    <w:tmpl w:val="179ABF7C"/>
    <w:lvl w:ilvl="0" w:tplc="98185A2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60A73"/>
    <w:multiLevelType w:val="hybridMultilevel"/>
    <w:tmpl w:val="F69C7C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B1B12"/>
    <w:multiLevelType w:val="hybridMultilevel"/>
    <w:tmpl w:val="66568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B0290"/>
    <w:multiLevelType w:val="hybridMultilevel"/>
    <w:tmpl w:val="E79C1030"/>
    <w:lvl w:ilvl="0" w:tplc="B846F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D3F38"/>
    <w:multiLevelType w:val="hybridMultilevel"/>
    <w:tmpl w:val="0B16B648"/>
    <w:lvl w:ilvl="0" w:tplc="0742B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31098"/>
    <w:multiLevelType w:val="hybridMultilevel"/>
    <w:tmpl w:val="FB0A5C3E"/>
    <w:lvl w:ilvl="0" w:tplc="DEDC62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E74A4A"/>
    <w:multiLevelType w:val="hybridMultilevel"/>
    <w:tmpl w:val="61E03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44848"/>
    <w:multiLevelType w:val="multilevel"/>
    <w:tmpl w:val="915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71B2C"/>
    <w:multiLevelType w:val="hybridMultilevel"/>
    <w:tmpl w:val="22128C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41AAE"/>
    <w:multiLevelType w:val="hybridMultilevel"/>
    <w:tmpl w:val="81005BB6"/>
    <w:lvl w:ilvl="0" w:tplc="041B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B6932"/>
    <w:multiLevelType w:val="hybridMultilevel"/>
    <w:tmpl w:val="27FC680E"/>
    <w:lvl w:ilvl="0" w:tplc="85B04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E637E"/>
    <w:multiLevelType w:val="hybridMultilevel"/>
    <w:tmpl w:val="01FA0CF8"/>
    <w:lvl w:ilvl="0" w:tplc="DF6E2C82">
      <w:start w:val="1"/>
      <w:numFmt w:val="upperRoman"/>
      <w:lvlText w:val="%1."/>
      <w:lvlJc w:val="left"/>
      <w:pPr>
        <w:ind w:left="862" w:hanging="720"/>
      </w:pPr>
      <w:rPr>
        <w:rFonts w:hint="default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A4363"/>
    <w:multiLevelType w:val="hybridMultilevel"/>
    <w:tmpl w:val="06F2E8C2"/>
    <w:lvl w:ilvl="0" w:tplc="D962430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66D7566"/>
    <w:multiLevelType w:val="hybridMultilevel"/>
    <w:tmpl w:val="17A4471A"/>
    <w:lvl w:ilvl="0" w:tplc="E2DE1398">
      <w:start w:val="5"/>
      <w:numFmt w:val="decimal"/>
      <w:lvlText w:val="%1."/>
      <w:lvlJc w:val="left"/>
      <w:pPr>
        <w:ind w:left="90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0"/>
  </w:num>
  <w:num w:numId="5">
    <w:abstractNumId w:val="16"/>
  </w:num>
  <w:num w:numId="6">
    <w:abstractNumId w:val="9"/>
  </w:num>
  <w:num w:numId="7">
    <w:abstractNumId w:val="20"/>
  </w:num>
  <w:num w:numId="8">
    <w:abstractNumId w:val="19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17"/>
  </w:num>
  <w:num w:numId="14">
    <w:abstractNumId w:val="10"/>
  </w:num>
  <w:num w:numId="15">
    <w:abstractNumId w:val="1"/>
  </w:num>
  <w:num w:numId="16">
    <w:abstractNumId w:val="27"/>
  </w:num>
  <w:num w:numId="17">
    <w:abstractNumId w:val="15"/>
  </w:num>
  <w:num w:numId="18">
    <w:abstractNumId w:val="26"/>
  </w:num>
  <w:num w:numId="19">
    <w:abstractNumId w:val="22"/>
  </w:num>
  <w:num w:numId="20">
    <w:abstractNumId w:val="12"/>
  </w:num>
  <w:num w:numId="21">
    <w:abstractNumId w:val="21"/>
  </w:num>
  <w:num w:numId="22">
    <w:abstractNumId w:val="23"/>
  </w:num>
  <w:num w:numId="23">
    <w:abstractNumId w:val="24"/>
  </w:num>
  <w:num w:numId="24">
    <w:abstractNumId w:val="8"/>
  </w:num>
  <w:num w:numId="25">
    <w:abstractNumId w:val="14"/>
  </w:num>
  <w:num w:numId="26">
    <w:abstractNumId w:val="25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5"/>
    <w:rsid w:val="00005E7C"/>
    <w:rsid w:val="00015437"/>
    <w:rsid w:val="00015972"/>
    <w:rsid w:val="00015FDD"/>
    <w:rsid w:val="00017222"/>
    <w:rsid w:val="0002053B"/>
    <w:rsid w:val="000209FA"/>
    <w:rsid w:val="000219DE"/>
    <w:rsid w:val="00024837"/>
    <w:rsid w:val="00026DAA"/>
    <w:rsid w:val="00030B6D"/>
    <w:rsid w:val="00032D7D"/>
    <w:rsid w:val="000335A7"/>
    <w:rsid w:val="00033AB0"/>
    <w:rsid w:val="0003637B"/>
    <w:rsid w:val="00037725"/>
    <w:rsid w:val="0004071E"/>
    <w:rsid w:val="00043006"/>
    <w:rsid w:val="00044A88"/>
    <w:rsid w:val="0005184A"/>
    <w:rsid w:val="000521C2"/>
    <w:rsid w:val="000527E2"/>
    <w:rsid w:val="000558AB"/>
    <w:rsid w:val="00056123"/>
    <w:rsid w:val="0005625A"/>
    <w:rsid w:val="00066699"/>
    <w:rsid w:val="0007161E"/>
    <w:rsid w:val="000730DA"/>
    <w:rsid w:val="00077836"/>
    <w:rsid w:val="0008108C"/>
    <w:rsid w:val="00082D3A"/>
    <w:rsid w:val="000855BA"/>
    <w:rsid w:val="00086777"/>
    <w:rsid w:val="00086C3A"/>
    <w:rsid w:val="00092FA0"/>
    <w:rsid w:val="000A5291"/>
    <w:rsid w:val="000B181E"/>
    <w:rsid w:val="000B546C"/>
    <w:rsid w:val="000B649E"/>
    <w:rsid w:val="000B6B38"/>
    <w:rsid w:val="000B7E45"/>
    <w:rsid w:val="000C154B"/>
    <w:rsid w:val="000C5B9B"/>
    <w:rsid w:val="000C6E56"/>
    <w:rsid w:val="000C7034"/>
    <w:rsid w:val="000D1881"/>
    <w:rsid w:val="000D5C42"/>
    <w:rsid w:val="000D7FF4"/>
    <w:rsid w:val="000E2C27"/>
    <w:rsid w:val="000F30A1"/>
    <w:rsid w:val="00105908"/>
    <w:rsid w:val="001171AA"/>
    <w:rsid w:val="001239EC"/>
    <w:rsid w:val="00140728"/>
    <w:rsid w:val="0016076B"/>
    <w:rsid w:val="00166711"/>
    <w:rsid w:val="001732ED"/>
    <w:rsid w:val="00174EA4"/>
    <w:rsid w:val="001821BC"/>
    <w:rsid w:val="001900DF"/>
    <w:rsid w:val="001940FA"/>
    <w:rsid w:val="001A087D"/>
    <w:rsid w:val="001A4ABC"/>
    <w:rsid w:val="001A7D41"/>
    <w:rsid w:val="001B03E6"/>
    <w:rsid w:val="001C1F9A"/>
    <w:rsid w:val="001C3513"/>
    <w:rsid w:val="001C4C26"/>
    <w:rsid w:val="001D1A45"/>
    <w:rsid w:val="001E4A2B"/>
    <w:rsid w:val="001E4E87"/>
    <w:rsid w:val="00200240"/>
    <w:rsid w:val="002043AC"/>
    <w:rsid w:val="00210526"/>
    <w:rsid w:val="002107A3"/>
    <w:rsid w:val="00216F97"/>
    <w:rsid w:val="00217CCF"/>
    <w:rsid w:val="0022129D"/>
    <w:rsid w:val="002220B0"/>
    <w:rsid w:val="0023078F"/>
    <w:rsid w:val="00242750"/>
    <w:rsid w:val="0024477D"/>
    <w:rsid w:val="00251AC7"/>
    <w:rsid w:val="00256A03"/>
    <w:rsid w:val="0026409E"/>
    <w:rsid w:val="0026564C"/>
    <w:rsid w:val="002669C5"/>
    <w:rsid w:val="00287011"/>
    <w:rsid w:val="002918CE"/>
    <w:rsid w:val="002A174D"/>
    <w:rsid w:val="002A3E57"/>
    <w:rsid w:val="002C02FD"/>
    <w:rsid w:val="002C0BBC"/>
    <w:rsid w:val="002C1DF3"/>
    <w:rsid w:val="002C50F2"/>
    <w:rsid w:val="002E4DB7"/>
    <w:rsid w:val="002E6776"/>
    <w:rsid w:val="002F44A4"/>
    <w:rsid w:val="00305CD6"/>
    <w:rsid w:val="0031033B"/>
    <w:rsid w:val="0031774B"/>
    <w:rsid w:val="00326F7C"/>
    <w:rsid w:val="00327475"/>
    <w:rsid w:val="00342651"/>
    <w:rsid w:val="00346216"/>
    <w:rsid w:val="00351C5C"/>
    <w:rsid w:val="00352617"/>
    <w:rsid w:val="00355730"/>
    <w:rsid w:val="0035641F"/>
    <w:rsid w:val="00357CEE"/>
    <w:rsid w:val="00363128"/>
    <w:rsid w:val="00364F37"/>
    <w:rsid w:val="003761E8"/>
    <w:rsid w:val="003A3CD2"/>
    <w:rsid w:val="003B2C55"/>
    <w:rsid w:val="003B3C49"/>
    <w:rsid w:val="003B44A9"/>
    <w:rsid w:val="003D1512"/>
    <w:rsid w:val="003D5C56"/>
    <w:rsid w:val="003F1C89"/>
    <w:rsid w:val="0040629F"/>
    <w:rsid w:val="00406333"/>
    <w:rsid w:val="00411B02"/>
    <w:rsid w:val="00414E6D"/>
    <w:rsid w:val="004177A4"/>
    <w:rsid w:val="00425B49"/>
    <w:rsid w:val="004323B2"/>
    <w:rsid w:val="004330AD"/>
    <w:rsid w:val="004373B2"/>
    <w:rsid w:val="00443841"/>
    <w:rsid w:val="00444B18"/>
    <w:rsid w:val="00455CDD"/>
    <w:rsid w:val="004655F0"/>
    <w:rsid w:val="00470B3E"/>
    <w:rsid w:val="00470BC9"/>
    <w:rsid w:val="00470D30"/>
    <w:rsid w:val="0047564B"/>
    <w:rsid w:val="00475C01"/>
    <w:rsid w:val="0048232A"/>
    <w:rsid w:val="00493794"/>
    <w:rsid w:val="00496E04"/>
    <w:rsid w:val="004B123C"/>
    <w:rsid w:val="004B586A"/>
    <w:rsid w:val="004C79C1"/>
    <w:rsid w:val="004D0CC2"/>
    <w:rsid w:val="004D1A8C"/>
    <w:rsid w:val="004F18F6"/>
    <w:rsid w:val="004F765B"/>
    <w:rsid w:val="00505050"/>
    <w:rsid w:val="005051AA"/>
    <w:rsid w:val="005061AA"/>
    <w:rsid w:val="00512411"/>
    <w:rsid w:val="00520C5B"/>
    <w:rsid w:val="005210AC"/>
    <w:rsid w:val="005226D6"/>
    <w:rsid w:val="005328DB"/>
    <w:rsid w:val="005345EF"/>
    <w:rsid w:val="00542B31"/>
    <w:rsid w:val="00547C7B"/>
    <w:rsid w:val="005576DF"/>
    <w:rsid w:val="00570BE4"/>
    <w:rsid w:val="00575FA3"/>
    <w:rsid w:val="0058511E"/>
    <w:rsid w:val="005A102F"/>
    <w:rsid w:val="005B3518"/>
    <w:rsid w:val="005B4B72"/>
    <w:rsid w:val="005C0540"/>
    <w:rsid w:val="005C48A3"/>
    <w:rsid w:val="005C5D79"/>
    <w:rsid w:val="005C7E58"/>
    <w:rsid w:val="005D0007"/>
    <w:rsid w:val="005D3F78"/>
    <w:rsid w:val="005D7799"/>
    <w:rsid w:val="005E614D"/>
    <w:rsid w:val="005F276F"/>
    <w:rsid w:val="005F7D28"/>
    <w:rsid w:val="00602B97"/>
    <w:rsid w:val="00611DD2"/>
    <w:rsid w:val="00626E72"/>
    <w:rsid w:val="00633B61"/>
    <w:rsid w:val="0064466F"/>
    <w:rsid w:val="006749AD"/>
    <w:rsid w:val="0067776C"/>
    <w:rsid w:val="006817F5"/>
    <w:rsid w:val="00683143"/>
    <w:rsid w:val="00685052"/>
    <w:rsid w:val="006902E8"/>
    <w:rsid w:val="006929A5"/>
    <w:rsid w:val="006940B0"/>
    <w:rsid w:val="00697B4C"/>
    <w:rsid w:val="006B2EBC"/>
    <w:rsid w:val="006B4C5A"/>
    <w:rsid w:val="006C553B"/>
    <w:rsid w:val="006D0278"/>
    <w:rsid w:val="006E211A"/>
    <w:rsid w:val="006E6A53"/>
    <w:rsid w:val="006F3983"/>
    <w:rsid w:val="006F6786"/>
    <w:rsid w:val="007107D5"/>
    <w:rsid w:val="00711039"/>
    <w:rsid w:val="00721994"/>
    <w:rsid w:val="00732233"/>
    <w:rsid w:val="007454E2"/>
    <w:rsid w:val="00747C6B"/>
    <w:rsid w:val="0075250D"/>
    <w:rsid w:val="007605A1"/>
    <w:rsid w:val="00761629"/>
    <w:rsid w:val="00765E4B"/>
    <w:rsid w:val="00770214"/>
    <w:rsid w:val="00772FBB"/>
    <w:rsid w:val="00792937"/>
    <w:rsid w:val="00792967"/>
    <w:rsid w:val="00794AB6"/>
    <w:rsid w:val="00794CC4"/>
    <w:rsid w:val="00794D76"/>
    <w:rsid w:val="007A05EC"/>
    <w:rsid w:val="007A278E"/>
    <w:rsid w:val="007A585B"/>
    <w:rsid w:val="007B5C53"/>
    <w:rsid w:val="007B6860"/>
    <w:rsid w:val="007C14D1"/>
    <w:rsid w:val="007C58E0"/>
    <w:rsid w:val="007D5EDF"/>
    <w:rsid w:val="007E3C71"/>
    <w:rsid w:val="007E63BB"/>
    <w:rsid w:val="007F1BDC"/>
    <w:rsid w:val="007F7C84"/>
    <w:rsid w:val="00811404"/>
    <w:rsid w:val="008262ED"/>
    <w:rsid w:val="0082713C"/>
    <w:rsid w:val="008272DB"/>
    <w:rsid w:val="00834AC2"/>
    <w:rsid w:val="008428D2"/>
    <w:rsid w:val="0084423E"/>
    <w:rsid w:val="008576DA"/>
    <w:rsid w:val="0086220D"/>
    <w:rsid w:val="00864BC1"/>
    <w:rsid w:val="00866566"/>
    <w:rsid w:val="00871C1C"/>
    <w:rsid w:val="0088227C"/>
    <w:rsid w:val="008918D5"/>
    <w:rsid w:val="008A54E5"/>
    <w:rsid w:val="008A5F45"/>
    <w:rsid w:val="008A6E20"/>
    <w:rsid w:val="008B14FA"/>
    <w:rsid w:val="008C1631"/>
    <w:rsid w:val="008C524A"/>
    <w:rsid w:val="008D3112"/>
    <w:rsid w:val="008D5D89"/>
    <w:rsid w:val="008D615F"/>
    <w:rsid w:val="008E0589"/>
    <w:rsid w:val="008E2F9D"/>
    <w:rsid w:val="00904A42"/>
    <w:rsid w:val="00917ACE"/>
    <w:rsid w:val="00927B7C"/>
    <w:rsid w:val="00931343"/>
    <w:rsid w:val="00931E4E"/>
    <w:rsid w:val="00940F0F"/>
    <w:rsid w:val="0094416B"/>
    <w:rsid w:val="00945045"/>
    <w:rsid w:val="009452E9"/>
    <w:rsid w:val="00945ED4"/>
    <w:rsid w:val="00947D01"/>
    <w:rsid w:val="00952EF1"/>
    <w:rsid w:val="009543E8"/>
    <w:rsid w:val="00963F87"/>
    <w:rsid w:val="00970447"/>
    <w:rsid w:val="00972DE0"/>
    <w:rsid w:val="009908AC"/>
    <w:rsid w:val="00991DAD"/>
    <w:rsid w:val="00992A8E"/>
    <w:rsid w:val="009946C2"/>
    <w:rsid w:val="00996690"/>
    <w:rsid w:val="009A1528"/>
    <w:rsid w:val="009A4466"/>
    <w:rsid w:val="009A5B60"/>
    <w:rsid w:val="009A630B"/>
    <w:rsid w:val="009B5714"/>
    <w:rsid w:val="009C3137"/>
    <w:rsid w:val="009C3E1E"/>
    <w:rsid w:val="009D438D"/>
    <w:rsid w:val="009D595E"/>
    <w:rsid w:val="009E2E29"/>
    <w:rsid w:val="009E3977"/>
    <w:rsid w:val="009E4261"/>
    <w:rsid w:val="009F2AB4"/>
    <w:rsid w:val="009F3741"/>
    <w:rsid w:val="00A04253"/>
    <w:rsid w:val="00A055A3"/>
    <w:rsid w:val="00A07737"/>
    <w:rsid w:val="00A20EF8"/>
    <w:rsid w:val="00A21DB2"/>
    <w:rsid w:val="00A22588"/>
    <w:rsid w:val="00A25061"/>
    <w:rsid w:val="00A30EA7"/>
    <w:rsid w:val="00A3198C"/>
    <w:rsid w:val="00A3354D"/>
    <w:rsid w:val="00A36D1C"/>
    <w:rsid w:val="00A41F45"/>
    <w:rsid w:val="00A45DA7"/>
    <w:rsid w:val="00A550B0"/>
    <w:rsid w:val="00A60777"/>
    <w:rsid w:val="00A60D51"/>
    <w:rsid w:val="00A94FDE"/>
    <w:rsid w:val="00AC2389"/>
    <w:rsid w:val="00AC299E"/>
    <w:rsid w:val="00AD55F9"/>
    <w:rsid w:val="00AD7786"/>
    <w:rsid w:val="00AE095A"/>
    <w:rsid w:val="00AF054B"/>
    <w:rsid w:val="00B1578C"/>
    <w:rsid w:val="00B23B05"/>
    <w:rsid w:val="00B3014A"/>
    <w:rsid w:val="00B352DB"/>
    <w:rsid w:val="00B37393"/>
    <w:rsid w:val="00B46F51"/>
    <w:rsid w:val="00B479A3"/>
    <w:rsid w:val="00B605B2"/>
    <w:rsid w:val="00B62CDF"/>
    <w:rsid w:val="00B64F0C"/>
    <w:rsid w:val="00B6713A"/>
    <w:rsid w:val="00B67714"/>
    <w:rsid w:val="00B72CE9"/>
    <w:rsid w:val="00B751DF"/>
    <w:rsid w:val="00B80486"/>
    <w:rsid w:val="00B97293"/>
    <w:rsid w:val="00BA155B"/>
    <w:rsid w:val="00BB2689"/>
    <w:rsid w:val="00BD145B"/>
    <w:rsid w:val="00BD2164"/>
    <w:rsid w:val="00BD25B8"/>
    <w:rsid w:val="00BE0E66"/>
    <w:rsid w:val="00BE3DB5"/>
    <w:rsid w:val="00BE6344"/>
    <w:rsid w:val="00BF4120"/>
    <w:rsid w:val="00BF7269"/>
    <w:rsid w:val="00C00419"/>
    <w:rsid w:val="00C00A1D"/>
    <w:rsid w:val="00C0540A"/>
    <w:rsid w:val="00C06234"/>
    <w:rsid w:val="00C1008F"/>
    <w:rsid w:val="00C116D3"/>
    <w:rsid w:val="00C1512C"/>
    <w:rsid w:val="00C16A15"/>
    <w:rsid w:val="00C172A9"/>
    <w:rsid w:val="00C273D6"/>
    <w:rsid w:val="00C3352B"/>
    <w:rsid w:val="00C36BF1"/>
    <w:rsid w:val="00C47494"/>
    <w:rsid w:val="00C531D2"/>
    <w:rsid w:val="00C54122"/>
    <w:rsid w:val="00C57BEC"/>
    <w:rsid w:val="00C6303C"/>
    <w:rsid w:val="00C76071"/>
    <w:rsid w:val="00C775CD"/>
    <w:rsid w:val="00C81964"/>
    <w:rsid w:val="00C832EA"/>
    <w:rsid w:val="00C86518"/>
    <w:rsid w:val="00C94003"/>
    <w:rsid w:val="00CA4064"/>
    <w:rsid w:val="00CA5494"/>
    <w:rsid w:val="00CA7E43"/>
    <w:rsid w:val="00CB3CD4"/>
    <w:rsid w:val="00CC1C07"/>
    <w:rsid w:val="00CC24C5"/>
    <w:rsid w:val="00CC34C4"/>
    <w:rsid w:val="00CC7D24"/>
    <w:rsid w:val="00CD7D3E"/>
    <w:rsid w:val="00CE2A7F"/>
    <w:rsid w:val="00CE2CA3"/>
    <w:rsid w:val="00CE369B"/>
    <w:rsid w:val="00CE4258"/>
    <w:rsid w:val="00CE4728"/>
    <w:rsid w:val="00CE5808"/>
    <w:rsid w:val="00CF2B27"/>
    <w:rsid w:val="00CF43FB"/>
    <w:rsid w:val="00CF4802"/>
    <w:rsid w:val="00D058A2"/>
    <w:rsid w:val="00D069F5"/>
    <w:rsid w:val="00D06B18"/>
    <w:rsid w:val="00D11002"/>
    <w:rsid w:val="00D1108F"/>
    <w:rsid w:val="00D142E2"/>
    <w:rsid w:val="00D17444"/>
    <w:rsid w:val="00D23167"/>
    <w:rsid w:val="00D2369D"/>
    <w:rsid w:val="00D26043"/>
    <w:rsid w:val="00D26538"/>
    <w:rsid w:val="00D323D2"/>
    <w:rsid w:val="00D407E3"/>
    <w:rsid w:val="00D52F95"/>
    <w:rsid w:val="00D574DF"/>
    <w:rsid w:val="00D64E8B"/>
    <w:rsid w:val="00D66C53"/>
    <w:rsid w:val="00D71063"/>
    <w:rsid w:val="00D744E5"/>
    <w:rsid w:val="00D8252D"/>
    <w:rsid w:val="00D92B55"/>
    <w:rsid w:val="00D94009"/>
    <w:rsid w:val="00D94A31"/>
    <w:rsid w:val="00DA49C2"/>
    <w:rsid w:val="00DB1B16"/>
    <w:rsid w:val="00DC2F2E"/>
    <w:rsid w:val="00DC46D4"/>
    <w:rsid w:val="00DD74AF"/>
    <w:rsid w:val="00DD7D64"/>
    <w:rsid w:val="00DE2F26"/>
    <w:rsid w:val="00DE51EF"/>
    <w:rsid w:val="00DE709B"/>
    <w:rsid w:val="00DF1ABB"/>
    <w:rsid w:val="00DF4501"/>
    <w:rsid w:val="00E10F4F"/>
    <w:rsid w:val="00E23C47"/>
    <w:rsid w:val="00E41122"/>
    <w:rsid w:val="00E468E3"/>
    <w:rsid w:val="00E50405"/>
    <w:rsid w:val="00E5430C"/>
    <w:rsid w:val="00E71A0B"/>
    <w:rsid w:val="00E8246B"/>
    <w:rsid w:val="00E86DE7"/>
    <w:rsid w:val="00E92708"/>
    <w:rsid w:val="00EA398F"/>
    <w:rsid w:val="00EA6CFF"/>
    <w:rsid w:val="00EB533B"/>
    <w:rsid w:val="00EB56F2"/>
    <w:rsid w:val="00EC2B6C"/>
    <w:rsid w:val="00EC3F3A"/>
    <w:rsid w:val="00EC6252"/>
    <w:rsid w:val="00ED283A"/>
    <w:rsid w:val="00ED45F7"/>
    <w:rsid w:val="00ED75DC"/>
    <w:rsid w:val="00EE65C2"/>
    <w:rsid w:val="00EF1145"/>
    <w:rsid w:val="00EF616A"/>
    <w:rsid w:val="00F021BC"/>
    <w:rsid w:val="00F17D2C"/>
    <w:rsid w:val="00F27E92"/>
    <w:rsid w:val="00F33FAA"/>
    <w:rsid w:val="00F373A3"/>
    <w:rsid w:val="00F426D1"/>
    <w:rsid w:val="00F467F5"/>
    <w:rsid w:val="00F53CBA"/>
    <w:rsid w:val="00F54D73"/>
    <w:rsid w:val="00F62B23"/>
    <w:rsid w:val="00F67546"/>
    <w:rsid w:val="00FA1AAC"/>
    <w:rsid w:val="00FA3495"/>
    <w:rsid w:val="00FB713A"/>
    <w:rsid w:val="00FB74C1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2DBB-9431-4270-9407-6314DAEE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33B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633B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Odkaznakomentr">
    <w:name w:val="annotation reference"/>
    <w:rsid w:val="00470B3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0B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70B3E"/>
  </w:style>
  <w:style w:type="paragraph" w:styleId="Predmetkomentra">
    <w:name w:val="annotation subject"/>
    <w:basedOn w:val="Textkomentra"/>
    <w:next w:val="Textkomentra"/>
    <w:link w:val="PredmetkomentraChar"/>
    <w:rsid w:val="00470B3E"/>
    <w:rPr>
      <w:b/>
      <w:bCs/>
    </w:rPr>
  </w:style>
  <w:style w:type="character" w:customStyle="1" w:styleId="PredmetkomentraChar">
    <w:name w:val="Predmet komentára Char"/>
    <w:link w:val="Predmetkomentra"/>
    <w:rsid w:val="00470B3E"/>
    <w:rPr>
      <w:b/>
      <w:bCs/>
    </w:rPr>
  </w:style>
  <w:style w:type="paragraph" w:styleId="Textbubliny">
    <w:name w:val="Balloon Text"/>
    <w:basedOn w:val="Normlny"/>
    <w:link w:val="TextbublinyChar"/>
    <w:rsid w:val="00470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70B3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76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1">
    <w:name w:val="CM1"/>
    <w:basedOn w:val="Normlny"/>
    <w:next w:val="Normlny"/>
    <w:uiPriority w:val="99"/>
    <w:rsid w:val="00D94A31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uiPriority w:val="99"/>
    <w:rsid w:val="00D94A31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uiPriority w:val="99"/>
    <w:rsid w:val="00D94A31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lny1">
    <w:name w:val="Normálny1"/>
    <w:rsid w:val="00D94A31"/>
    <w:pPr>
      <w:widowControl w:val="0"/>
      <w:spacing w:line="276" w:lineRule="auto"/>
      <w:contextualSpacing/>
    </w:pPr>
    <w:rPr>
      <w:rFonts w:ascii="Arial" w:hAnsi="Arial" w:cs="Arial"/>
      <w:color w:val="000000"/>
      <w:sz w:val="22"/>
      <w:szCs w:val="22"/>
      <w:lang w:val="sk"/>
    </w:rPr>
  </w:style>
  <w:style w:type="paragraph" w:styleId="Revzia">
    <w:name w:val="Revision"/>
    <w:hidden/>
    <w:uiPriority w:val="99"/>
    <w:semiHidden/>
    <w:rsid w:val="00077836"/>
    <w:rPr>
      <w:sz w:val="24"/>
      <w:szCs w:val="24"/>
    </w:rPr>
  </w:style>
  <w:style w:type="character" w:styleId="Hypertextovprepojenie">
    <w:name w:val="Hyperlink"/>
    <w:uiPriority w:val="99"/>
    <w:unhideWhenUsed/>
    <w:rsid w:val="00B751DF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633B61"/>
    <w:rPr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633B61"/>
    <w:pPr>
      <w:spacing w:before="100" w:beforeAutospacing="1" w:after="100" w:afterAutospacing="1"/>
    </w:pPr>
  </w:style>
  <w:style w:type="paragraph" w:customStyle="1" w:styleId="textundertitle">
    <w:name w:val="textundertitle"/>
    <w:basedOn w:val="Normlny"/>
    <w:rsid w:val="00633B61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B61"/>
    <w:rPr>
      <w:b/>
      <w:bCs/>
    </w:rPr>
  </w:style>
  <w:style w:type="character" w:customStyle="1" w:styleId="Nadpis1Char">
    <w:name w:val="Nadpis 1 Char"/>
    <w:link w:val="Nadpis1"/>
    <w:rsid w:val="00633B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rsid w:val="00470B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70BC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70B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70BC9"/>
    <w:rPr>
      <w:sz w:val="24"/>
      <w:szCs w:val="24"/>
    </w:rPr>
  </w:style>
  <w:style w:type="paragraph" w:styleId="Textvysvetlivky">
    <w:name w:val="endnote text"/>
    <w:basedOn w:val="Normlny"/>
    <w:link w:val="TextvysvetlivkyChar"/>
    <w:rsid w:val="00F53CB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F53CBA"/>
  </w:style>
  <w:style w:type="character" w:styleId="Odkaznavysvetlivku">
    <w:name w:val="endnote reference"/>
    <w:rsid w:val="00F53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946">
          <w:marLeft w:val="0"/>
          <w:marRight w:val="0"/>
          <w:marTop w:val="300"/>
          <w:marBottom w:val="0"/>
          <w:divBdr>
            <w:top w:val="single" w:sz="6" w:space="8" w:color="CAD7DC"/>
            <w:left w:val="single" w:sz="6" w:space="23" w:color="CAD7DC"/>
            <w:bottom w:val="single" w:sz="6" w:space="8" w:color="CAD7DC"/>
            <w:right w:val="single" w:sz="6" w:space="8" w:color="CAD7DC"/>
          </w:divBdr>
          <w:divsChild>
            <w:div w:id="16198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5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6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10727">
          <w:marLeft w:val="0"/>
          <w:marRight w:val="0"/>
          <w:marTop w:val="300"/>
          <w:marBottom w:val="0"/>
          <w:divBdr>
            <w:top w:val="single" w:sz="6" w:space="8" w:color="CAD7DC"/>
            <w:left w:val="single" w:sz="6" w:space="23" w:color="CAD7DC"/>
            <w:bottom w:val="single" w:sz="6" w:space="8" w:color="CAD7DC"/>
            <w:right w:val="single" w:sz="6" w:space="8" w:color="CAD7DC"/>
          </w:divBdr>
        </w:div>
      </w:divsChild>
    </w:div>
    <w:div w:id="1515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175">
          <w:marLeft w:val="0"/>
          <w:marRight w:val="0"/>
          <w:marTop w:val="300"/>
          <w:marBottom w:val="0"/>
          <w:divBdr>
            <w:top w:val="single" w:sz="6" w:space="8" w:color="CAD7DC"/>
            <w:left w:val="single" w:sz="6" w:space="23" w:color="CAD7DC"/>
            <w:bottom w:val="single" w:sz="6" w:space="8" w:color="CAD7DC"/>
            <w:right w:val="single" w:sz="6" w:space="8" w:color="CAD7DC"/>
          </w:divBdr>
          <w:divsChild>
            <w:div w:id="13647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98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456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46153">
          <w:marLeft w:val="0"/>
          <w:marRight w:val="0"/>
          <w:marTop w:val="300"/>
          <w:marBottom w:val="0"/>
          <w:divBdr>
            <w:top w:val="single" w:sz="6" w:space="8" w:color="CAD7DC"/>
            <w:left w:val="single" w:sz="6" w:space="23" w:color="CAD7DC"/>
            <w:bottom w:val="single" w:sz="6" w:space="8" w:color="CAD7DC"/>
            <w:right w:val="single" w:sz="6" w:space="8" w:color="CAD7DC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AUTO/?uri=CELEX:32018D1696&amp;qid=1559207143982&amp;r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18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8A4D-E596-4A51-8D34-673575A5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7168</Words>
  <Characters>40862</Characters>
  <Application>Microsoft Office Word</Application>
  <DocSecurity>0</DocSecurity>
  <Lines>340</Lines>
  <Paragraphs>95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Cieľom predkladaného legislatívneho zámeru je kodifikovať justičnú spoluprácu v trestných veciach v jednom samostatnom nástroji a tým zjednodušiť a sprehľadniť nástroje a inštitúty využívané v styku s cudzinou</vt:lpstr>
      <vt:lpstr>Cieľom predkladaného legislatívneho zámeru je kodifikovať justičnú spoluprácu v trestných veciach v jednom samostatnom nástroji a tým zjednodušiť a sprehľadniť nástroje a inštitúty využívané v styku s cudzinou</vt:lpstr>
    </vt:vector>
  </TitlesOfParts>
  <Company>&lt;arabianhorse&gt;</Company>
  <LinksUpToDate>false</LinksUpToDate>
  <CharactersWithSpaces>47935</CharactersWithSpaces>
  <SharedDoc>false</SharedDoc>
  <HLinks>
    <vt:vector size="18" baseType="variant">
      <vt:variant>
        <vt:i4>6160507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https://www.slov-lex.sk/pravne-predpisy/SK/ZZ/2004/185/</vt:lpwstr>
      </vt:variant>
      <vt:variant>
        <vt:lpwstr>prilohy.priloha-30.op-zmluva_o_europskej_unii.text</vt:lpwstr>
      </vt:variant>
      <vt:variant>
        <vt:i4>7602272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https://eur-lex.europa.eu/legal-content/AUTO/?uri=CELEX:32019D0598&amp;qid=1559207143982&amp;rid=3</vt:lpwstr>
      </vt:variant>
      <vt:variant>
        <vt:lpwstr/>
      </vt:variant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https://eur-lex.europa.eu/legal-content/AUTO/?uri=CELEX:32018D1696&amp;qid=1559207143982&amp;rid=2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Cieľom predkladaného legislatívneho zámeru je kodifikovať justičnú spoluprácu v trestných veciach v jednom samostatnom nástroji a tým zjednodušiť a sprehľadniť nástroje a inštitúty využívané v styku s cudzinou</dc:title>
  <dc:subject/>
  <dc:creator>martin koska</dc:creator>
  <cp:keywords/>
  <cp:lastModifiedBy>ČANDA Tomáš</cp:lastModifiedBy>
  <cp:revision>2</cp:revision>
  <cp:lastPrinted>2019-07-17T11:01:00Z</cp:lastPrinted>
  <dcterms:created xsi:type="dcterms:W3CDTF">2020-01-15T09:47:00Z</dcterms:created>
  <dcterms:modified xsi:type="dcterms:W3CDTF">2020-01-15T09:47:00Z</dcterms:modified>
</cp:coreProperties>
</file>