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F2DFA" w:rsidRPr="00397C3E" w14:paraId="1643621D" w14:textId="77777777" w:rsidTr="00A632E6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7A7F6854" w14:textId="77777777" w:rsidR="009F2DFA" w:rsidRPr="00397C3E" w:rsidRDefault="008A1252" w:rsidP="00A25E5F">
            <w:pPr>
              <w:jc w:val="center"/>
              <w:rPr>
                <w:b/>
                <w:sz w:val="24"/>
              </w:rPr>
            </w:pPr>
            <w:r w:rsidRPr="00397C3E">
              <w:rPr>
                <w:b/>
                <w:sz w:val="28"/>
              </w:rPr>
              <w:t>Analýza v</w:t>
            </w:r>
            <w:r w:rsidR="009F2DFA" w:rsidRPr="00397C3E">
              <w:rPr>
                <w:b/>
                <w:sz w:val="28"/>
              </w:rPr>
              <w:t>plyv</w:t>
            </w:r>
            <w:r w:rsidRPr="00397C3E">
              <w:rPr>
                <w:b/>
                <w:sz w:val="28"/>
              </w:rPr>
              <w:t>ov</w:t>
            </w:r>
            <w:r w:rsidR="009F2DFA" w:rsidRPr="00397C3E">
              <w:rPr>
                <w:b/>
                <w:sz w:val="28"/>
              </w:rPr>
              <w:t xml:space="preserve"> na podnikateľské prostredie </w:t>
            </w:r>
          </w:p>
          <w:p w14:paraId="04D26398" w14:textId="77777777" w:rsidR="009F2DFA" w:rsidRPr="00397C3E" w:rsidRDefault="009F2DFA" w:rsidP="00A25E5F">
            <w:pPr>
              <w:jc w:val="center"/>
              <w:rPr>
                <w:b/>
              </w:rPr>
            </w:pPr>
            <w:r w:rsidRPr="00397C3E">
              <w:rPr>
                <w:b/>
                <w:sz w:val="24"/>
              </w:rPr>
              <w:t xml:space="preserve">(vrátane </w:t>
            </w:r>
            <w:r w:rsidR="00780BA6" w:rsidRPr="00397C3E">
              <w:rPr>
                <w:b/>
                <w:sz w:val="24"/>
              </w:rPr>
              <w:t xml:space="preserve">testu </w:t>
            </w:r>
            <w:r w:rsidRPr="00397C3E">
              <w:rPr>
                <w:b/>
                <w:sz w:val="24"/>
              </w:rPr>
              <w:t>MSP)</w:t>
            </w:r>
          </w:p>
        </w:tc>
      </w:tr>
      <w:tr w:rsidR="009F2DFA" w:rsidRPr="00397C3E" w14:paraId="5051325F" w14:textId="77777777" w:rsidTr="00A632E6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3217A63D" w14:textId="77777777" w:rsidR="009F2DFA" w:rsidRPr="00397C3E" w:rsidRDefault="009F2DFA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397C3E" w14:paraId="571EACD8" w14:textId="77777777" w:rsidTr="00A632E6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397C3E" w14:paraId="27309242" w14:textId="77777777" w:rsidTr="00A632E6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60659E6" w14:textId="77777777" w:rsidR="009F2DFA" w:rsidRPr="00397C3E" w:rsidRDefault="009F2DFA" w:rsidP="00A25E5F">
                      <w:pPr>
                        <w:jc w:val="center"/>
                      </w:pPr>
                      <w:r w:rsidRPr="00397C3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B3C244" w14:textId="77777777" w:rsidR="009F2DFA" w:rsidRPr="00397C3E" w:rsidRDefault="009F2DFA" w:rsidP="00A25E5F">
                  <w:pPr>
                    <w:rPr>
                      <w:b/>
                    </w:rPr>
                  </w:pPr>
                  <w:r w:rsidRPr="00397C3E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397C3E" w14:paraId="1FCABF6C" w14:textId="77777777" w:rsidTr="00A632E6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67A281" w14:textId="77777777" w:rsidR="009F2DFA" w:rsidRPr="00397C3E" w:rsidRDefault="009F2DFA" w:rsidP="00A25E5F">
                      <w:pPr>
                        <w:jc w:val="center"/>
                      </w:pPr>
                      <w:r w:rsidRPr="00397C3E">
                        <w:rPr>
                          <w:rFonts w:ascii="MS Mincho" w:eastAsia="MS Mincho" w:hAnsi="MS Mincho" w:cs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BD1EF00" w14:textId="77777777" w:rsidR="009F2DFA" w:rsidRPr="00397C3E" w:rsidRDefault="009F2DFA" w:rsidP="00A25E5F">
                  <w:pPr>
                    <w:rPr>
                      <w:b/>
                    </w:rPr>
                  </w:pPr>
                  <w:r w:rsidRPr="00397C3E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397C3E" w14:paraId="074D4617" w14:textId="77777777" w:rsidTr="00A632E6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01E65B4" w14:textId="77777777" w:rsidR="009F2DFA" w:rsidRPr="00397C3E" w:rsidRDefault="00161D74" w:rsidP="00A25E5F">
                      <w:pPr>
                        <w:jc w:val="center"/>
                      </w:pPr>
                      <w:r w:rsidRPr="00397C3E">
                        <w:rPr>
                          <w:rFonts w:ascii="MS Gothic"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309191" w14:textId="77777777" w:rsidR="009F2DFA" w:rsidRPr="00397C3E" w:rsidRDefault="009F2DFA" w:rsidP="00A25E5F">
                  <w:r w:rsidRPr="00397C3E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3A868EBD" w14:textId="77777777" w:rsidR="009F2DFA" w:rsidRPr="00397C3E" w:rsidRDefault="009F2DFA" w:rsidP="00A25E5F">
            <w:pPr>
              <w:rPr>
                <w:b/>
              </w:rPr>
            </w:pPr>
          </w:p>
        </w:tc>
      </w:tr>
      <w:tr w:rsidR="009F2DFA" w:rsidRPr="00397C3E" w14:paraId="28147D81" w14:textId="77777777" w:rsidTr="00A632E6">
        <w:tc>
          <w:tcPr>
            <w:tcW w:w="9062" w:type="dxa"/>
            <w:shd w:val="clear" w:color="auto" w:fill="D9D9D9" w:themeFill="background1" w:themeFillShade="D9"/>
          </w:tcPr>
          <w:p w14:paraId="4ED9BF8C" w14:textId="77777777" w:rsidR="009F2DFA" w:rsidRPr="00397C3E" w:rsidRDefault="002B1108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t>3</w:t>
            </w:r>
            <w:r w:rsidR="009F2DFA" w:rsidRPr="00397C3E">
              <w:rPr>
                <w:b/>
                <w:sz w:val="24"/>
              </w:rPr>
              <w:t>.1 Dotknuté podnikateľské subjekty</w:t>
            </w:r>
          </w:p>
          <w:p w14:paraId="129638FA" w14:textId="77777777" w:rsidR="009F2DFA" w:rsidRPr="00397C3E" w:rsidRDefault="009F2DFA" w:rsidP="00A25E5F">
            <w:pPr>
              <w:ind w:left="284"/>
              <w:rPr>
                <w:b/>
              </w:rPr>
            </w:pPr>
            <w:r w:rsidRPr="00397C3E">
              <w:rPr>
                <w:sz w:val="24"/>
              </w:rPr>
              <w:t xml:space="preserve"> - </w:t>
            </w:r>
            <w:r w:rsidRPr="00397C3E">
              <w:rPr>
                <w:b/>
                <w:sz w:val="24"/>
              </w:rPr>
              <w:t>z toho MSP</w:t>
            </w:r>
          </w:p>
        </w:tc>
      </w:tr>
      <w:tr w:rsidR="009F2DFA" w:rsidRPr="00397C3E" w14:paraId="45EF1A1C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351F778F" w14:textId="77777777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>Uveďte, aké podnikateľské subjekty budú predkladaným návrhom ovplyvnené.</w:t>
            </w:r>
          </w:p>
          <w:p w14:paraId="133A7D8C" w14:textId="77777777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>Aký je ich počet?</w:t>
            </w:r>
          </w:p>
        </w:tc>
      </w:tr>
      <w:tr w:rsidR="009F2DFA" w:rsidRPr="00397C3E" w14:paraId="21A08EA4" w14:textId="77777777" w:rsidTr="00A632E6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00C96B22" w14:textId="77777777" w:rsidR="009F2DFA" w:rsidRPr="00397C3E" w:rsidRDefault="009F2DFA" w:rsidP="00A25E5F"/>
          <w:p w14:paraId="1CE53EA2" w14:textId="3EA93B63" w:rsidR="00E33028" w:rsidRPr="00397C3E" w:rsidRDefault="002F7463" w:rsidP="00306854">
            <w:pPr>
              <w:jc w:val="both"/>
            </w:pPr>
            <w:r w:rsidRPr="00397C3E">
              <w:t>Z pohľadu podnikateľských subjektov vo vzťahu k </w:t>
            </w:r>
            <w:r w:rsidR="00E74248" w:rsidRPr="00397C3E">
              <w:t>odpl</w:t>
            </w:r>
            <w:r w:rsidRPr="00397C3E">
              <w:t xml:space="preserve">atám </w:t>
            </w:r>
            <w:r w:rsidR="00E74248" w:rsidRPr="00397C3E">
              <w:t xml:space="preserve">za poskytovanie </w:t>
            </w:r>
            <w:r w:rsidR="00E33028" w:rsidRPr="00397C3E">
              <w:t xml:space="preserve">terminálnych </w:t>
            </w:r>
            <w:r w:rsidR="00E74248" w:rsidRPr="00397C3E">
              <w:t xml:space="preserve">leteckých navigačných služieb sa návrh </w:t>
            </w:r>
            <w:r w:rsidR="00E33028" w:rsidRPr="00397C3E">
              <w:t>nariadenia vlády</w:t>
            </w:r>
            <w:r w:rsidR="00BB37D1" w:rsidRPr="00397C3E">
              <w:t xml:space="preserve"> Slovenskej republiky</w:t>
            </w:r>
            <w:r w:rsidR="004B73BD">
              <w:t xml:space="preserve">, </w:t>
            </w:r>
            <w:r w:rsidR="004B73BD" w:rsidRPr="004B73BD">
              <w:t>ktorým sa ustanovuje postup určovania a</w:t>
            </w:r>
            <w:r w:rsidR="004B73BD">
              <w:t> </w:t>
            </w:r>
            <w:r w:rsidR="004B73BD" w:rsidRPr="004B73BD">
              <w:t>výpočtu výšky odplaty za poskytovanie leteckých navigačných služieb a</w:t>
            </w:r>
            <w:r w:rsidR="004B73BD">
              <w:t> </w:t>
            </w:r>
            <w:r w:rsidR="004B73BD" w:rsidRPr="004B73BD">
              <w:t>zóny spoplatňovania</w:t>
            </w:r>
            <w:r w:rsidR="00E33028" w:rsidRPr="00397C3E">
              <w:t xml:space="preserve"> </w:t>
            </w:r>
            <w:r w:rsidR="004B73BD">
              <w:t xml:space="preserve">(ďalej len „návrh nariadenia vlády Slovenskej republiky“) </w:t>
            </w:r>
            <w:r w:rsidR="00B5062B" w:rsidRPr="00397C3E">
              <w:t>vzťahuje na</w:t>
            </w:r>
            <w:r w:rsidR="00E74248" w:rsidRPr="00397C3E">
              <w:t xml:space="preserve"> poskytovateľ</w:t>
            </w:r>
            <w:r w:rsidR="00B5062B" w:rsidRPr="00397C3E">
              <w:t>a</w:t>
            </w:r>
            <w:r w:rsidR="00E74248" w:rsidRPr="00397C3E">
              <w:t xml:space="preserve"> leteckých navigačných služieb</w:t>
            </w:r>
            <w:r w:rsidR="000C4198" w:rsidRPr="00397C3E">
              <w:t xml:space="preserve"> v príslušne terminálnej zóne spoplatňovania</w:t>
            </w:r>
            <w:r w:rsidR="00E74248" w:rsidRPr="00397C3E">
              <w:t xml:space="preserve"> a používateľov </w:t>
            </w:r>
            <w:r w:rsidR="000C4198" w:rsidRPr="00397C3E">
              <w:t>vzdušného priestoru</w:t>
            </w:r>
            <w:r w:rsidR="00E74248" w:rsidRPr="00397C3E">
              <w:t>.</w:t>
            </w:r>
            <w:r w:rsidRPr="00397C3E">
              <w:t xml:space="preserve"> V</w:t>
            </w:r>
            <w:r w:rsidR="00B5062B" w:rsidRPr="00397C3E">
              <w:t> </w:t>
            </w:r>
            <w:r w:rsidRPr="00397C3E">
              <w:t>súčasnosti</w:t>
            </w:r>
            <w:r w:rsidR="00B5062B" w:rsidRPr="00397C3E">
              <w:t>,</w:t>
            </w:r>
            <w:r w:rsidRPr="00397C3E">
              <w:t xml:space="preserve"> vo vzťahu k terminálnym odplatám</w:t>
            </w:r>
            <w:r w:rsidR="00B5062B" w:rsidRPr="00397C3E">
              <w:t>,</w:t>
            </w:r>
            <w:r w:rsidRPr="00397C3E">
              <w:t xml:space="preserve"> ide o </w:t>
            </w:r>
            <w:r w:rsidR="004E0708" w:rsidRPr="00397C3E">
              <w:t>2</w:t>
            </w:r>
            <w:r w:rsidRPr="00397C3E">
              <w:t xml:space="preserve"> poskytovateľov </w:t>
            </w:r>
            <w:r w:rsidR="00B5062B" w:rsidRPr="00397C3E">
              <w:t xml:space="preserve">terminálnych </w:t>
            </w:r>
            <w:r w:rsidRPr="00397C3E">
              <w:t xml:space="preserve">letových prevádzkových služieb. Počet používateľov </w:t>
            </w:r>
            <w:r w:rsidR="000C4198" w:rsidRPr="00397C3E">
              <w:t>vzdušného priestoru</w:t>
            </w:r>
            <w:r w:rsidRPr="00397C3E">
              <w:t xml:space="preserve"> nie je možné </w:t>
            </w:r>
            <w:r w:rsidR="00B5062B" w:rsidRPr="00397C3E">
              <w:t>explicitne kvantifikovať</w:t>
            </w:r>
            <w:r w:rsidR="00306854">
              <w:t>, keďže okrem leteckých dopravcov vykonávajúcich najmä pravidelnú obchodnú leteckú dopravu sú používateľmi aj prevádzkovatelia lietadiel všeobecného letectva či prevádzkovatelia lietadiel vykonávajúci letecké práce alebo špeciálnu prevádzku a pod</w:t>
            </w:r>
            <w:r w:rsidRPr="00397C3E">
              <w:t>.</w:t>
            </w:r>
          </w:p>
        </w:tc>
      </w:tr>
      <w:tr w:rsidR="009F2DFA" w:rsidRPr="00397C3E" w14:paraId="0DBD33F9" w14:textId="77777777" w:rsidTr="00A632E6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CEF7D" w14:textId="77777777" w:rsidR="009F2DFA" w:rsidRPr="00397C3E" w:rsidRDefault="002B1108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t>3</w:t>
            </w:r>
            <w:r w:rsidR="009F2DFA" w:rsidRPr="00397C3E">
              <w:rPr>
                <w:b/>
                <w:sz w:val="24"/>
              </w:rPr>
              <w:t>.2 Vyhodnotenie konzultácií</w:t>
            </w:r>
          </w:p>
          <w:p w14:paraId="64CC53F1" w14:textId="77777777" w:rsidR="009F2DFA" w:rsidRPr="00397C3E" w:rsidRDefault="009F2DFA" w:rsidP="00A25E5F">
            <w:pPr>
              <w:rPr>
                <w:b/>
              </w:rPr>
            </w:pPr>
            <w:r w:rsidRPr="00397C3E">
              <w:rPr>
                <w:sz w:val="24"/>
              </w:rPr>
              <w:t xml:space="preserve">       - </w:t>
            </w:r>
            <w:r w:rsidRPr="00397C3E">
              <w:rPr>
                <w:b/>
                <w:sz w:val="24"/>
              </w:rPr>
              <w:t>z toho MSP</w:t>
            </w:r>
          </w:p>
        </w:tc>
      </w:tr>
      <w:tr w:rsidR="009F2DFA" w:rsidRPr="00397C3E" w14:paraId="4266A49C" w14:textId="77777777" w:rsidTr="00A632E6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E7F8EC1" w14:textId="72C9A2C6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>Uveďte, akou formou (verejné alebo cielené konzultácie a prečo) a</w:t>
            </w:r>
            <w:r w:rsidR="00215850">
              <w:rPr>
                <w:i/>
              </w:rPr>
              <w:t> </w:t>
            </w:r>
            <w:r w:rsidRPr="00397C3E">
              <w:rPr>
                <w:i/>
              </w:rPr>
              <w:t>s</w:t>
            </w:r>
            <w:r w:rsidR="00215850">
              <w:rPr>
                <w:i/>
              </w:rPr>
              <w:t> </w:t>
            </w:r>
            <w:bookmarkStart w:id="0" w:name="_GoBack"/>
            <w:bookmarkEnd w:id="0"/>
            <w:r w:rsidRPr="00397C3E">
              <w:rPr>
                <w:i/>
              </w:rPr>
              <w:t>kým bol návrh konzultovaný.</w:t>
            </w:r>
          </w:p>
          <w:p w14:paraId="6E945DE6" w14:textId="77777777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>Ako dlho trvali konzultácie?</w:t>
            </w:r>
          </w:p>
          <w:p w14:paraId="4CE32DF3" w14:textId="77777777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397C3E" w14:paraId="5059FE50" w14:textId="77777777" w:rsidTr="00A632E6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76C5CCA2" w14:textId="77777777" w:rsidR="00D90220" w:rsidRPr="00397C3E" w:rsidRDefault="00D90220" w:rsidP="00A25E5F">
            <w:pPr>
              <w:jc w:val="both"/>
            </w:pPr>
          </w:p>
          <w:p w14:paraId="0830568F" w14:textId="524FB68D" w:rsidR="00E33028" w:rsidRPr="00397C3E" w:rsidRDefault="002F7463" w:rsidP="00A25E5F">
            <w:pPr>
              <w:jc w:val="both"/>
            </w:pPr>
            <w:r w:rsidRPr="00397C3E">
              <w:t xml:space="preserve">Počas prípravy návrhu </w:t>
            </w:r>
            <w:r w:rsidR="00BB37D1" w:rsidRPr="00397C3E">
              <w:t>nariadenia vlády Slovenskej republiky p</w:t>
            </w:r>
            <w:r w:rsidRPr="00397C3E">
              <w:t>red predložením mater</w:t>
            </w:r>
            <w:r w:rsidR="00E111CA" w:rsidRPr="00397C3E">
              <w:t>iálu do legislatívneho procesu boli vykonané konzultačné stretnutia s poskytovateľmi leteckých navigačných služieb</w:t>
            </w:r>
            <w:r w:rsidR="00BB37D1" w:rsidRPr="00397C3E">
              <w:t xml:space="preserve"> a </w:t>
            </w:r>
            <w:r w:rsidR="00E111CA" w:rsidRPr="00397C3E">
              <w:t>Dopravným úradom</w:t>
            </w:r>
            <w:r w:rsidR="00F854A5" w:rsidRPr="00397C3E">
              <w:t xml:space="preserve">, </w:t>
            </w:r>
            <w:r w:rsidR="00BB37D1" w:rsidRPr="00397C3E">
              <w:t xml:space="preserve">ako </w:t>
            </w:r>
            <w:r w:rsidR="00F854A5" w:rsidRPr="00397C3E">
              <w:t>národným dozorným orgánom v oblasti leteckých navigačných služieb</w:t>
            </w:r>
            <w:r w:rsidR="00306854">
              <w:t>. Predmetom konzultačných stretnutí bola</w:t>
            </w:r>
            <w:r w:rsidR="00E111CA" w:rsidRPr="00397C3E">
              <w:t xml:space="preserve"> </w:t>
            </w:r>
            <w:r w:rsidR="00306854" w:rsidRPr="00397C3E">
              <w:t>plánovan</w:t>
            </w:r>
            <w:r w:rsidR="00306854">
              <w:t>á</w:t>
            </w:r>
            <w:r w:rsidR="00306854" w:rsidRPr="00397C3E">
              <w:t xml:space="preserve"> nov</w:t>
            </w:r>
            <w:r w:rsidR="00306854">
              <w:t>á</w:t>
            </w:r>
            <w:r w:rsidR="00306854" w:rsidRPr="00397C3E">
              <w:t xml:space="preserve"> </w:t>
            </w:r>
            <w:r w:rsidR="00E111CA" w:rsidRPr="00397C3E">
              <w:t xml:space="preserve">úprave </w:t>
            </w:r>
            <w:r w:rsidR="00F854A5" w:rsidRPr="00397C3E">
              <w:t>určenia</w:t>
            </w:r>
            <w:r w:rsidR="00E111CA" w:rsidRPr="00397C3E">
              <w:t xml:space="preserve"> terminálnych jednotkových sadzieb a následne výpočtu terminálnych odplát pre príslušné terminálne zóny spoplatňovania. Následne predkladateľ vypracoval návrh nariadenia vlády </w:t>
            </w:r>
            <w:r w:rsidR="00E111CA" w:rsidRPr="00397C3E">
              <w:rPr>
                <w:bCs/>
              </w:rPr>
              <w:t xml:space="preserve">Slovenskej republiky, ktorý bol </w:t>
            </w:r>
            <w:r w:rsidR="00E111CA" w:rsidRPr="00397C3E">
              <w:t>poslaný</w:t>
            </w:r>
            <w:r w:rsidR="00E33028" w:rsidRPr="00397C3E">
              <w:t xml:space="preserve"> </w:t>
            </w:r>
            <w:r w:rsidRPr="00397C3E">
              <w:t xml:space="preserve">na pripomienkovanie formou cielenej konzultácie </w:t>
            </w:r>
            <w:r w:rsidR="00E33028" w:rsidRPr="00397C3E">
              <w:t>poskytovateľom leteckých navigačných služieb a Dopravnému úradu</w:t>
            </w:r>
            <w:r w:rsidR="00E111CA" w:rsidRPr="00397C3E">
              <w:t xml:space="preserve">. Následne sa </w:t>
            </w:r>
            <w:r w:rsidR="00E33028" w:rsidRPr="00397C3E">
              <w:t xml:space="preserve">uskutočnili pracovné stretnutia, na ktorých boli prekonzultované </w:t>
            </w:r>
            <w:r w:rsidR="00E111CA" w:rsidRPr="00397C3E">
              <w:t xml:space="preserve">a dohodnuté </w:t>
            </w:r>
            <w:r w:rsidR="00E33028" w:rsidRPr="00397C3E">
              <w:t xml:space="preserve">znenia jednotlivých ustanovení návrhu nariadenia </w:t>
            </w:r>
            <w:r w:rsidR="00E111CA" w:rsidRPr="00397C3E">
              <w:t xml:space="preserve">vlády </w:t>
            </w:r>
            <w:r w:rsidR="00E33028" w:rsidRPr="00397C3E">
              <w:t>Slovenskej republiky.</w:t>
            </w:r>
          </w:p>
          <w:p w14:paraId="68EA797D" w14:textId="05C9D67F" w:rsidR="00E33028" w:rsidRPr="00397C3E" w:rsidRDefault="001A668D" w:rsidP="00A25E5F">
            <w:pPr>
              <w:jc w:val="both"/>
            </w:pPr>
            <w:r w:rsidRPr="00397C3E">
              <w:t>P</w:t>
            </w:r>
            <w:r w:rsidR="00E33028" w:rsidRPr="00397C3E">
              <w:t xml:space="preserve">redmetný návrh nariadenia vlády Slovenskej republiky </w:t>
            </w:r>
            <w:r w:rsidRPr="00397C3E">
              <w:t xml:space="preserve">bol poslaný formou cielenej konzultácie na pripomienky aj </w:t>
            </w:r>
            <w:r w:rsidR="002851AD" w:rsidRPr="00397C3E">
              <w:t>prevádzkovateľ</w:t>
            </w:r>
            <w:r w:rsidRPr="00397C3E">
              <w:t>om</w:t>
            </w:r>
            <w:r w:rsidR="002851AD" w:rsidRPr="00397C3E">
              <w:t xml:space="preserve"> letísk, z</w:t>
            </w:r>
            <w:r w:rsidRPr="00397C3E">
              <w:t> </w:t>
            </w:r>
            <w:r w:rsidR="002851AD" w:rsidRPr="00397C3E">
              <w:t>ktorých sa vykonáva obchodná letecká doprava a na ktorých sú poskytované letecké navigačné služby.</w:t>
            </w:r>
            <w:r w:rsidRPr="00397C3E">
              <w:t xml:space="preserve"> Letiskové spoločnosti mohli predložiť pripomienky od 9. septembra 2019 do 17. septembra 2019</w:t>
            </w:r>
            <w:r w:rsidR="00602BDA" w:rsidRPr="00397C3E">
              <w:t xml:space="preserve"> a 4.</w:t>
            </w:r>
            <w:r w:rsidR="0002751D" w:rsidRPr="00397C3E">
              <w:t> </w:t>
            </w:r>
            <w:r w:rsidR="00602BDA" w:rsidRPr="00397C3E">
              <w:t xml:space="preserve">októbra </w:t>
            </w:r>
            <w:r w:rsidR="0002751D" w:rsidRPr="00397C3E">
              <w:t xml:space="preserve">2019 </w:t>
            </w:r>
            <w:r w:rsidR="00602BDA" w:rsidRPr="00397C3E">
              <w:t>sa uskutočnilo stretnutie s letiskovými spoločnosťami k predmetnému návrhu nariadenia vlády Slovenskej republiky, na ktorom bol návrh nariadenia vlády Slovenskej republiky predstavený a poskytovatelia leteckých navigačných služieb uviedli predbežné vstupy do výpočtu terminálnej jednotkovej sadzby.</w:t>
            </w:r>
          </w:p>
          <w:p w14:paraId="7E771189" w14:textId="661A4CF2" w:rsidR="00D90220" w:rsidRPr="00397C3E" w:rsidRDefault="001A668D" w:rsidP="002851AD">
            <w:pPr>
              <w:jc w:val="both"/>
            </w:pPr>
            <w:r w:rsidRPr="00397C3E">
              <w:t>Predmetný návrh nariadenia vlády Slovenskej republiky bol poslaný formou cielenej konzultácie na pripomienky taktiež aj</w:t>
            </w:r>
            <w:r w:rsidR="002851AD" w:rsidRPr="00397C3E">
              <w:t xml:space="preserve"> </w:t>
            </w:r>
            <w:r w:rsidR="002F7463" w:rsidRPr="00397C3E">
              <w:t>Únii dopravy, pôšt a telekomunikácií SR, Integrovanému odborovému zväzu a</w:t>
            </w:r>
            <w:r w:rsidR="00386598" w:rsidRPr="00397C3E">
              <w:t xml:space="preserve"> Asociácii priemyselných zväzov, ktoré mohli predložiť pripomienky od </w:t>
            </w:r>
            <w:r w:rsidR="00BC41F6" w:rsidRPr="00397C3E">
              <w:t>11</w:t>
            </w:r>
            <w:r w:rsidR="00386598" w:rsidRPr="00397C3E">
              <w:t xml:space="preserve">. septembra 2019 do </w:t>
            </w:r>
            <w:r w:rsidR="00BC41F6" w:rsidRPr="00397C3E">
              <w:t>19</w:t>
            </w:r>
            <w:r w:rsidR="00386598" w:rsidRPr="00397C3E">
              <w:t>. septembra 2019.</w:t>
            </w:r>
          </w:p>
          <w:p w14:paraId="38E8A6F6" w14:textId="21D448ED" w:rsidR="00E111CA" w:rsidRPr="00397C3E" w:rsidRDefault="00D90220" w:rsidP="002851AD">
            <w:pPr>
              <w:jc w:val="both"/>
            </w:pPr>
            <w:r w:rsidRPr="00397C3E">
              <w:t xml:space="preserve">Občania sa do konzultácií </w:t>
            </w:r>
            <w:r w:rsidR="004E0708" w:rsidRPr="00397C3E">
              <w:t>na základe</w:t>
            </w:r>
            <w:r w:rsidRPr="00397C3E">
              <w:t xml:space="preserve"> </w:t>
            </w:r>
            <w:r w:rsidR="00E111CA" w:rsidRPr="00397C3E">
              <w:t>predbežnej informácie č. </w:t>
            </w:r>
            <w:r w:rsidRPr="00397C3E">
              <w:t>PI/201</w:t>
            </w:r>
            <w:r w:rsidR="002851AD" w:rsidRPr="00397C3E">
              <w:t>9</w:t>
            </w:r>
            <w:r w:rsidRPr="00397C3E">
              <w:t>/2</w:t>
            </w:r>
            <w:r w:rsidR="002851AD" w:rsidRPr="00397C3E">
              <w:t>15</w:t>
            </w:r>
            <w:r w:rsidRPr="00397C3E">
              <w:t xml:space="preserve"> nezapojili.</w:t>
            </w:r>
          </w:p>
        </w:tc>
      </w:tr>
      <w:tr w:rsidR="009F2DFA" w:rsidRPr="00397C3E" w14:paraId="5342EAFB" w14:textId="77777777" w:rsidTr="00A632E6">
        <w:tc>
          <w:tcPr>
            <w:tcW w:w="9062" w:type="dxa"/>
            <w:shd w:val="clear" w:color="auto" w:fill="D9D9D9" w:themeFill="background1" w:themeFillShade="D9"/>
          </w:tcPr>
          <w:p w14:paraId="277E1FD3" w14:textId="77777777" w:rsidR="009F2DFA" w:rsidRPr="00397C3E" w:rsidRDefault="002B1108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t>3</w:t>
            </w:r>
            <w:r w:rsidR="009F2DFA" w:rsidRPr="00397C3E">
              <w:rPr>
                <w:b/>
                <w:sz w:val="24"/>
              </w:rPr>
              <w:t>.3 Náklady regulácie</w:t>
            </w:r>
          </w:p>
          <w:p w14:paraId="2C97B68C" w14:textId="77777777" w:rsidR="009F2DFA" w:rsidRPr="00397C3E" w:rsidRDefault="009F2DFA" w:rsidP="00A25E5F">
            <w:pPr>
              <w:rPr>
                <w:b/>
              </w:rPr>
            </w:pPr>
            <w:r w:rsidRPr="00397C3E">
              <w:rPr>
                <w:sz w:val="24"/>
              </w:rPr>
              <w:t xml:space="preserve">      - </w:t>
            </w:r>
            <w:r w:rsidRPr="00397C3E">
              <w:rPr>
                <w:b/>
                <w:sz w:val="24"/>
              </w:rPr>
              <w:t>z toho MSP</w:t>
            </w:r>
          </w:p>
        </w:tc>
      </w:tr>
      <w:tr w:rsidR="009F2DFA" w:rsidRPr="00397C3E" w14:paraId="5DEC8C36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493D7C05" w14:textId="77777777" w:rsidR="009F2DFA" w:rsidRPr="00397C3E" w:rsidRDefault="002B1108" w:rsidP="00A25E5F">
            <w:pPr>
              <w:rPr>
                <w:b/>
                <w:i/>
              </w:rPr>
            </w:pPr>
            <w:r w:rsidRPr="00397C3E">
              <w:rPr>
                <w:b/>
                <w:i/>
              </w:rPr>
              <w:t>3</w:t>
            </w:r>
            <w:r w:rsidR="009F2DFA" w:rsidRPr="00397C3E">
              <w:rPr>
                <w:b/>
                <w:i/>
              </w:rPr>
              <w:t>.3.1 Priame finančné náklady</w:t>
            </w:r>
          </w:p>
          <w:p w14:paraId="56CBA7AD" w14:textId="77777777" w:rsidR="009F2DFA" w:rsidRPr="00397C3E" w:rsidRDefault="009F2DFA" w:rsidP="00A25E5F">
            <w:pPr>
              <w:rPr>
                <w:i/>
              </w:rPr>
            </w:pPr>
            <w:r w:rsidRPr="00397C3E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90220" w:rsidRPr="00397C3E" w14:paraId="255F9E87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5EB6B7CD" w14:textId="77777777" w:rsidR="00D4467A" w:rsidRPr="00397C3E" w:rsidRDefault="00D4467A" w:rsidP="002F075D">
            <w:pPr>
              <w:jc w:val="both"/>
            </w:pPr>
          </w:p>
          <w:p w14:paraId="7D04E276" w14:textId="3B884588" w:rsidR="002F075D" w:rsidRPr="00397C3E" w:rsidRDefault="00B73C74" w:rsidP="00DB5314">
            <w:pPr>
              <w:jc w:val="both"/>
            </w:pPr>
            <w:r>
              <w:t>T</w:t>
            </w:r>
            <w:r w:rsidRPr="00397C3E">
              <w:t xml:space="preserve">erminálna </w:t>
            </w:r>
            <w:r w:rsidR="00DB5314" w:rsidRPr="00397C3E">
              <w:t xml:space="preserve">odplata </w:t>
            </w:r>
            <w:r w:rsidR="00DB5314" w:rsidRPr="00397C3E">
              <w:rPr>
                <w:rFonts w:eastAsiaTheme="minorHAnsi"/>
              </w:rPr>
              <w:t>sa uhrádza na základe faktúry vystavenej poskytovateľom terminálnych leteckých navigačných služieb alebo osobou splnomocnenou poskytovateľom terminálnych leteckých navigačných služieb používateľovi vzdušného priestoru</w:t>
            </w:r>
            <w:r w:rsidR="00D16646" w:rsidRPr="00397C3E">
              <w:t>.</w:t>
            </w:r>
          </w:p>
          <w:p w14:paraId="59B506ED" w14:textId="77777777" w:rsidR="007E0911" w:rsidRDefault="007E0911" w:rsidP="00FB78E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411091E5" w14:textId="1D3205EA" w:rsidR="00B73C74" w:rsidRDefault="00FB78E9" w:rsidP="00FB78E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 w:rsidRPr="00397C3E">
              <w:rPr>
                <w:sz w:val="20"/>
                <w:szCs w:val="20"/>
                <w:lang w:val="sk-SK"/>
              </w:rPr>
              <w:lastRenderedPageBreak/>
              <w:t xml:space="preserve">Aplikácia návrhu nariadenia vlády Slovenskej republiky umožní zjednodušiť činnosť poskytovateľa terminálnych leteckých navigačných služieb, keďže nebude povinný splniť požiadavky podľa vykonávacieho nariadenie Komisie (EÚ) 2019/317 z 11. februára 2019, ktorým sa stanovuje systém výkonnosti a spoplatňovania v jednotnom európskom nebi a ktorým sa zrušujú vykonávacie nariadenia (EÚ) č. 390/2013 a (EÚ) č. 391/2013 [ďalej len „vykonávacie nariadenie (EÚ) 2019/317“] pri určení terminálnej jednotkovej sadzby vrátane stanovenia nákladov. </w:t>
            </w:r>
          </w:p>
          <w:p w14:paraId="24F20C59" w14:textId="77777777" w:rsidR="0035090D" w:rsidRDefault="0035090D" w:rsidP="00FB78E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53AFC88A" w14:textId="748B741A" w:rsidR="00FB78E9" w:rsidRPr="0084657A" w:rsidRDefault="00F21FCC" w:rsidP="00FB78E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 posudzovaní</w:t>
            </w:r>
            <w:r w:rsidR="00FB78E9" w:rsidRPr="00397C3E">
              <w:rPr>
                <w:sz w:val="20"/>
                <w:szCs w:val="20"/>
                <w:lang w:val="sk-SK"/>
              </w:rPr>
              <w:t xml:space="preserve"> postupu podľa vykonávacieho nariadenia (EÚ) 2019/317 by stanovené náklady museli byť zahrnuté do plánu výkonnosti, do ktorého by museli byť zapracované </w:t>
            </w:r>
            <w:r w:rsidR="00B73C74">
              <w:rPr>
                <w:sz w:val="20"/>
                <w:szCs w:val="20"/>
                <w:lang w:val="sk-SK"/>
              </w:rPr>
              <w:t xml:space="preserve">aj </w:t>
            </w:r>
            <w:r w:rsidR="00FB78E9" w:rsidRPr="00397C3E">
              <w:rPr>
                <w:sz w:val="20"/>
                <w:szCs w:val="20"/>
                <w:lang w:val="sk-SK"/>
              </w:rPr>
              <w:t xml:space="preserve">záväzné národné ciele výkonnosti alebo záväzné ciele výkonnosti funkčných blokov vzdušného priestoru stanovené na základe kľúčových ukazovateľov výkonnosti vrátane východiskovej hodnoty pre stanovené náklady a východiskovej hodnoty pre stanovené jednotkové náklady za každú terminálnu zónu spoplatňovania, na účely stanovenia cieľov v kľúčovej oblasti výkonnosti zameranej na nákladovú efektívnosť a ktorý je posudzovaný Európskou komisiou a taktiež by musel byť </w:t>
            </w:r>
            <w:r w:rsidR="00FB78E9" w:rsidRPr="00685E55">
              <w:rPr>
                <w:sz w:val="20"/>
                <w:szCs w:val="20"/>
                <w:lang w:val="sk-SK"/>
              </w:rPr>
              <w:t xml:space="preserve">aplikovaný systém stimulov, najmä </w:t>
            </w:r>
            <w:r w:rsidR="00FB78E9" w:rsidRPr="0084657A">
              <w:rPr>
                <w:sz w:val="20"/>
                <w:szCs w:val="20"/>
                <w:lang w:val="sk-SK"/>
              </w:rPr>
              <w:t>finančných stimulov, ktoré by mohli mať vplyv na hospodárenie poskytovateľa terminálnych leteckých navigačných služieb.</w:t>
            </w:r>
          </w:p>
          <w:p w14:paraId="1476DEAE" w14:textId="77777777" w:rsidR="0035090D" w:rsidRPr="0084657A" w:rsidRDefault="0035090D" w:rsidP="00685E55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  <w:p w14:paraId="6D7EB40F" w14:textId="77777777" w:rsidR="0084657A" w:rsidRPr="0084657A" w:rsidRDefault="0084657A" w:rsidP="0084657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 w:rsidRPr="0084657A">
              <w:rPr>
                <w:rFonts w:ascii="Times" w:hAnsi="Times" w:cs="Times"/>
                <w:sz w:val="20"/>
                <w:szCs w:val="20"/>
                <w:lang w:val="sk-SK"/>
              </w:rPr>
              <w:t xml:space="preserve">Z pohľadu porovnania určenia terminálnej jednotkovej sadzby a následného výpočtu terminálnej odplaty podľa vykonávacieho nariadenia (EÚ) 2019/317 a určenia terminálnej jednotkovej sadzby a následného výpočtu terminálnej odplaty podľa návrhu nariadenia vlády </w:t>
            </w:r>
            <w:r w:rsidRPr="0084657A">
              <w:rPr>
                <w:sz w:val="20"/>
                <w:szCs w:val="20"/>
                <w:lang w:val="sk-SK"/>
              </w:rPr>
              <w:t xml:space="preserve">Slovenskej republiky </w:t>
            </w:r>
            <w:r w:rsidRPr="0084657A">
              <w:rPr>
                <w:rFonts w:ascii="Times" w:hAnsi="Times" w:cs="Times"/>
                <w:sz w:val="20"/>
                <w:szCs w:val="20"/>
                <w:lang w:val="sk-SK"/>
              </w:rPr>
              <w:t xml:space="preserve">- variant č. 2 určenia terminálnej jednotkovej sadzby a výpočtu terminálnej odplaty, možno vo všeobecnosti predpokladať, že z matematického pohľadu výpočet terminálnej odplaty </w:t>
            </w:r>
            <w:r w:rsidRPr="0084657A">
              <w:rPr>
                <w:sz w:val="20"/>
                <w:szCs w:val="20"/>
                <w:lang w:val="sk-SK"/>
              </w:rPr>
              <w:t>za konkrétny let v konkrétnej terminálnej zóne spoplatňovania ako súčin terminálnej jednotkovej sadzby určenej pre danú terminálnu zónu spoplatňovania a počtu metrických ton MTOW najlepšie zohľadňuje schopnosť prevádzkovateľa lietadla alebo leteckého prevádzkovateľa alebo leteckého dopravcu prevádzkujúceho lietadlo s MTOW nižšou ako 50 t uhrádzať terminálne odplaty, keďže vo všeobecnosti možno predpokladať, že lietadlá s vyššou maximálnou osvedčenou vzletovou hmotnosťou sú prevádzkované osobami, ktoré majú lepšie finančné možnosti. Do kategórie lietadiel s MTOW do 50 t možno zahrnúť väčšinu všeobecného letectva, ktorá je na zmenu výšky terminálnej jednotkovej sadzby a následne vypočítanej terminálnej odplaty najcitlivejšia.</w:t>
            </w:r>
          </w:p>
          <w:p w14:paraId="30CEA5AD" w14:textId="77777777" w:rsidR="0084657A" w:rsidRPr="0084657A" w:rsidRDefault="0084657A" w:rsidP="0084657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 w:rsidRPr="0084657A">
              <w:rPr>
                <w:sz w:val="20"/>
                <w:szCs w:val="20"/>
                <w:lang w:val="sk-SK"/>
              </w:rPr>
              <w:t xml:space="preserve">S ohľadom na druh obchodnej leteckej dopravy vykonávanej je pre letiská, z ktorého sa vykonáva pravidelná obchodná letecká doprava letúnmi s MTOW viac ako 50 t je stanovený samostatný vzorec výpočtu - </w:t>
            </w:r>
            <w:r w:rsidRPr="0084657A">
              <w:rPr>
                <w:rFonts w:ascii="Times" w:hAnsi="Times" w:cs="Times"/>
                <w:sz w:val="20"/>
                <w:szCs w:val="20"/>
                <w:lang w:val="sk-SK"/>
              </w:rPr>
              <w:t>variant č. 3 určenia terminálnej jednotkovej sadzby a výpočtu terminálnej odplaty</w:t>
            </w:r>
            <w:r w:rsidRPr="0084657A">
              <w:rPr>
                <w:sz w:val="20"/>
                <w:szCs w:val="20"/>
                <w:lang w:val="sk-SK"/>
              </w:rPr>
              <w:t>.</w:t>
            </w:r>
          </w:p>
          <w:p w14:paraId="5B82F79D" w14:textId="77777777" w:rsidR="003338AD" w:rsidRPr="0084657A" w:rsidRDefault="003338AD" w:rsidP="00685E55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5CBF6305" w14:textId="3437AE36" w:rsidR="00845470" w:rsidRPr="0084657A" w:rsidRDefault="00FB78E9" w:rsidP="0084547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 w:rsidRPr="0084657A">
              <w:rPr>
                <w:sz w:val="20"/>
                <w:szCs w:val="20"/>
                <w:lang w:val="sk-SK"/>
              </w:rPr>
              <w:t xml:space="preserve">Keďže náklady na poskytovanie terminálnych leteckých navigačných služieb v príslušnej terminálnej zóne spoplatňovania sa stanovujú na celé referenčné obdobie na jednotlivé roky samostatne podľa príslušných zásad, používatelia vzdušného priestoru vopred vedia, aká je </w:t>
            </w:r>
            <w:r w:rsidR="00B70258" w:rsidRPr="0084657A">
              <w:rPr>
                <w:sz w:val="20"/>
                <w:szCs w:val="20"/>
                <w:lang w:val="sk-SK"/>
              </w:rPr>
              <w:t xml:space="preserve">približná </w:t>
            </w:r>
            <w:r w:rsidRPr="0084657A">
              <w:rPr>
                <w:sz w:val="20"/>
                <w:szCs w:val="20"/>
                <w:lang w:val="sk-SK"/>
              </w:rPr>
              <w:t>výška terminálnej jednotkovej sadzby</w:t>
            </w:r>
            <w:r w:rsidR="00B70258" w:rsidRPr="0084657A">
              <w:rPr>
                <w:sz w:val="20"/>
                <w:szCs w:val="20"/>
                <w:lang w:val="sk-SK"/>
              </w:rPr>
              <w:t>, avšak</w:t>
            </w:r>
            <w:r w:rsidRPr="0084657A">
              <w:rPr>
                <w:sz w:val="20"/>
                <w:szCs w:val="20"/>
                <w:lang w:val="sk-SK"/>
              </w:rPr>
              <w:t xml:space="preserve"> </w:t>
            </w:r>
            <w:r w:rsidR="00B70258" w:rsidRPr="0084657A">
              <w:rPr>
                <w:sz w:val="20"/>
                <w:szCs w:val="20"/>
                <w:lang w:val="sk-SK"/>
              </w:rPr>
              <w:t xml:space="preserve">bez úprav v súlade s mechanizmom zdieľania rizika, </w:t>
            </w:r>
            <w:r w:rsidRPr="0084657A">
              <w:rPr>
                <w:sz w:val="20"/>
                <w:szCs w:val="20"/>
                <w:lang w:val="sk-SK"/>
              </w:rPr>
              <w:t xml:space="preserve">a následne vedia vypočítať </w:t>
            </w:r>
            <w:r w:rsidR="003338AD" w:rsidRPr="0084657A">
              <w:rPr>
                <w:sz w:val="20"/>
                <w:szCs w:val="20"/>
                <w:lang w:val="sk-SK"/>
              </w:rPr>
              <w:t xml:space="preserve">približnú </w:t>
            </w:r>
            <w:r w:rsidRPr="0084657A">
              <w:rPr>
                <w:sz w:val="20"/>
                <w:szCs w:val="20"/>
                <w:lang w:val="sk-SK"/>
              </w:rPr>
              <w:t>výšku terminálnej odplaty.</w:t>
            </w:r>
            <w:r w:rsidR="00397C3E" w:rsidRPr="0084657A">
              <w:rPr>
                <w:sz w:val="20"/>
                <w:szCs w:val="20"/>
                <w:lang w:val="sk-SK"/>
              </w:rPr>
              <w:t xml:space="preserve"> </w:t>
            </w:r>
          </w:p>
          <w:p w14:paraId="086D1FE2" w14:textId="77777777" w:rsidR="003338AD" w:rsidRPr="0084657A" w:rsidRDefault="003338AD" w:rsidP="0084547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7CF67B59" w14:textId="6A23D1A7" w:rsidR="00461599" w:rsidRDefault="0035090D" w:rsidP="0084547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 w:rsidRPr="0084657A">
              <w:rPr>
                <w:sz w:val="20"/>
                <w:szCs w:val="20"/>
                <w:lang w:val="sk-SK"/>
              </w:rPr>
              <w:t>O</w:t>
            </w:r>
            <w:r w:rsidR="00461599" w:rsidRPr="0084657A">
              <w:rPr>
                <w:sz w:val="20"/>
                <w:szCs w:val="20"/>
                <w:lang w:val="sk-SK"/>
              </w:rPr>
              <w:t>d roku 2008 sa terminálna jednotková sadzba v terminálnej zóne spoplatňovania, do ktorej patria Letisko Košice, Letisko Piešťany, Letisko Poprad - Tatry a Letisko Žilina</w:t>
            </w:r>
            <w:r w:rsidR="00461599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nemenila, na základe </w:t>
            </w:r>
            <w:r w:rsidR="008C31EC">
              <w:rPr>
                <w:sz w:val="20"/>
                <w:szCs w:val="20"/>
                <w:lang w:val="sk-SK"/>
              </w:rPr>
              <w:t xml:space="preserve">čoho </w:t>
            </w:r>
            <w:r w:rsidR="00461599">
              <w:rPr>
                <w:sz w:val="20"/>
                <w:szCs w:val="20"/>
                <w:lang w:val="sk-SK"/>
              </w:rPr>
              <w:t>možno predpokladať, že aj s ohľadom na zvýšené osobné náklady poskytovateľa leteckých navigačných služieb z dôvodu zmien právnych predpisov</w:t>
            </w:r>
            <w:r w:rsidR="004210E8">
              <w:rPr>
                <w:sz w:val="20"/>
                <w:szCs w:val="20"/>
                <w:lang w:val="sk-SK"/>
              </w:rPr>
              <w:t>, najmä v sociálnej oblasti</w:t>
            </w:r>
            <w:r w:rsidR="00461599">
              <w:rPr>
                <w:sz w:val="20"/>
                <w:szCs w:val="20"/>
                <w:lang w:val="sk-SK"/>
              </w:rPr>
              <w:t xml:space="preserve"> možno očakávať, že terminálna jednotková sadzba bude navýšená. Obdobná situácia sa týka aj vo vzťahu k Letisku M. R. Štefánika Bratislava a terminálnej zóny spoplatňovania, do ktorej patrí Letisko Sliač. </w:t>
            </w:r>
          </w:p>
          <w:p w14:paraId="3C2CBE97" w14:textId="77777777" w:rsidR="003338AD" w:rsidRDefault="003338AD" w:rsidP="0084547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2A5829A1" w14:textId="7B9572EF" w:rsidR="00B70258" w:rsidRDefault="00845470" w:rsidP="00B702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 ohľadom na skutočnosť, že poskytovatelia leteckých navigačných služieb v čase prípravy návrhu nariadenia vlády Slovenskej republiky stanovujú náklady a</w:t>
            </w:r>
            <w:r w:rsidR="00B70258">
              <w:rPr>
                <w:sz w:val="20"/>
                <w:szCs w:val="20"/>
                <w:lang w:val="sk-SK"/>
              </w:rPr>
              <w:t> stanovujú počet</w:t>
            </w:r>
            <w:r w:rsidR="00B70258" w:rsidRPr="00B70258">
              <w:rPr>
                <w:sz w:val="20"/>
                <w:szCs w:val="20"/>
                <w:lang w:val="sk-SK"/>
              </w:rPr>
              <w:t xml:space="preserve"> terminálnych jednotiek služieb v príslušnej terminálnej zóne spoplatňovania</w:t>
            </w:r>
            <w:r w:rsidR="00B70258">
              <w:rPr>
                <w:sz w:val="20"/>
                <w:szCs w:val="20"/>
                <w:lang w:val="sk-SK"/>
              </w:rPr>
              <w:t xml:space="preserve">, nižšie uvedené výšky terminálnej jednotkovej sadzby a následne vypočítané terminálne odplaty pre príslušné typy lietadiel predstavujú výpočty </w:t>
            </w:r>
            <w:r w:rsidR="00B70258" w:rsidRPr="0084657A">
              <w:rPr>
                <w:b/>
                <w:sz w:val="20"/>
                <w:szCs w:val="20"/>
                <w:lang w:val="sk-SK"/>
              </w:rPr>
              <w:t xml:space="preserve">na základe predbežného </w:t>
            </w:r>
            <w:r w:rsidR="003338AD" w:rsidRPr="0084657A">
              <w:rPr>
                <w:b/>
                <w:sz w:val="20"/>
                <w:szCs w:val="20"/>
                <w:lang w:val="sk-SK"/>
              </w:rPr>
              <w:t xml:space="preserve">zaokrúhleného </w:t>
            </w:r>
            <w:r w:rsidR="00252AF0">
              <w:rPr>
                <w:b/>
                <w:sz w:val="20"/>
                <w:szCs w:val="20"/>
                <w:lang w:val="sk-SK"/>
              </w:rPr>
              <w:t xml:space="preserve">expertného </w:t>
            </w:r>
            <w:r w:rsidR="00B70258" w:rsidRPr="0084657A">
              <w:rPr>
                <w:b/>
                <w:sz w:val="20"/>
                <w:szCs w:val="20"/>
                <w:lang w:val="sk-SK"/>
              </w:rPr>
              <w:t>odhadu stanovených nákladov a</w:t>
            </w:r>
            <w:r w:rsidR="00252AF0">
              <w:rPr>
                <w:b/>
                <w:sz w:val="20"/>
                <w:szCs w:val="20"/>
                <w:lang w:val="sk-SK"/>
              </w:rPr>
              <w:t> </w:t>
            </w:r>
            <w:r w:rsidR="00B70258" w:rsidRPr="0084657A">
              <w:rPr>
                <w:b/>
                <w:sz w:val="20"/>
                <w:szCs w:val="20"/>
                <w:lang w:val="sk-SK"/>
              </w:rPr>
              <w:t>počtu</w:t>
            </w:r>
            <w:r w:rsidR="00252AF0">
              <w:rPr>
                <w:b/>
                <w:sz w:val="20"/>
                <w:szCs w:val="20"/>
                <w:lang w:val="sk-SK"/>
              </w:rPr>
              <w:t xml:space="preserve"> terminálnych jednotiek služieb</w:t>
            </w:r>
            <w:r w:rsidR="00B70258" w:rsidRPr="0084657A">
              <w:rPr>
                <w:b/>
                <w:sz w:val="20"/>
                <w:szCs w:val="20"/>
                <w:lang w:val="sk-SK"/>
              </w:rPr>
              <w:t>.</w:t>
            </w:r>
            <w:r w:rsidR="003338AD" w:rsidRPr="0084657A">
              <w:rPr>
                <w:b/>
                <w:sz w:val="20"/>
                <w:szCs w:val="20"/>
                <w:lang w:val="sk-SK"/>
              </w:rPr>
              <w:t xml:space="preserve"> Uvedené údaje sú len príkladom výpočtu terminálnej odplaty</w:t>
            </w:r>
            <w:r w:rsidR="00252AF0">
              <w:rPr>
                <w:b/>
                <w:sz w:val="20"/>
                <w:szCs w:val="20"/>
                <w:lang w:val="sk-SK"/>
              </w:rPr>
              <w:t xml:space="preserve"> pre príslušný variant</w:t>
            </w:r>
            <w:r w:rsidR="003338AD" w:rsidRPr="0084657A">
              <w:rPr>
                <w:b/>
                <w:sz w:val="20"/>
                <w:szCs w:val="20"/>
                <w:lang w:val="sk-SK"/>
              </w:rPr>
              <w:t xml:space="preserve"> a nemožno ich považovať za konečné výšky, ktoré budú uplatňované od roku 2020.</w:t>
            </w:r>
            <w:r w:rsidR="0084657A" w:rsidRPr="0084657A">
              <w:rPr>
                <w:b/>
                <w:sz w:val="20"/>
                <w:szCs w:val="20"/>
                <w:lang w:val="sk-SK"/>
              </w:rPr>
              <w:t xml:space="preserve"> Presné údaje budú k dispozícii na konzultačnom stretnutí so zástupcami používateľov vzdušného priestoru.</w:t>
            </w:r>
          </w:p>
          <w:p w14:paraId="0BFFFFC0" w14:textId="77777777" w:rsidR="00B70258" w:rsidRDefault="00B70258" w:rsidP="00B702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24A1F1D4" w14:textId="7D9715E3" w:rsidR="00B70258" w:rsidRPr="0080317B" w:rsidRDefault="00E52FEC" w:rsidP="00B702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Ako príklad určenej terminálnej jednotkovej sadzby a následne vypočítanej </w:t>
            </w:r>
            <w:r w:rsidR="00274EDA">
              <w:rPr>
                <w:sz w:val="20"/>
                <w:szCs w:val="20"/>
                <w:lang w:val="sk-SK"/>
              </w:rPr>
              <w:t>terminálnej odplaty predkladateľ uvádza výpočet pre letún Boeing 737-800 s MTOW 68</w:t>
            </w:r>
            <w:r w:rsidR="00A77530">
              <w:rPr>
                <w:sz w:val="20"/>
                <w:szCs w:val="20"/>
                <w:lang w:val="sk-SK"/>
              </w:rPr>
              <w:t> </w:t>
            </w:r>
            <w:r w:rsidR="00274EDA">
              <w:rPr>
                <w:sz w:val="20"/>
                <w:szCs w:val="20"/>
                <w:lang w:val="sk-SK"/>
              </w:rPr>
              <w:t>t</w:t>
            </w:r>
            <w:r w:rsidR="00A77530">
              <w:rPr>
                <w:sz w:val="20"/>
                <w:szCs w:val="20"/>
                <w:lang w:val="sk-SK"/>
              </w:rPr>
              <w:t xml:space="preserve"> a ATR 72-500 s MTOW 22,5 t</w:t>
            </w:r>
            <w:r w:rsidR="00274EDA" w:rsidRPr="0080317B">
              <w:rPr>
                <w:sz w:val="20"/>
                <w:szCs w:val="20"/>
                <w:lang w:val="sk-SK"/>
              </w:rPr>
              <w:t xml:space="preserve">, pri zohľadnení predbežného zaokrúhleného odhadu stanovených nákladov spojených </w:t>
            </w:r>
            <w:r w:rsidR="0080317B">
              <w:rPr>
                <w:sz w:val="20"/>
                <w:szCs w:val="20"/>
                <w:lang w:val="sk-SK"/>
              </w:rPr>
              <w:t>s </w:t>
            </w:r>
            <w:r w:rsidR="00274EDA" w:rsidRPr="0080317B">
              <w:rPr>
                <w:sz w:val="20"/>
                <w:szCs w:val="20"/>
                <w:lang w:val="sk-SK"/>
              </w:rPr>
              <w:t>po</w:t>
            </w:r>
            <w:r w:rsidR="0080317B" w:rsidRPr="0080317B">
              <w:rPr>
                <w:sz w:val="20"/>
                <w:szCs w:val="20"/>
                <w:lang w:val="sk-SK"/>
              </w:rPr>
              <w:t>s</w:t>
            </w:r>
            <w:r w:rsidR="00274EDA" w:rsidRPr="0080317B">
              <w:rPr>
                <w:sz w:val="20"/>
                <w:szCs w:val="20"/>
                <w:lang w:val="sk-SK"/>
              </w:rPr>
              <w:t xml:space="preserve">kytovaním terminálnych leteckých navigačných služieb </w:t>
            </w:r>
            <w:r w:rsidR="0080317B" w:rsidRPr="0080317B">
              <w:rPr>
                <w:sz w:val="20"/>
                <w:szCs w:val="20"/>
                <w:lang w:val="sk-SK"/>
              </w:rPr>
              <w:t xml:space="preserve">na letiskách </w:t>
            </w:r>
            <w:r w:rsidR="0080317B">
              <w:rPr>
                <w:sz w:val="20"/>
                <w:szCs w:val="20"/>
                <w:lang w:val="sk-SK"/>
              </w:rPr>
              <w:t xml:space="preserve">Letisko M. R. Štefánika Bratislava, </w:t>
            </w:r>
            <w:r w:rsidR="0080317B" w:rsidRPr="0084657A">
              <w:rPr>
                <w:sz w:val="20"/>
                <w:szCs w:val="20"/>
                <w:lang w:val="sk-SK"/>
              </w:rPr>
              <w:t>Letisko Košice, Letisko Piešťany, Letisko Poprad - Tatry a Letisko Žilina</w:t>
            </w:r>
            <w:r w:rsidR="0080317B">
              <w:rPr>
                <w:sz w:val="20"/>
                <w:szCs w:val="20"/>
                <w:lang w:val="sk-SK"/>
              </w:rPr>
              <w:t xml:space="preserve"> vo výške 9,2 mil. </w:t>
            </w:r>
            <w:r w:rsidR="004711E9">
              <w:rPr>
                <w:sz w:val="20"/>
                <w:szCs w:val="20"/>
                <w:lang w:val="sk-SK"/>
              </w:rPr>
              <w:t>€</w:t>
            </w:r>
            <w:r w:rsidR="0080317B">
              <w:rPr>
                <w:sz w:val="20"/>
                <w:szCs w:val="20"/>
                <w:lang w:val="sk-SK"/>
              </w:rPr>
              <w:t xml:space="preserve">, celkového stanoveného počtu terminálnych jednotiek služieb vo vzťahu k letiskám Letisko M. R. Štefánika Bratislava, </w:t>
            </w:r>
            <w:r w:rsidR="0080317B" w:rsidRPr="0084657A">
              <w:rPr>
                <w:sz w:val="20"/>
                <w:szCs w:val="20"/>
                <w:lang w:val="sk-SK"/>
              </w:rPr>
              <w:t>Letisko Košice, Letisko Piešťany, Letisko Poprad - Tatry a Letisko Žilina</w:t>
            </w:r>
            <w:r w:rsidR="0080317B">
              <w:rPr>
                <w:sz w:val="20"/>
                <w:szCs w:val="20"/>
                <w:lang w:val="sk-SK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  <w:lang w:val="sk-SK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sk-SK"/>
                    </w:rPr>
                    <m:t>MTOW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sk-SK"/>
                </w:rPr>
                <m:t>=910 000 t</m:t>
              </m:r>
            </m:oMath>
            <w:r w:rsidR="0080317B">
              <w:rPr>
                <w:sz w:val="20"/>
                <w:szCs w:val="20"/>
                <w:lang w:val="sk-SK"/>
              </w:rPr>
              <w:t xml:space="preserve">, činiteľ hmotnosti všetkých lietadiel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  <m:t xml:space="preserve"> 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MTOW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50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0,5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 xml:space="preserve"> =18 500</m:t>
                      </m:r>
                    </m:e>
                  </m:nary>
                </m:e>
              </m:nary>
            </m:oMath>
            <w:r w:rsidR="0080317B">
              <w:rPr>
                <w:sz w:val="20"/>
                <w:szCs w:val="20"/>
                <w:lang w:val="sk-SK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  <m:t xml:space="preserve"> 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MTOW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50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0,7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 xml:space="preserve"> =18 000</m:t>
                      </m:r>
                    </m:e>
                  </m:nary>
                </m:e>
              </m:nary>
            </m:oMath>
            <w:r w:rsidR="0080317B">
              <w:rPr>
                <w:sz w:val="20"/>
                <w:szCs w:val="20"/>
                <w:lang w:val="sk-SK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sk-SK"/>
                    </w:rPr>
                    <m:t xml:space="preserve"> 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MTOW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sk-SK"/>
                                </w:rPr>
                                <m:t>50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sk-SK"/>
                            </w:rPr>
                            <m:t>0,9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sk-SK"/>
                        </w:rPr>
                        <m:t xml:space="preserve"> =18 100</m:t>
                      </m:r>
                    </m:e>
                  </m:nary>
                </m:e>
              </m:nary>
            </m:oMath>
            <w:r w:rsidR="0080317B">
              <w:rPr>
                <w:sz w:val="20"/>
                <w:szCs w:val="20"/>
                <w:lang w:val="sk-SK"/>
              </w:rPr>
              <w:t>.</w:t>
            </w:r>
          </w:p>
          <w:p w14:paraId="5853714F" w14:textId="77777777" w:rsidR="00B70258" w:rsidRDefault="00B70258" w:rsidP="00B702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3427"/>
              <w:gridCol w:w="1701"/>
              <w:gridCol w:w="1701"/>
            </w:tblGrid>
            <w:tr w:rsidR="00E24F7B" w:rsidRPr="00315BAA" w14:paraId="1F02F289" w14:textId="63305EDB" w:rsidTr="00A632E6">
              <w:trPr>
                <w:cantSplit/>
                <w:trHeight w:val="376"/>
                <w:jc w:val="center"/>
              </w:trPr>
              <w:tc>
                <w:tcPr>
                  <w:tcW w:w="2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4777" w14:textId="23557028" w:rsidR="00E24F7B" w:rsidRPr="00315BAA" w:rsidRDefault="00E24F7B" w:rsidP="00A775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52FEC">
                    <w:rPr>
                      <w:i/>
                      <w:iCs/>
                      <w:color w:val="000000"/>
                    </w:rPr>
                    <w:t xml:space="preserve">variant </w:t>
                  </w:r>
                  <w:r>
                    <w:rPr>
                      <w:i/>
                      <w:iCs/>
                      <w:color w:val="000000"/>
                    </w:rPr>
                    <w:t>určenia</w:t>
                  </w:r>
                  <w:r w:rsidRPr="00E52FEC">
                    <w:rPr>
                      <w:i/>
                      <w:iCs/>
                      <w:color w:val="000000"/>
                    </w:rPr>
                    <w:t xml:space="preserve"> terminálnej jednotkovej sadzby</w:t>
                  </w:r>
                  <w:r>
                    <w:rPr>
                      <w:i/>
                      <w:iCs/>
                      <w:color w:val="000000"/>
                    </w:rPr>
                    <w:t xml:space="preserve"> a výpočtu terminálnej odplaty</w:t>
                  </w:r>
                </w:p>
              </w:tc>
              <w:tc>
                <w:tcPr>
                  <w:tcW w:w="3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06F6E" w14:textId="7B910BC1" w:rsidR="00E24F7B" w:rsidRPr="00E52FEC" w:rsidRDefault="00E24F7B" w:rsidP="00A77530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3EF4B" w14:textId="3B2F0F9F" w:rsidR="00E24F7B" w:rsidRPr="00E52FEC" w:rsidRDefault="00E24F7B" w:rsidP="00A775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52FEC">
                    <w:rPr>
                      <w:i/>
                      <w:iCs/>
                      <w:color w:val="000000"/>
                    </w:rPr>
                    <w:t>variant terminálnej zóny spoplatňovania</w:t>
                  </w:r>
                </w:p>
              </w:tc>
            </w:tr>
            <w:tr w:rsidR="00E24F7B" w:rsidRPr="00E52FEC" w14:paraId="6A34FE11" w14:textId="7EEFF41F" w:rsidTr="00A632E6">
              <w:trPr>
                <w:cantSplit/>
                <w:trHeight w:val="377"/>
                <w:jc w:val="center"/>
              </w:trPr>
              <w:tc>
                <w:tcPr>
                  <w:tcW w:w="2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F3129" w14:textId="77777777" w:rsidR="00E24F7B" w:rsidRPr="00315BAA" w:rsidRDefault="00E24F7B" w:rsidP="00A775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DBEFE" w14:textId="77777777" w:rsidR="00E24F7B" w:rsidRPr="00E52FEC" w:rsidRDefault="00E24F7B" w:rsidP="00A77530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4E55" w14:textId="6E2BB943" w:rsidR="00E24F7B" w:rsidRPr="00A77530" w:rsidRDefault="00E24F7B" w:rsidP="00A775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A77530">
                    <w:rPr>
                      <w:bCs/>
                      <w:i/>
                      <w:color w:val="000000"/>
                    </w:rPr>
                    <w:t xml:space="preserve">3 - </w:t>
                  </w:r>
                  <w:r w:rsidRPr="00E52FEC">
                    <w:rPr>
                      <w:bCs/>
                      <w:i/>
                      <w:color w:val="000000"/>
                    </w:rPr>
                    <w:t>LZIB, LZKZ, LZTT</w:t>
                  </w:r>
                </w:p>
              </w:tc>
            </w:tr>
            <w:tr w:rsidR="00A632E6" w:rsidRPr="00E52FEC" w14:paraId="4279466D" w14:textId="77777777" w:rsidTr="00A632E6">
              <w:trPr>
                <w:trHeight w:val="377"/>
                <w:jc w:val="center"/>
              </w:trPr>
              <w:tc>
                <w:tcPr>
                  <w:tcW w:w="2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D4E44" w14:textId="77777777" w:rsidR="00E24F7B" w:rsidRPr="00E52FEC" w:rsidRDefault="00E24F7B" w:rsidP="00A775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04305" w14:textId="77777777" w:rsidR="00E24F7B" w:rsidRPr="00E52FEC" w:rsidRDefault="00E24F7B" w:rsidP="00A775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7F920" w14:textId="067CF655" w:rsidR="00E24F7B" w:rsidRPr="00E52FEC" w:rsidRDefault="00E24F7B" w:rsidP="00A77530">
                  <w:pPr>
                    <w:jc w:val="center"/>
                    <w:rPr>
                      <w:color w:val="000000"/>
                    </w:rPr>
                  </w:pPr>
                  <w:r w:rsidRPr="00A77530">
                    <w:rPr>
                      <w:iCs/>
                      <w:color w:val="000000"/>
                    </w:rPr>
                    <w:t>MTOW = 68 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D0016" w14:textId="5B7603FB" w:rsidR="00E24F7B" w:rsidRPr="00E52FEC" w:rsidRDefault="00E24F7B" w:rsidP="00A77530">
                  <w:pPr>
                    <w:jc w:val="center"/>
                    <w:rPr>
                      <w:color w:val="000000"/>
                    </w:rPr>
                  </w:pPr>
                  <w:r w:rsidRPr="00A77530">
                    <w:rPr>
                      <w:iCs/>
                      <w:color w:val="000000"/>
                    </w:rPr>
                    <w:t xml:space="preserve">MTOW = </w:t>
                  </w:r>
                  <w:r>
                    <w:rPr>
                      <w:iCs/>
                      <w:color w:val="000000"/>
                    </w:rPr>
                    <w:t>22,5</w:t>
                  </w:r>
                  <w:r w:rsidRPr="00A77530">
                    <w:rPr>
                      <w:iCs/>
                      <w:color w:val="000000"/>
                    </w:rPr>
                    <w:t xml:space="preserve"> t</w:t>
                  </w:r>
                </w:p>
              </w:tc>
            </w:tr>
            <w:tr w:rsidR="00A632E6" w:rsidRPr="00A77530" w14:paraId="4C85638D" w14:textId="6D4B037E" w:rsidTr="001038E8">
              <w:trPr>
                <w:trHeight w:val="315"/>
                <w:jc w:val="center"/>
              </w:trPr>
              <w:tc>
                <w:tcPr>
                  <w:tcW w:w="2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3D3E1" w14:textId="77777777" w:rsidR="00A77530" w:rsidRPr="00E52FEC" w:rsidRDefault="00A77530" w:rsidP="00A77530">
                  <w:pPr>
                    <w:jc w:val="center"/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42253" w14:textId="77777777" w:rsidR="00A77530" w:rsidRPr="00E52FEC" w:rsidRDefault="00A77530" w:rsidP="00A77530">
                  <w:pPr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terminálna jednotková sadzba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59DD9" w14:textId="77777777" w:rsidR="00A77530" w:rsidRPr="00E52FEC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9,05 €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1F933" w14:textId="5B544660" w:rsidR="00A77530" w:rsidRPr="00A7753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315BAA">
                    <w:rPr>
                      <w:color w:val="000000"/>
                    </w:rPr>
                    <w:t>9,05 €</w:t>
                  </w:r>
                </w:p>
              </w:tc>
            </w:tr>
            <w:tr w:rsidR="001038E8" w:rsidRPr="00A77530" w14:paraId="44E5E0E6" w14:textId="1F520042" w:rsidTr="001038E8">
              <w:trPr>
                <w:cantSplit/>
                <w:trHeight w:val="737"/>
                <w:jc w:val="center"/>
              </w:trPr>
              <w:tc>
                <w:tcPr>
                  <w:tcW w:w="2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8EA45" w14:textId="77777777" w:rsidR="00E85432" w:rsidRPr="00E52FEC" w:rsidRDefault="00E85432" w:rsidP="00A775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02EEF" w14:textId="49745659" w:rsidR="00E85432" w:rsidRPr="00A632E6" w:rsidRDefault="00252AF0" w:rsidP="00E8543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terminálna odplata= term. jedn.sadzba ×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MTOW</m:t>
                      </m:r>
                    </m:oMath>
                  </m:oMathPara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566CE" w14:textId="77777777" w:rsidR="00E85432" w:rsidRPr="00252AF0" w:rsidRDefault="00E85432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615,56 €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98A7" w14:textId="4B1CC098" w:rsidR="00E85432" w:rsidRPr="00252AF0" w:rsidRDefault="00E85432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203,68 €</w:t>
                  </w:r>
                </w:p>
              </w:tc>
            </w:tr>
            <w:tr w:rsidR="00A632E6" w:rsidRPr="00A77530" w14:paraId="03978B35" w14:textId="0D43D430" w:rsidTr="001038E8">
              <w:trPr>
                <w:trHeight w:val="315"/>
                <w:jc w:val="center"/>
              </w:trPr>
              <w:tc>
                <w:tcPr>
                  <w:tcW w:w="2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72829" w14:textId="77777777" w:rsidR="00A77530" w:rsidRPr="00E52FEC" w:rsidRDefault="00A77530" w:rsidP="00A77530">
                  <w:pPr>
                    <w:jc w:val="center"/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C88FB" w14:textId="77777777" w:rsidR="00A77530" w:rsidRPr="00E52FEC" w:rsidRDefault="00A77530" w:rsidP="00A77530">
                  <w:pPr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terminálna jednotková sadzba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FE817" w14:textId="77777777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458,76 €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FF62C" w14:textId="29155A64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458,76 €</w:t>
                  </w:r>
                </w:p>
              </w:tc>
            </w:tr>
            <w:tr w:rsidR="00E85432" w:rsidRPr="00A77530" w14:paraId="3F8F753D" w14:textId="1103F3CB" w:rsidTr="001038E8">
              <w:trPr>
                <w:cantSplit/>
                <w:trHeight w:val="737"/>
                <w:jc w:val="center"/>
              </w:trPr>
              <w:tc>
                <w:tcPr>
                  <w:tcW w:w="2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4235A" w14:textId="77777777" w:rsidR="00E85432" w:rsidRPr="00E52FEC" w:rsidRDefault="00E85432" w:rsidP="00A775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D2F40" w14:textId="5F89B038" w:rsidR="00E85432" w:rsidRPr="00A632E6" w:rsidRDefault="00252AF0" w:rsidP="00E8543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terminálna odplata=term. jedn.sadzba </m:t>
                      </m:r>
                      <m:r>
                        <w:rPr>
                          <w:rFonts w:ascii="Cambria Math" w:eastAsia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× 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MTOW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65F91" w:themeColor="accent1" w:themeShade="BF"/>
                              <w:sz w:val="16"/>
                              <w:szCs w:val="16"/>
                            </w:rPr>
                            <m:t>0,5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A983F" w14:textId="77777777" w:rsidR="00E85432" w:rsidRPr="00252AF0" w:rsidRDefault="00E85432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535,00 €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C6552" w14:textId="333979A2" w:rsidR="00E85432" w:rsidRPr="00252AF0" w:rsidRDefault="00E85432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307,74 €</w:t>
                  </w:r>
                </w:p>
              </w:tc>
            </w:tr>
            <w:tr w:rsidR="00A632E6" w:rsidRPr="00A77530" w14:paraId="1D579AB3" w14:textId="29CF005B" w:rsidTr="001038E8">
              <w:trPr>
                <w:trHeight w:val="315"/>
                <w:jc w:val="center"/>
              </w:trPr>
              <w:tc>
                <w:tcPr>
                  <w:tcW w:w="2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3F1EF" w14:textId="77777777" w:rsidR="00A77530" w:rsidRPr="00E52FEC" w:rsidRDefault="00A77530" w:rsidP="00A77530">
                  <w:pPr>
                    <w:jc w:val="center"/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520D0" w14:textId="77777777" w:rsidR="00A77530" w:rsidRPr="00E52FEC" w:rsidRDefault="00A77530" w:rsidP="00A77530">
                  <w:pPr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terminálna jednotková sadzba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8DE0" w14:textId="77777777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465,33 €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D79C1" w14:textId="3EFC0462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465,33 €</w:t>
                  </w:r>
                </w:p>
              </w:tc>
            </w:tr>
            <w:tr w:rsidR="00A632E6" w:rsidRPr="00A77530" w14:paraId="5888A8D0" w14:textId="08449AA9" w:rsidTr="001038E8">
              <w:trPr>
                <w:cantSplit/>
                <w:trHeight w:val="737"/>
                <w:jc w:val="center"/>
              </w:trPr>
              <w:tc>
                <w:tcPr>
                  <w:tcW w:w="2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69414" w14:textId="77777777" w:rsidR="00A632E6" w:rsidRPr="00E52FEC" w:rsidRDefault="00A632E6" w:rsidP="00A775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B8EF1" w14:textId="0383E8BF" w:rsidR="00A632E6" w:rsidRPr="00E52FEC" w:rsidRDefault="00252AF0" w:rsidP="00A632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terminálna odplata=term. jedn.sadzba </m:t>
                      </m:r>
                      <m:r>
                        <w:rPr>
                          <w:rFonts w:ascii="Cambria Math" w:eastAsia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× 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MTOW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65F91" w:themeColor="accent1" w:themeShade="BF"/>
                              <w:sz w:val="16"/>
                              <w:szCs w:val="16"/>
                            </w:rPr>
                            <m:t>0,7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79EED" w14:textId="77777777" w:rsidR="00A632E6" w:rsidRPr="00252AF0" w:rsidRDefault="00A632E6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577,08 €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E0C0D" w14:textId="6540F6D8" w:rsidR="00A632E6" w:rsidRPr="00252AF0" w:rsidRDefault="00A632E6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266,08 €</w:t>
                  </w:r>
                </w:p>
              </w:tc>
            </w:tr>
            <w:tr w:rsidR="00A632E6" w:rsidRPr="00A77530" w14:paraId="3FBFEA36" w14:textId="175E83DE" w:rsidTr="001038E8">
              <w:trPr>
                <w:trHeight w:val="315"/>
                <w:jc w:val="center"/>
              </w:trPr>
              <w:tc>
                <w:tcPr>
                  <w:tcW w:w="20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2FE24" w14:textId="77777777" w:rsidR="00A77530" w:rsidRPr="00E52FEC" w:rsidRDefault="00A77530" w:rsidP="00A77530">
                  <w:pPr>
                    <w:jc w:val="center"/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C52A3" w14:textId="77777777" w:rsidR="00A77530" w:rsidRPr="00E52FEC" w:rsidRDefault="00A77530" w:rsidP="00A77530">
                  <w:pPr>
                    <w:rPr>
                      <w:color w:val="000000"/>
                    </w:rPr>
                  </w:pPr>
                  <w:r w:rsidRPr="00E52FEC">
                    <w:rPr>
                      <w:color w:val="000000"/>
                    </w:rPr>
                    <w:t>terminálna jednotková sadzba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B33D3" w14:textId="77777777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461,36 €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59439" w14:textId="084AB51B" w:rsidR="00A77530" w:rsidRPr="00252AF0" w:rsidRDefault="00A77530" w:rsidP="00A77530">
                  <w:pPr>
                    <w:jc w:val="right"/>
                    <w:rPr>
                      <w:color w:val="000000"/>
                    </w:rPr>
                  </w:pPr>
                  <w:r w:rsidRPr="00252AF0">
                    <w:rPr>
                      <w:color w:val="000000"/>
                    </w:rPr>
                    <w:t>461,36 €</w:t>
                  </w:r>
                </w:p>
              </w:tc>
            </w:tr>
            <w:tr w:rsidR="00A632E6" w:rsidRPr="00A77530" w14:paraId="1030A9C6" w14:textId="2B440781" w:rsidTr="001038E8">
              <w:trPr>
                <w:cantSplit/>
                <w:trHeight w:val="737"/>
                <w:jc w:val="center"/>
              </w:trPr>
              <w:tc>
                <w:tcPr>
                  <w:tcW w:w="20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8FB2D" w14:textId="77777777" w:rsidR="00A632E6" w:rsidRPr="00E52FEC" w:rsidRDefault="00A632E6" w:rsidP="00A775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8B3DA" w14:textId="7929E66B" w:rsidR="00A632E6" w:rsidRPr="00E52FEC" w:rsidRDefault="00252AF0" w:rsidP="001038E8">
                  <w:pPr>
                    <w:rPr>
                      <w:b/>
                      <w:bCs/>
                      <w:color w:val="00000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terminálna odplata= term. jedn.sadzba </m:t>
                      </m:r>
                      <m:r>
                        <w:rPr>
                          <w:rFonts w:ascii="Cambria Math" w:eastAsia="Cambria Math" w:hAnsi="Cambria Math"/>
                          <w:color w:val="365F91" w:themeColor="accent1" w:themeShade="BF"/>
                          <w:sz w:val="16"/>
                          <w:szCs w:val="16"/>
                        </w:rPr>
                        <m:t>× 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MTOW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m:t>50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65F91" w:themeColor="accent1" w:themeShade="BF"/>
                              <w:sz w:val="16"/>
                              <w:szCs w:val="16"/>
                            </w:rPr>
                            <m:t>0,9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8AF79" w14:textId="77777777" w:rsidR="00A632E6" w:rsidRPr="00252AF0" w:rsidRDefault="00A632E6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608,45 €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AD90" w14:textId="35129138" w:rsidR="00A632E6" w:rsidRPr="00252AF0" w:rsidRDefault="00A632E6" w:rsidP="00A77530">
                  <w:pPr>
                    <w:jc w:val="right"/>
                    <w:rPr>
                      <w:bCs/>
                      <w:color w:val="000000"/>
                    </w:rPr>
                  </w:pPr>
                  <w:r w:rsidRPr="00252AF0">
                    <w:rPr>
                      <w:bCs/>
                      <w:color w:val="000000"/>
                    </w:rPr>
                    <w:t>224,87 €</w:t>
                  </w:r>
                </w:p>
              </w:tc>
            </w:tr>
          </w:tbl>
          <w:p w14:paraId="07889740" w14:textId="0E23AC59" w:rsidR="00E52FEC" w:rsidRDefault="00252AF0" w:rsidP="00B70258">
            <w:pPr>
              <w:pStyle w:val="Normlnywebov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Pozn.: LZIB – Letisko M.R. Štefánika Bratislava, LZKZ – Letisko Košice, LZTT – </w:t>
            </w:r>
            <w:r>
              <w:rPr>
                <w:iCs/>
                <w:sz w:val="20"/>
                <w:szCs w:val="20"/>
                <w:lang w:val="sk-SK"/>
              </w:rPr>
              <w:t>Letisko Poprad – Tatry</w:t>
            </w:r>
          </w:p>
          <w:p w14:paraId="269B8D90" w14:textId="77777777" w:rsidR="00252AF0" w:rsidRDefault="00252AF0" w:rsidP="00B702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lang w:val="sk-SK"/>
              </w:rPr>
            </w:pPr>
          </w:p>
          <w:p w14:paraId="450ED6D0" w14:textId="11B31387" w:rsidR="00A77530" w:rsidRDefault="00A77530" w:rsidP="00B70258">
            <w:pPr>
              <w:pStyle w:val="Normlnywebov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 ohľadom na vyššie uvedené možno konštatovať, že použitím variantu č. 3 </w:t>
            </w:r>
            <w:r w:rsidRPr="00A77530">
              <w:rPr>
                <w:iCs/>
                <w:sz w:val="20"/>
                <w:szCs w:val="20"/>
                <w:lang w:val="sk-SK"/>
              </w:rPr>
              <w:t>určenia terminálnej jednotkovej sadzby a výpočtu terminálnej odplaty</w:t>
            </w:r>
            <w:r>
              <w:rPr>
                <w:iCs/>
                <w:sz w:val="20"/>
                <w:szCs w:val="20"/>
                <w:lang w:val="sk-SK"/>
              </w:rPr>
              <w:t xml:space="preserve"> a </w:t>
            </w:r>
            <w:r w:rsidRPr="00A77530">
              <w:rPr>
                <w:iCs/>
                <w:sz w:val="20"/>
                <w:szCs w:val="20"/>
                <w:lang w:val="sk-SK"/>
              </w:rPr>
              <w:t>variantu č. 3</w:t>
            </w:r>
            <w:r w:rsidRPr="00A77530">
              <w:rPr>
                <w:rFonts w:eastAsia="Times New Roman"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A77530">
              <w:rPr>
                <w:iCs/>
                <w:sz w:val="20"/>
                <w:szCs w:val="20"/>
                <w:lang w:val="sk-SK"/>
              </w:rPr>
              <w:t>terminálnej zóny spoplatňovania</w:t>
            </w:r>
            <w:r>
              <w:rPr>
                <w:iCs/>
                <w:sz w:val="20"/>
                <w:szCs w:val="20"/>
                <w:lang w:val="sk-SK"/>
              </w:rPr>
              <w:t xml:space="preserve"> by za poskytnuté terminálne letecké navigačné služby na Letisku M. R. Štefánika Bratislava, Letisku Košice alebo Letisko Poprad </w:t>
            </w:r>
            <w:r w:rsidR="000C6016">
              <w:rPr>
                <w:iCs/>
                <w:sz w:val="20"/>
                <w:szCs w:val="20"/>
                <w:lang w:val="sk-SK"/>
              </w:rPr>
              <w:t>- </w:t>
            </w:r>
            <w:r>
              <w:rPr>
                <w:iCs/>
                <w:sz w:val="20"/>
                <w:szCs w:val="20"/>
                <w:lang w:val="sk-SK"/>
              </w:rPr>
              <w:t>Tatry</w:t>
            </w:r>
            <w:r w:rsidR="004711E9">
              <w:rPr>
                <w:iCs/>
                <w:sz w:val="20"/>
                <w:szCs w:val="20"/>
                <w:lang w:val="sk-SK"/>
              </w:rPr>
              <w:t xml:space="preserve"> prevádzkovateľ lietadla Boeing 737-800 zaplatil</w:t>
            </w:r>
            <w:r>
              <w:rPr>
                <w:iCs/>
                <w:sz w:val="20"/>
                <w:szCs w:val="20"/>
                <w:lang w:val="sk-SK"/>
              </w:rPr>
              <w:t xml:space="preserve"> terminálnu odplatu </w:t>
            </w:r>
            <w:r w:rsidR="004711E9">
              <w:rPr>
                <w:iCs/>
                <w:sz w:val="20"/>
                <w:szCs w:val="20"/>
                <w:lang w:val="sk-SK"/>
              </w:rPr>
              <w:t>približne 535 € a prevádzkovateľ lietadla ATR 72-500 terminálnu odplatu približne 204 €.</w:t>
            </w:r>
          </w:p>
          <w:p w14:paraId="73B29734" w14:textId="2168B81F" w:rsidR="00B70258" w:rsidRPr="00397C3E" w:rsidRDefault="00B70258" w:rsidP="004711E9">
            <w:pPr>
              <w:pStyle w:val="Normlnywebov"/>
              <w:spacing w:before="0" w:beforeAutospacing="0" w:after="0" w:afterAutospacing="0"/>
              <w:jc w:val="both"/>
              <w:rPr>
                <w:lang w:val="sk-SK"/>
              </w:rPr>
            </w:pPr>
          </w:p>
        </w:tc>
      </w:tr>
      <w:tr w:rsidR="00D90220" w:rsidRPr="00397C3E" w14:paraId="6007695F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6051659A" w14:textId="77777777" w:rsidR="00D90220" w:rsidRPr="00397C3E" w:rsidRDefault="00D90220" w:rsidP="00A25E5F">
            <w:pPr>
              <w:jc w:val="both"/>
              <w:rPr>
                <w:b/>
                <w:i/>
              </w:rPr>
            </w:pPr>
            <w:r w:rsidRPr="00397C3E">
              <w:rPr>
                <w:b/>
                <w:i/>
              </w:rPr>
              <w:lastRenderedPageBreak/>
              <w:t>3.3.2 Nepriame finančné náklady</w:t>
            </w:r>
          </w:p>
          <w:p w14:paraId="2DB3A681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90220" w:rsidRPr="00397C3E" w14:paraId="2C047C74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78A022D3" w14:textId="77777777" w:rsidR="00D4467A" w:rsidRPr="00397C3E" w:rsidRDefault="00D4467A" w:rsidP="00CC252A">
            <w:pPr>
              <w:jc w:val="both"/>
            </w:pPr>
          </w:p>
          <w:p w14:paraId="713D678C" w14:textId="63ADD34D" w:rsidR="005F5200" w:rsidRDefault="00D16646" w:rsidP="00DB5314">
            <w:pPr>
              <w:jc w:val="both"/>
            </w:pPr>
            <w:r w:rsidRPr="00397C3E">
              <w:t xml:space="preserve">Návrhom </w:t>
            </w:r>
            <w:r w:rsidR="000C4198" w:rsidRPr="00397C3E">
              <w:t xml:space="preserve">nariadenia vlády </w:t>
            </w:r>
            <w:r w:rsidR="003E6516" w:rsidRPr="00397C3E">
              <w:t xml:space="preserve">Slovenskej republiky </w:t>
            </w:r>
            <w:r w:rsidRPr="00397C3E">
              <w:t>nedochádza k dodatočným nákladom na nákup tovarov a služieb a</w:t>
            </w:r>
            <w:r w:rsidR="00CC252A" w:rsidRPr="00397C3E">
              <w:t> </w:t>
            </w:r>
            <w:r w:rsidRPr="00397C3E">
              <w:t>nezvyšuje ani nároky na zamestnanosť.</w:t>
            </w:r>
            <w:r w:rsidR="00DB5314" w:rsidRPr="00397C3E">
              <w:t xml:space="preserve"> Terminálna odplata je uhrádzaná používateľmi vzdušného priestoru aj v súčasnosti a návrh nariadenia vlády Slovenskej republiky predstavuje „národnú metodiku“ stanovenia terminálnej jednotkovej sadzby a výpočtu terminálnej odplaty.</w:t>
            </w:r>
          </w:p>
          <w:p w14:paraId="1E90171A" w14:textId="77777777" w:rsidR="000B621E" w:rsidRPr="00397C3E" w:rsidRDefault="000B621E" w:rsidP="00DB5314">
            <w:pPr>
              <w:jc w:val="both"/>
            </w:pPr>
          </w:p>
          <w:p w14:paraId="5FD4B3C0" w14:textId="77777777" w:rsidR="00FB78E9" w:rsidRDefault="00FB78E9" w:rsidP="005D2253">
            <w:pPr>
              <w:jc w:val="both"/>
            </w:pPr>
            <w:r w:rsidRPr="00397C3E">
              <w:t>Aplikáci</w:t>
            </w:r>
            <w:r w:rsidR="00397C3E">
              <w:t>ou</w:t>
            </w:r>
            <w:r w:rsidRPr="00397C3E">
              <w:t xml:space="preserve"> návrhu nariadenia vlády Slovenskej republiky</w:t>
            </w:r>
            <w:r w:rsidR="005D2253">
              <w:t xml:space="preserve"> b</w:t>
            </w:r>
            <w:r w:rsidR="00397C3E" w:rsidRPr="00397C3E">
              <w:t xml:space="preserve">ude </w:t>
            </w:r>
            <w:r w:rsidR="005D2253">
              <w:t xml:space="preserve">poskytovateľ terminálnych leteckých navigačných služieb </w:t>
            </w:r>
            <w:r w:rsidR="00397C3E" w:rsidRPr="00397C3E">
              <w:t xml:space="preserve">viesť </w:t>
            </w:r>
            <w:r w:rsidR="005D2253">
              <w:t xml:space="preserve">podobné systémy na </w:t>
            </w:r>
            <w:r w:rsidR="00397C3E" w:rsidRPr="00397C3E">
              <w:t>určeni</w:t>
            </w:r>
            <w:r w:rsidR="005D2253">
              <w:t>e</w:t>
            </w:r>
            <w:r w:rsidR="00397C3E" w:rsidRPr="00397C3E">
              <w:t xml:space="preserve"> terminálnej jednotkovej sadzby</w:t>
            </w:r>
            <w:r w:rsidR="005D2253">
              <w:t xml:space="preserve"> ako v súčasnosti</w:t>
            </w:r>
            <w:r w:rsidR="00397C3E">
              <w:t>.</w:t>
            </w:r>
            <w:r w:rsidR="008E13E6">
              <w:t xml:space="preserve"> Vo vzťahu k poskytovaným službám zostáva ich rozsah zachovaný</w:t>
            </w:r>
            <w:r w:rsidR="005D2253">
              <w:t>,</w:t>
            </w:r>
            <w:r w:rsidR="008E13E6">
              <w:t xml:space="preserve"> ako vo vzťahu k službám, ktoré sú zahrnuté do</w:t>
            </w:r>
            <w:r w:rsidR="005D2253">
              <w:t xml:space="preserve"> celkových</w:t>
            </w:r>
            <w:r w:rsidR="008E13E6">
              <w:t xml:space="preserve"> stanovených nákladov poskytovateľa terminálnych leteckých navigačných služieb, tak aj vo vzťahu k službám, ktoré budú dostupné používateľom </w:t>
            </w:r>
            <w:r w:rsidR="005D2253">
              <w:t>vzdušného priestoru</w:t>
            </w:r>
            <w:r w:rsidR="008E13E6">
              <w:t>.</w:t>
            </w:r>
          </w:p>
          <w:p w14:paraId="753276CD" w14:textId="150444EB" w:rsidR="000B621E" w:rsidRPr="00397C3E" w:rsidRDefault="000B621E" w:rsidP="005D2253">
            <w:pPr>
              <w:jc w:val="both"/>
              <w:rPr>
                <w:b/>
              </w:rPr>
            </w:pPr>
          </w:p>
        </w:tc>
      </w:tr>
      <w:tr w:rsidR="00D90220" w:rsidRPr="00397C3E" w14:paraId="008317E8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432729DC" w14:textId="77777777" w:rsidR="00D90220" w:rsidRPr="00397C3E" w:rsidRDefault="00D90220" w:rsidP="00D4467A">
            <w:pPr>
              <w:keepNext/>
              <w:rPr>
                <w:b/>
                <w:i/>
              </w:rPr>
            </w:pPr>
            <w:r w:rsidRPr="00397C3E">
              <w:rPr>
                <w:b/>
                <w:i/>
              </w:rPr>
              <w:t>3.3.3 Administratívne náklady</w:t>
            </w:r>
          </w:p>
          <w:p w14:paraId="507DADD8" w14:textId="77777777" w:rsidR="00D90220" w:rsidRPr="00397C3E" w:rsidRDefault="00D90220" w:rsidP="00D4467A">
            <w:pPr>
              <w:keepNext/>
              <w:jc w:val="both"/>
              <w:rPr>
                <w:i/>
              </w:rPr>
            </w:pPr>
            <w:r w:rsidRPr="00397C3E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90220" w:rsidRPr="00397C3E" w14:paraId="50CA4A67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03849CFD" w14:textId="77777777" w:rsidR="00D4467A" w:rsidRPr="00397C3E" w:rsidRDefault="00D4467A" w:rsidP="004B73BD">
            <w:pPr>
              <w:jc w:val="both"/>
            </w:pPr>
          </w:p>
          <w:p w14:paraId="1BAD94F3" w14:textId="3994B627" w:rsidR="000C4198" w:rsidRDefault="00CC252A" w:rsidP="0074318B">
            <w:pPr>
              <w:jc w:val="both"/>
            </w:pPr>
            <w:r w:rsidRPr="00397C3E">
              <w:t xml:space="preserve">Návrhom nariadenia vlády </w:t>
            </w:r>
            <w:r w:rsidR="003E6516" w:rsidRPr="00397C3E">
              <w:t xml:space="preserve">Slovenskej republiky </w:t>
            </w:r>
            <w:r w:rsidRPr="00397C3E">
              <w:t xml:space="preserve">sa </w:t>
            </w:r>
            <w:r w:rsidR="005B4329">
              <w:t>ne</w:t>
            </w:r>
            <w:r w:rsidR="007E4DDD">
              <w:t>mení</w:t>
            </w:r>
            <w:r w:rsidR="007E4DDD" w:rsidRPr="00397C3E">
              <w:t xml:space="preserve"> </w:t>
            </w:r>
            <w:r w:rsidR="000C4198" w:rsidRPr="00397C3E">
              <w:t>spôsob</w:t>
            </w:r>
            <w:r w:rsidRPr="00397C3E">
              <w:t xml:space="preserve"> </w:t>
            </w:r>
            <w:r w:rsidR="003E6516" w:rsidRPr="00397C3E">
              <w:t>určenia</w:t>
            </w:r>
            <w:r w:rsidRPr="00397C3E">
              <w:t xml:space="preserve"> terminálnych jednotiek služieb a výpočtu terminálnej odplaty, </w:t>
            </w:r>
            <w:r w:rsidR="0074318B" w:rsidRPr="00397C3E">
              <w:t xml:space="preserve">pričom sa </w:t>
            </w:r>
            <w:r w:rsidRPr="00397C3E">
              <w:t>nemení frekvencia predkladania údajov. Z tohto dôvodu návrh nariadenia vlády</w:t>
            </w:r>
            <w:r w:rsidR="003E6516" w:rsidRPr="00397C3E">
              <w:t xml:space="preserve"> Slovenskej republiky</w:t>
            </w:r>
            <w:r w:rsidRPr="00397C3E">
              <w:t xml:space="preserve"> nevyvolá zvýšené administratívne náklady</w:t>
            </w:r>
            <w:r w:rsidR="007E4DDD">
              <w:t xml:space="preserve"> v porovnaní so súčasným stavom</w:t>
            </w:r>
            <w:r w:rsidRPr="00397C3E">
              <w:t>.</w:t>
            </w:r>
          </w:p>
          <w:p w14:paraId="0E2C3953" w14:textId="77777777" w:rsidR="00397C3E" w:rsidRDefault="00397C3E" w:rsidP="0074318B">
            <w:pPr>
              <w:jc w:val="both"/>
            </w:pPr>
          </w:p>
          <w:p w14:paraId="1BE87C85" w14:textId="42D8ADAF" w:rsidR="00397C3E" w:rsidRPr="007705B2" w:rsidRDefault="00397C3E" w:rsidP="00397C3E">
            <w:pPr>
              <w:keepNext/>
              <w:rPr>
                <w:b/>
              </w:rPr>
            </w:pPr>
            <w:r w:rsidRPr="007705B2">
              <w:rPr>
                <w:b/>
              </w:rPr>
              <w:lastRenderedPageBreak/>
              <w:t xml:space="preserve">Podklady </w:t>
            </w:r>
            <w:r w:rsidR="004B73BD" w:rsidRPr="007705B2">
              <w:rPr>
                <w:b/>
              </w:rPr>
              <w:t>na</w:t>
            </w:r>
            <w:r w:rsidRPr="007705B2">
              <w:rPr>
                <w:b/>
              </w:rPr>
              <w:t xml:space="preserve"> výpočet:</w:t>
            </w:r>
          </w:p>
          <w:p w14:paraId="62AD0C20" w14:textId="77777777" w:rsidR="00397C3E" w:rsidRPr="00494C39" w:rsidRDefault="00397C3E" w:rsidP="00A632E6">
            <w:pPr>
              <w:keepNext/>
              <w:tabs>
                <w:tab w:val="right" w:pos="9356"/>
              </w:tabs>
              <w:rPr>
                <w:i/>
                <w:lang w:eastAsia="en-US"/>
              </w:rPr>
            </w:pPr>
            <w:r w:rsidRPr="00494C39">
              <w:rPr>
                <w:i/>
                <w:lang w:eastAsia="en-US"/>
              </w:rPr>
              <w:t>priemerný počet dní v roku</w:t>
            </w:r>
            <w:r w:rsidRPr="00494C39">
              <w:rPr>
                <w:i/>
                <w:lang w:eastAsia="en-US"/>
              </w:rPr>
              <w:tab/>
              <w:t>365,25 dní</w:t>
            </w:r>
          </w:p>
          <w:p w14:paraId="23B72282" w14:textId="2AF7ED7B" w:rsidR="00397C3E" w:rsidRDefault="00397C3E" w:rsidP="00A632E6">
            <w:pPr>
              <w:tabs>
                <w:tab w:val="right" w:pos="935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priemerný počet týždňov v roku</w:t>
            </w:r>
            <w:r>
              <w:rPr>
                <w:i/>
                <w:lang w:eastAsia="en-U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365,25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7 dní/týždeň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 =52,179 týždňov/rok</m:t>
              </m:r>
            </m:oMath>
          </w:p>
          <w:p w14:paraId="43B3AADF" w14:textId="1EB447D6" w:rsidR="00397C3E" w:rsidRPr="00494C39" w:rsidRDefault="00397C3E" w:rsidP="00A632E6">
            <w:pPr>
              <w:tabs>
                <w:tab w:val="right" w:pos="9356"/>
              </w:tabs>
              <w:rPr>
                <w:i/>
                <w:lang w:eastAsia="en-US"/>
              </w:rPr>
            </w:pPr>
            <w:r w:rsidRPr="00494C39">
              <w:rPr>
                <w:i/>
                <w:lang w:eastAsia="en-US"/>
              </w:rPr>
              <w:t>priemerný počet týždňov pripadajúcich v roku na 1 mesiac</w:t>
            </w:r>
            <w:r>
              <w:rPr>
                <w:i/>
                <w:lang w:eastAsia="en-U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52,179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 mesiacov/rok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 =4,348 týždňov/mesiac</m:t>
              </m:r>
            </m:oMath>
          </w:p>
          <w:p w14:paraId="5EAEF817" w14:textId="77777777" w:rsidR="00397C3E" w:rsidRPr="00494C39" w:rsidRDefault="00397C3E" w:rsidP="00A632E6">
            <w:pPr>
              <w:tabs>
                <w:tab w:val="right" w:pos="9356"/>
              </w:tabs>
              <w:rPr>
                <w:i/>
                <w:lang w:eastAsia="en-US"/>
              </w:rPr>
            </w:pPr>
            <w:r w:rsidRPr="00494C39">
              <w:rPr>
                <w:i/>
                <w:lang w:eastAsia="en-US"/>
              </w:rPr>
              <w:t>týždenný fond pracovného času zamestnanca napr.</w:t>
            </w:r>
            <w:r w:rsidRPr="00494C39">
              <w:rPr>
                <w:i/>
                <w:lang w:eastAsia="en-US"/>
              </w:rPr>
              <w:tab/>
            </w:r>
            <w:r w:rsidRPr="00B92551">
              <w:rPr>
                <w:i/>
                <w:lang w:eastAsia="en-US"/>
              </w:rPr>
              <w:t>40 hodín/</w:t>
            </w:r>
            <w:r w:rsidRPr="00CD19AB">
              <w:rPr>
                <w:i/>
                <w:lang w:eastAsia="en-US"/>
              </w:rPr>
              <w:t>týždeň</w:t>
            </w:r>
            <w:r w:rsidRPr="00CD19AB">
              <w:rPr>
                <w:rStyle w:val="Odkaznapoznmkupodiarou"/>
                <w:i/>
                <w:lang w:eastAsia="en-US"/>
              </w:rPr>
              <w:footnoteReference w:id="2"/>
            </w:r>
            <w:r w:rsidRPr="00494C39">
              <w:rPr>
                <w:i/>
                <w:lang w:eastAsia="en-US"/>
              </w:rPr>
              <w:t>)</w:t>
            </w:r>
          </w:p>
          <w:p w14:paraId="79706457" w14:textId="77777777" w:rsidR="00397C3E" w:rsidRPr="00494C39" w:rsidRDefault="00397C3E" w:rsidP="00397C3E">
            <w:pPr>
              <w:jc w:val="both"/>
              <w:rPr>
                <w:i/>
              </w:rPr>
            </w:pPr>
          </w:p>
          <w:p w14:paraId="5B2DFDC0" w14:textId="36B46555" w:rsidR="00106910" w:rsidRPr="00106910" w:rsidRDefault="00397C3E" w:rsidP="00397C3E">
            <w:pPr>
              <w:jc w:val="both"/>
            </w:pPr>
            <w:r w:rsidRPr="00494C39">
              <w:rPr>
                <w:b/>
                <w:i/>
              </w:rPr>
              <w:t>Priemerný počet pracovných hodín pripadajúcich v roku na 1 mesiac</w:t>
            </w:r>
            <w:r w:rsidRPr="00494C39">
              <w:rPr>
                <w:i/>
              </w:rPr>
              <w:t xml:space="preserve"> sa vypočíta ako súčin priemerného počtu týždňov pripadajúcich v roku na 1 mesiac (4,348 týždňov) a týždenného fondu pracovného času zamestnanca napr. 4</w:t>
            </w:r>
            <w:r>
              <w:rPr>
                <w:i/>
              </w:rPr>
              <w:t>0 </w:t>
            </w:r>
            <w:r w:rsidRPr="00494C39">
              <w:rPr>
                <w:i/>
              </w:rPr>
              <w:t>hod</w:t>
            </w:r>
            <w:r w:rsidRPr="00106910">
              <w:t>.;</w:t>
            </w:r>
            <w:r w:rsidR="00106910" w:rsidRPr="00106910">
              <w:t xml:space="preserve"> </w:t>
            </w:r>
            <w:r w:rsidR="00106910">
              <w:t>4,348 týždňov </w:t>
            </w:r>
            <w:r w:rsidR="00106910" w:rsidRPr="00106910">
              <w:t>×</w:t>
            </w:r>
            <w:r w:rsidR="00106910">
              <w:t> </w:t>
            </w:r>
            <w:r w:rsidR="00106910" w:rsidRPr="00106910">
              <w:t>40 hod./týždeň</w:t>
            </w:r>
            <w:r w:rsidR="00106910">
              <w:t xml:space="preserve"> = </w:t>
            </w:r>
            <w:r w:rsidR="00106910" w:rsidRPr="00106910">
              <w:rPr>
                <w:b/>
              </w:rPr>
              <w:t>173,93 hod./mesiac</w:t>
            </w:r>
            <w:r w:rsidR="00106910">
              <w:t>.</w:t>
            </w:r>
          </w:p>
          <w:p w14:paraId="7774E0FB" w14:textId="77777777" w:rsidR="00397C3E" w:rsidRDefault="00397C3E" w:rsidP="00397C3E"/>
          <w:p w14:paraId="59E7E841" w14:textId="4D76144E" w:rsidR="00397C3E" w:rsidRPr="00494C39" w:rsidRDefault="00397C3E" w:rsidP="00397C3E">
            <w:pPr>
              <w:jc w:val="both"/>
              <w:rPr>
                <w:b/>
                <w:i/>
              </w:rPr>
            </w:pPr>
            <w:r w:rsidRPr="00494C39">
              <w:rPr>
                <w:b/>
                <w:i/>
              </w:rPr>
              <w:t>Priemerná hrubá mesačná mzda v hospodárstve SR</w:t>
            </w:r>
            <w:r w:rsidRPr="00494C39">
              <w:rPr>
                <w:i/>
              </w:rPr>
              <w:t xml:space="preserve"> bola za </w:t>
            </w:r>
            <w:r w:rsidR="00F70D58">
              <w:rPr>
                <w:i/>
              </w:rPr>
              <w:t>1</w:t>
            </w:r>
            <w:r w:rsidRPr="00494C39">
              <w:rPr>
                <w:i/>
              </w:rPr>
              <w:t xml:space="preserve">. – </w:t>
            </w:r>
            <w:r w:rsidR="00F70D58">
              <w:rPr>
                <w:i/>
              </w:rPr>
              <w:t>2</w:t>
            </w:r>
            <w:r w:rsidRPr="00494C39">
              <w:rPr>
                <w:i/>
              </w:rPr>
              <w:t>. Q. 201</w:t>
            </w:r>
            <w:r w:rsidR="00F70D58">
              <w:rPr>
                <w:i/>
              </w:rPr>
              <w:t>9</w:t>
            </w:r>
            <w:r w:rsidRPr="00494C39">
              <w:rPr>
                <w:i/>
              </w:rPr>
              <w:t xml:space="preserve"> podľa údajov Štatistického úr</w:t>
            </w:r>
            <w:r w:rsidR="00106910">
              <w:rPr>
                <w:i/>
              </w:rPr>
              <w:t xml:space="preserve">adu Slovenskej republiky bola vo výške </w:t>
            </w:r>
            <w:r w:rsidR="00F70D58" w:rsidRPr="00106910">
              <w:rPr>
                <w:b/>
                <w:i/>
              </w:rPr>
              <w:t>1 062</w:t>
            </w:r>
            <w:r w:rsidRPr="00106910">
              <w:rPr>
                <w:b/>
                <w:i/>
              </w:rPr>
              <w:t>,00</w:t>
            </w:r>
            <w:r w:rsidRPr="00494C39">
              <w:rPr>
                <w:i/>
              </w:rPr>
              <w:t xml:space="preserve"> €</w:t>
            </w:r>
            <w:r w:rsidR="00106910">
              <w:rPr>
                <w:i/>
              </w:rPr>
              <w:t>.</w:t>
            </w:r>
            <w:r w:rsidRPr="00494C39">
              <w:rPr>
                <w:rStyle w:val="Odkaznapoznmkupodiarou"/>
                <w:i/>
              </w:rPr>
              <w:footnoteReference w:id="3"/>
            </w:r>
            <w:r w:rsidRPr="00494C39">
              <w:rPr>
                <w:i/>
              </w:rPr>
              <w:t>)</w:t>
            </w:r>
          </w:p>
          <w:p w14:paraId="30C5F52F" w14:textId="77777777" w:rsidR="00397C3E" w:rsidRPr="00494C39" w:rsidRDefault="00397C3E" w:rsidP="00397C3E">
            <w:pPr>
              <w:jc w:val="both"/>
              <w:rPr>
                <w:i/>
              </w:rPr>
            </w:pPr>
          </w:p>
          <w:p w14:paraId="355BD14F" w14:textId="2D632EFA" w:rsidR="00397C3E" w:rsidRPr="00494C39" w:rsidRDefault="00397C3E" w:rsidP="00397C3E">
            <w:pPr>
              <w:jc w:val="both"/>
              <w:rPr>
                <w:i/>
              </w:rPr>
            </w:pPr>
            <w:r w:rsidRPr="00494C39">
              <w:rPr>
                <w:b/>
                <w:i/>
              </w:rPr>
              <w:t>Priemerná hrubá hodinová mzda v hospodárstve SR</w:t>
            </w:r>
            <w:r w:rsidRPr="00494C39">
              <w:rPr>
                <w:i/>
              </w:rPr>
              <w:t xml:space="preserve"> </w:t>
            </w:r>
            <w:r w:rsidRPr="00494C39">
              <w:rPr>
                <w:b/>
                <w:i/>
              </w:rPr>
              <w:t>(tarifa)</w:t>
            </w:r>
            <w:r w:rsidRPr="00494C39">
              <w:rPr>
                <w:i/>
              </w:rPr>
              <w:t xml:space="preserve"> sa vypočíta</w:t>
            </w:r>
            <w:r w:rsidR="00106910">
              <w:rPr>
                <w:i/>
              </w:rPr>
              <w:t>va</w:t>
            </w:r>
            <w:r w:rsidRPr="00494C39">
              <w:rPr>
                <w:i/>
              </w:rPr>
              <w:t xml:space="preserve"> ako podiel priemernej hrubej mesačnej mzdy v hospodárstve S</w:t>
            </w:r>
            <w:r w:rsidR="00106910">
              <w:rPr>
                <w:i/>
              </w:rPr>
              <w:t>lovenskej republiky</w:t>
            </w:r>
            <w:r w:rsidRPr="00494C39">
              <w:rPr>
                <w:i/>
              </w:rPr>
              <w:t xml:space="preserve"> a priemerného počtu pracovných hodín pripadajúcich v roku na 1 mesiac; </w:t>
            </w:r>
          </w:p>
          <w:p w14:paraId="1E79973F" w14:textId="1FB902DB" w:rsidR="00397C3E" w:rsidRPr="00106910" w:rsidRDefault="007C384A" w:rsidP="00397C3E">
            <w:pPr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1 062 €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173,93 hod./mesiac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 xml:space="preserve"> 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</w:rPr>
                  <m:t>6,106 €/hod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.</m:t>
                </m:r>
              </m:oMath>
            </m:oMathPara>
          </w:p>
          <w:p w14:paraId="4DCA5F9C" w14:textId="51313FCC" w:rsidR="003234A1" w:rsidRDefault="003234A1" w:rsidP="00397C3E">
            <w:pPr>
              <w:ind w:left="567" w:hanging="567"/>
            </w:pPr>
          </w:p>
          <w:p w14:paraId="69695D7B" w14:textId="77777777" w:rsidR="00003672" w:rsidRPr="00494C39" w:rsidRDefault="00003672" w:rsidP="00397C3E">
            <w:pPr>
              <w:ind w:left="567" w:hanging="567"/>
            </w:pPr>
          </w:p>
          <w:p w14:paraId="40FB47DB" w14:textId="6D38B402" w:rsidR="00397C3E" w:rsidRPr="00EA79CE" w:rsidRDefault="003234A1" w:rsidP="00554BC6">
            <w:pPr>
              <w:pStyle w:val="Odsekzoznamu"/>
              <w:keepNext/>
              <w:numPr>
                <w:ilvl w:val="0"/>
                <w:numId w:val="21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B73BD"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odklady na konzultačné stretnutie so zástupcami používateľov vzdušného priestoru </w:t>
            </w:r>
            <w:r w:rsidR="00EA79CE"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>pred začiatkom referenčného obdobia</w:t>
            </w:r>
          </w:p>
          <w:p w14:paraId="54655806" w14:textId="190B0A7A" w:rsidR="00EA79CE" w:rsidRDefault="004B73BD" w:rsidP="00EA79C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poskytovateľ terminálnych leteckých navigačných služieb je podľa § 5 ods. 6 zákona č. 213/2019 Z. z. o odplatách a o poskytovaní príspevku v civilnom letectve a o zmene a doplnení niektorých zákonov </w:t>
            </w:r>
            <w:r w:rsidR="00C003DA">
              <w:rPr>
                <w:rFonts w:ascii="Times New Roman" w:hAnsi="Times New Roman" w:cs="Times New Roman"/>
                <w:sz w:val="20"/>
                <w:szCs w:val="20"/>
              </w:rPr>
              <w:t>(ďalej len „zákon č. 213/2019 Z. z.“)</w:t>
            </w:r>
            <w:r w:rsidR="0038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povinný konzultovať systém určovania výšky terminálnej odplaty so zástupcami používateľov vzdušného priestoru, 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pričom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podľa § 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ods. 1 návrhu nariadenia vlády Slovenskej republiky 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>sú k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onzultačné stretnutia poskytovateľa terminálnych leteckých navigačných služieb so zástupcami po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užívateľov vzdušného priestoru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vykonávané pred začiatkom referenčného obdobia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 xml:space="preserve"> (t. j. každých 5 rokov)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podľa § 8 ods. 1 návrhu nariadenia vlády Slovenskej republiky poskytuje 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poskytovateľ terminálnych leteckých navigačných služieb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podklady zástupcom používateľov vzdušného priestoru na konzultačné stretnutie najmenej päť dní pred konaním konzultačného stretnutia</w:t>
            </w:r>
          </w:p>
          <w:p w14:paraId="2838CE04" w14:textId="6B737535" w:rsidR="004B73BD" w:rsidRPr="00235FDE" w:rsidRDefault="004B73BD" w:rsidP="00EA79C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vzhľadom na 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>uvedenú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periodicitu, administratívne náklady spojené 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 xml:space="preserve">s prípravou podkladov </w:t>
            </w:r>
            <w:r w:rsidR="00EA79CE"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na konzultačné stretnutie so zástupcami používateľov vzdušného priestoru pred začiatkom referenčného obdobia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> elektronickej podobe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[vypracovanie dokladov (650 min.), </w:t>
            </w:r>
            <w:r w:rsidR="00EA79CE" w:rsidRPr="00235FDE">
              <w:rPr>
                <w:rFonts w:ascii="Times New Roman" w:hAnsi="Times New Roman" w:cs="Times New Roman"/>
                <w:sz w:val="20"/>
                <w:szCs w:val="20"/>
              </w:rPr>
              <w:t>oznámenie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79CE" w:rsidRPr="00235F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min.) a predloženie dokladov </w:t>
            </w:r>
            <w:r w:rsidR="00EA79CE" w:rsidRPr="00235FDE">
              <w:rPr>
                <w:rFonts w:ascii="Times New Roman" w:hAnsi="Times New Roman" w:cs="Times New Roman"/>
                <w:sz w:val="20"/>
                <w:szCs w:val="20"/>
              </w:rPr>
              <w:t>elektronicky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79CE" w:rsidRPr="00235F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min.)] 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sume </w:t>
            </w:r>
            <w:r w:rsidR="00235FDE">
              <w:rPr>
                <w:rFonts w:ascii="Times New Roman" w:hAnsi="Times New Roman" w:cs="Times New Roman"/>
                <w:b/>
                <w:sz w:val="20"/>
                <w:szCs w:val="20"/>
              </w:rPr>
              <w:t>75,31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  <w:p w14:paraId="340530A0" w14:textId="77777777" w:rsidR="00FF678F" w:rsidRPr="00FF678F" w:rsidRDefault="00EA79CE" w:rsidP="00FF678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sz w:val="16"/>
                <w:szCs w:val="16"/>
              </w:rPr>
            </w:pP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h navigačných služieb</w:t>
            </w:r>
            <w:r w:rsidR="004B73BD"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vyp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racuje doklady, ktoré je povinný poskytnúť zástupcom používateľov vzdušného priestoru</w:t>
            </w:r>
            <w:r w:rsidR="004B73BD" w:rsidRPr="00EA79CE">
              <w:rPr>
                <w:rFonts w:ascii="Times New Roman" w:hAnsi="Times New Roman" w:cs="Times New Roman"/>
                <w:sz w:val="20"/>
                <w:szCs w:val="20"/>
              </w:rPr>
              <w:t>, to je podľa tabuľky štandardných časových náročností typických informačných povinností pre MSP 650 minút</w:t>
            </w:r>
            <w:r w:rsidR="00106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2D6D547" w14:textId="2C6B861F" w:rsidR="004B73BD" w:rsidRPr="00FF678F" w:rsidRDefault="007C384A" w:rsidP="00FF678F">
            <w:pPr>
              <w:pStyle w:val="Odsekzoznamu"/>
              <w:spacing w:after="0" w:line="240" w:lineRule="auto"/>
              <w:ind w:left="1134"/>
              <w:contextualSpacing w:val="0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=10,83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63678C88" w14:textId="77777777" w:rsidR="00FF678F" w:rsidRPr="00FF678F" w:rsidRDefault="00EA79CE" w:rsidP="00C003D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sz w:val="16"/>
                <w:szCs w:val="16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vypracuje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oznámenie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konaní konzultačného stretnutia</w:t>
            </w:r>
            <w:r w:rsidR="004B73BD"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B73BD"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minút</w:t>
            </w:r>
            <w:r w:rsidR="001069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D6DCE04" w14:textId="2169657F" w:rsidR="004B73BD" w:rsidRPr="00FF678F" w:rsidRDefault="007C384A" w:rsidP="00FF678F">
            <w:pPr>
              <w:pStyle w:val="Odsekzoznamu"/>
              <w:spacing w:after="0" w:line="240" w:lineRule="auto"/>
              <w:ind w:left="1134"/>
              <w:contextualSpacing w:val="0"/>
              <w:jc w:val="both"/>
              <w:rPr>
                <w:rFonts w:ascii="Cambria Math" w:hAnsi="Cambria Math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08853BB2" w14:textId="2A4C4610" w:rsidR="004B73BD" w:rsidRPr="00A668D6" w:rsidRDefault="00EA79CE" w:rsidP="004B73B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poskytne elektronicky podklady zástupcom používateľov vzdušného priestoru</w:t>
            </w:r>
            <w:r w:rsidR="004B73BD"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6910">
              <w:rPr>
                <w:rFonts w:ascii="Times New Roman" w:hAnsi="Times New Roman" w:cs="Times New Roman"/>
                <w:sz w:val="20"/>
                <w:szCs w:val="20"/>
              </w:rPr>
              <w:t xml:space="preserve"> minút, </w:t>
            </w:r>
          </w:p>
          <w:p w14:paraId="7A4FDB5A" w14:textId="2C7039E4" w:rsidR="004B73BD" w:rsidRPr="00106910" w:rsidRDefault="007C384A" w:rsidP="004B73BD">
            <w:pPr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=0,5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649EF4AB" w14:textId="0F3FB642" w:rsidR="004B73BD" w:rsidRPr="00DB1D06" w:rsidRDefault="004B73BD" w:rsidP="004B73B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rekvencia podávania žiadosti je 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>každých 5 rokov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t. j. podľa tabuľky koeficientov </w:t>
            </w:r>
            <w:r w:rsidRPr="00DB1D06">
              <w:rPr>
                <w:rFonts w:ascii="Times New Roman" w:hAnsi="Times New Roman" w:cs="Times New Roman"/>
                <w:sz w:val="20"/>
                <w:szCs w:val="20"/>
              </w:rPr>
              <w:t xml:space="preserve">frekvencie = </w:t>
            </w:r>
            <w:r w:rsidR="00EA79C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14:paraId="411D3065" w14:textId="0E4FEFAA" w:rsidR="004B73BD" w:rsidRPr="000F08EF" w:rsidRDefault="004B73BD" w:rsidP="004B73B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0F0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elkové administratívne náklady na 1 podnikateľský subjekt: </w:t>
            </w:r>
          </w:p>
          <w:p w14:paraId="17D6583A" w14:textId="1823E39E" w:rsidR="004B73BD" w:rsidRPr="00106910" w:rsidRDefault="007C384A" w:rsidP="004B73BD">
            <w:pPr>
              <w:ind w:left="1134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740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×6,106 €/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  × 1=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75,31 €/1 podnikateľský subjekt</m:t>
                </m:r>
              </m:oMath>
            </m:oMathPara>
          </w:p>
          <w:p w14:paraId="213E6012" w14:textId="22DD241E" w:rsidR="003234A1" w:rsidRDefault="003234A1" w:rsidP="0074318B">
            <w:pPr>
              <w:jc w:val="both"/>
            </w:pPr>
          </w:p>
          <w:p w14:paraId="18BF45B4" w14:textId="77777777" w:rsidR="00003672" w:rsidRDefault="00003672" w:rsidP="0074318B">
            <w:pPr>
              <w:jc w:val="both"/>
            </w:pPr>
          </w:p>
          <w:p w14:paraId="1E1E6013" w14:textId="25A901FC" w:rsidR="003234A1" w:rsidRPr="00EA79CE" w:rsidRDefault="003234A1" w:rsidP="007705B2">
            <w:pPr>
              <w:pStyle w:val="Odsekzoznamu"/>
              <w:keepNext/>
              <w:numPr>
                <w:ilvl w:val="0"/>
                <w:numId w:val="21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odklady na konzultačné stretnutie so zástupcami používateľov vzdušného priestoru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počas</w:t>
            </w:r>
            <w:r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referenčného obdobia</w:t>
            </w:r>
          </w:p>
          <w:p w14:paraId="0E586A82" w14:textId="6AB44A22" w:rsidR="003234A1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poskytovateľ terminálnych leteckých navigačných služieb je podľa § 5 ods. 6 zákona č. 213/2019 Z. z. povinný konzultovať systém určovania výšky terminálnej odplaty so zástupcami používateľov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vzdušného priestoru, pričom podľa § 7 ods.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návrhu nariadenia vlády Slovenskej republiky sú konzultačné stretnutia poskytovateľa terminálnych leteckých navigačných služieb so zástupcami používateľov vzdušného priestoru </w:t>
            </w:r>
            <w:r w:rsidRPr="003234A1">
              <w:rPr>
                <w:rFonts w:ascii="Times New Roman" w:hAnsi="Times New Roman" w:cs="Times New Roman"/>
                <w:sz w:val="20"/>
                <w:szCs w:val="20"/>
              </w:rPr>
              <w:t xml:space="preserve">vykonávané každoročne počas referenčného obdobia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(t. j. 1-krát ročne)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a podľa § 8 ods. 1 návrhu nariadenia vlády Slovenskej republiky poskytuje poskytovateľ terminálnych leteckých navigačných služieb podklady zástupcom používateľov vzdušného priestoru na konzultačné stretnutie najmenej päť dní pred konaním konzultačného stretnutia</w:t>
            </w:r>
          </w:p>
          <w:p w14:paraId="70FABA24" w14:textId="1275030B" w:rsidR="003234A1" w:rsidRPr="00235FDE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vzhľadom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uvedenú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periodicitu, administratívne náklady spojené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 prípravou podkladov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na konzultačné stretnutie so zástupcami používateľov vzdušného priestoru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elektronickej podobe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[vypracovanie dokladov (650 min.), oznámenie (60 min.) a predloženie dokladov elektronicky (30 min.)] 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sume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75,31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  <w:p w14:paraId="5DC3EAC4" w14:textId="77777777" w:rsidR="003234A1" w:rsidRPr="00EA79CE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h navigačných služieb vyp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racuje doklady, ktoré je povinný poskytnúť zástupcom používateľov vzdušného priestoru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, to je podľa tabuľky štandardných časových náročností typických informačných povinností pre MSP 650 minút</w:t>
            </w:r>
          </w:p>
          <w:p w14:paraId="40124C6D" w14:textId="77777777" w:rsidR="003234A1" w:rsidRPr="008D6E04" w:rsidRDefault="007C384A" w:rsidP="00085005">
            <w:pPr>
              <w:widowControl w:val="0"/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=10,83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190AC8AB" w14:textId="77777777" w:rsidR="003234A1" w:rsidRPr="00A668D6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vypracuje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oznámenie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konaní konzultačného stretnutia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minút</w:t>
            </w:r>
          </w:p>
          <w:p w14:paraId="4DC0FE25" w14:textId="77777777" w:rsidR="003234A1" w:rsidRPr="008D6E04" w:rsidRDefault="007C384A" w:rsidP="00085005">
            <w:pPr>
              <w:widowControl w:val="0"/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7FE2A9DA" w14:textId="77777777" w:rsidR="003234A1" w:rsidRPr="00A668D6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poskytne elektronicky podklady zástupcom používateľov vzdušného priestoru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minút </w:t>
            </w:r>
          </w:p>
          <w:p w14:paraId="359B1D49" w14:textId="77777777" w:rsidR="003234A1" w:rsidRPr="008D6E04" w:rsidRDefault="007C384A" w:rsidP="00085005">
            <w:pPr>
              <w:widowControl w:val="0"/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=0,5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1ABF548F" w14:textId="71E5ADD4" w:rsidR="003234A1" w:rsidRPr="00DB1D06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rekvencia podávania žiadosti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1-krát ročne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t. j. podľa tabuľky koeficientov </w:t>
            </w:r>
            <w:r w:rsidRPr="00DB1D06">
              <w:rPr>
                <w:rFonts w:ascii="Times New Roman" w:hAnsi="Times New Roman" w:cs="Times New Roman"/>
                <w:sz w:val="20"/>
                <w:szCs w:val="20"/>
              </w:rPr>
              <w:t xml:space="preserve">frekvencie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1BC006" w14:textId="77777777" w:rsidR="003234A1" w:rsidRPr="000F08EF" w:rsidRDefault="003234A1" w:rsidP="00085005">
            <w:pPr>
              <w:pStyle w:val="Odsekzoznamu"/>
              <w:widowControl w:val="0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0F0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elkové administratívne náklady na 1 podnikateľský subjekt: </w:t>
            </w:r>
          </w:p>
          <w:p w14:paraId="78A28A5B" w14:textId="6F3166D1" w:rsidR="003234A1" w:rsidRPr="008D6E04" w:rsidRDefault="007C384A" w:rsidP="00085005">
            <w:pPr>
              <w:widowControl w:val="0"/>
              <w:ind w:left="1134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740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×6,106 €/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  × 1=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75,31 €/1 podnikateľský subjekt</m:t>
                </m:r>
              </m:oMath>
            </m:oMathPara>
          </w:p>
          <w:p w14:paraId="5FA6153D" w14:textId="075349BA" w:rsidR="003234A1" w:rsidRDefault="003234A1" w:rsidP="0074318B">
            <w:pPr>
              <w:jc w:val="both"/>
            </w:pPr>
          </w:p>
          <w:p w14:paraId="2140204A" w14:textId="77777777" w:rsidR="00003672" w:rsidRDefault="00003672" w:rsidP="0074318B">
            <w:pPr>
              <w:jc w:val="both"/>
            </w:pPr>
          </w:p>
          <w:p w14:paraId="285A229E" w14:textId="1AE40F6A" w:rsidR="00426218" w:rsidRPr="003234A1" w:rsidRDefault="00426218" w:rsidP="00554BC6">
            <w:pPr>
              <w:pStyle w:val="Odsekzoznamu"/>
              <w:keepNext/>
              <w:numPr>
                <w:ilvl w:val="0"/>
                <w:numId w:val="21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A1">
              <w:rPr>
                <w:rFonts w:ascii="Times New Roman" w:hAnsi="Times New Roman" w:cs="Times New Roman"/>
                <w:b/>
                <w:sz w:val="20"/>
                <w:szCs w:val="20"/>
              </w:rPr>
              <w:t>zápisnica o vykonaní konzultačného stretnutia</w:t>
            </w:r>
            <w:r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 zástupcami používateľov vzdušného priestoru pred začiatkom referenčného obdobia</w:t>
            </w:r>
          </w:p>
          <w:p w14:paraId="24EEDD58" w14:textId="40FAAE8B" w:rsidR="00426218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 je podľa § 5 ods. 6 zákona č. 213/2019 Z. z. povinný konzultovať systém určovania výšky terminálnej odplaty so zástupcami používateľov vzdušného priestoru, pričom podľa § 7 ods. 1 návrhu nariadenia vlády Slovenskej republiky sú konzultačné stretnutia poskytovateľa terminálnych leteckých navigačných služieb so zástupcami používateľov vzdušného priestoru vykonávané pred začiatkom referenčného obdobia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(t. j. každých 5 rokov)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a podľa §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ods.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návrhu nariadenia vlády Slovenskej republiky poskytuje poskytovateľ terminálnych leteckých navigačných služieb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vypracuje z</w:t>
            </w:r>
            <w:r w:rsidRPr="003234A1">
              <w:rPr>
                <w:rFonts w:ascii="Times New Roman" w:hAnsi="Times New Roman" w:cs="Times New Roman"/>
                <w:sz w:val="20"/>
                <w:szCs w:val="20"/>
              </w:rPr>
              <w:t> konzultačného stretnutia zápisnica o vykonaní konzultačného stretnutia</w:t>
            </w:r>
          </w:p>
          <w:p w14:paraId="7AAE398E" w14:textId="77777777" w:rsidR="00426218" w:rsidRPr="00235FDE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vzhľadom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uvedenú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periodicitu, administratívne náklady spojené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 prípravou podkladov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na konzultačné stretnutie so zástupcami používateľov vzdušného priestoru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elektronickej podobe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[vy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pracovanie dokladov (650 min.)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a predloženie dokladov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papierovo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min.)] 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sume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75,31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  <w:p w14:paraId="08E2EC75" w14:textId="77777777" w:rsidR="00426218" w:rsidRPr="00EA79CE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h navigačných služieb vyp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racuje zápisnicu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, to je podľa tabuľky štandardných časových náročností typických informačných povinností pre MSP 650 minút</w:t>
            </w:r>
          </w:p>
          <w:p w14:paraId="0495FF54" w14:textId="77777777" w:rsidR="00426218" w:rsidRPr="008D6E04" w:rsidRDefault="007C384A" w:rsidP="00426218">
            <w:pPr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=10,83 hod.</m:t>
                </m:r>
              </m:oMath>
            </m:oMathPara>
          </w:p>
          <w:p w14:paraId="0970DD2F" w14:textId="77777777" w:rsidR="00426218" w:rsidRPr="00A668D6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predloží Dopravnému úradu zápisnicu o vykonaní konzultačného stretnutia papierovo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minút </w:t>
            </w:r>
          </w:p>
          <w:p w14:paraId="49E2193C" w14:textId="77777777" w:rsidR="00426218" w:rsidRPr="008D6E04" w:rsidRDefault="007C384A" w:rsidP="00426218">
            <w:pPr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=0,83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4B41268B" w14:textId="053E316F" w:rsidR="00426218" w:rsidRPr="00DB1D06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rekvencia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predkladania zápisnice o vykonaní konzultačného stretnutia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každých 5 rokov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t. j. podľa tabuľky koeficientov </w:t>
            </w:r>
            <w:r w:rsidRPr="00DB1D06">
              <w:rPr>
                <w:rFonts w:ascii="Times New Roman" w:hAnsi="Times New Roman" w:cs="Times New Roman"/>
                <w:sz w:val="20"/>
                <w:szCs w:val="20"/>
              </w:rPr>
              <w:t xml:space="preserve">frekvencie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14:paraId="43FC31C7" w14:textId="77777777" w:rsidR="00426218" w:rsidRPr="000F08EF" w:rsidRDefault="00426218" w:rsidP="0042621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0F0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elkové administratívne náklady na 1 podnikateľský subjekt: </w:t>
            </w:r>
          </w:p>
          <w:p w14:paraId="3D0E7936" w14:textId="63403156" w:rsidR="00426218" w:rsidRPr="008D6E04" w:rsidRDefault="007C384A" w:rsidP="00426218">
            <w:pPr>
              <w:ind w:left="1134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700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×6,106 €/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  × 1=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71,24 €/1 podnikateľský subjekt</m:t>
                </m:r>
              </m:oMath>
            </m:oMathPara>
          </w:p>
          <w:p w14:paraId="413F6CAD" w14:textId="00C817E1" w:rsidR="00426218" w:rsidRDefault="00426218" w:rsidP="0074318B">
            <w:pPr>
              <w:jc w:val="both"/>
            </w:pPr>
          </w:p>
          <w:p w14:paraId="1748BA61" w14:textId="77777777" w:rsidR="00003672" w:rsidRDefault="00003672" w:rsidP="0074318B">
            <w:pPr>
              <w:jc w:val="both"/>
            </w:pPr>
          </w:p>
          <w:p w14:paraId="22B4036D" w14:textId="462A7A52" w:rsidR="00397C3E" w:rsidRPr="003234A1" w:rsidRDefault="003234A1" w:rsidP="00554BC6">
            <w:pPr>
              <w:pStyle w:val="Odsekzoznamu"/>
              <w:keepNext/>
              <w:numPr>
                <w:ilvl w:val="0"/>
                <w:numId w:val="21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A1">
              <w:rPr>
                <w:rFonts w:ascii="Times New Roman" w:hAnsi="Times New Roman" w:cs="Times New Roman"/>
                <w:b/>
                <w:sz w:val="20"/>
                <w:szCs w:val="20"/>
              </w:rPr>
              <w:t>zápisnica o vykonaní konzultačného stretnutia</w:t>
            </w:r>
            <w:r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 zástupcami používateľov vzdušného priestoru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počas</w:t>
            </w:r>
            <w:r w:rsidRPr="00EA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referenčného obdobia</w:t>
            </w:r>
          </w:p>
          <w:p w14:paraId="5A3BC98D" w14:textId="24765E0D" w:rsidR="003234A1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 je podľa § 5 ods. 6 zákona č. 213/2019 Z. z. povinný konzultovať systém určovania výšky terminálnej odplaty so zástupcami používateľov vzdušného priestoru, pričom podľa § 7 ods.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návrhu nariadenia vlády Slovenskej republiky sú konzultačné stretnutia poskytovateľa terminálnych leteckých navigačných služieb so zástupcami používateľov vzdušného priestoru </w:t>
            </w:r>
            <w:r w:rsidRPr="003234A1">
              <w:rPr>
                <w:rFonts w:ascii="Times New Roman" w:hAnsi="Times New Roman" w:cs="Times New Roman"/>
                <w:sz w:val="20"/>
                <w:szCs w:val="20"/>
              </w:rPr>
              <w:t xml:space="preserve">vykonávané každoročne počas referenčného obdobia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(t. j. 1-krát ročne)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a podľa §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ods.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návrhu nariadenia vlády Slovenskej republiky poskytuje poskytovateľ terminálnych leteckých navigačných služieb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vypracuje z</w:t>
            </w:r>
            <w:r w:rsidRPr="003234A1">
              <w:rPr>
                <w:rFonts w:ascii="Times New Roman" w:hAnsi="Times New Roman" w:cs="Times New Roman"/>
                <w:sz w:val="20"/>
                <w:szCs w:val="20"/>
              </w:rPr>
              <w:t> konzultačného stretnutia zápisnica o vykonaní konzultačného stretnutia</w:t>
            </w:r>
          </w:p>
          <w:p w14:paraId="42AFFF03" w14:textId="3713CF2F" w:rsidR="003234A1" w:rsidRPr="00235FDE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vzhľadom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uvedenú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periodicitu, administratívne náklady spojené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 prípravou podkladov 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na konzultačné stretnutie so zástupcami používateľov vzdušného priestoru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elektronickej podobe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[vy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 xml:space="preserve">pracovanie dokladov (650 min.) 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a predloženie dokladov 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papierovo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 xml:space="preserve"> min.)] 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sume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75,31</w:t>
            </w:r>
            <w:r w:rsidRPr="0023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  <w:p w14:paraId="74D6F94B" w14:textId="6218C519" w:rsidR="003234A1" w:rsidRPr="00EA79CE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FD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h navigačných služieb vyp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racuje 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zápisnicu</w:t>
            </w: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, to je podľa tabuľky štandardných časových náročností typických informačných povinností pre MSP 650 minút</w:t>
            </w:r>
          </w:p>
          <w:p w14:paraId="76269EF7" w14:textId="77777777" w:rsidR="003234A1" w:rsidRPr="00784FE3" w:rsidRDefault="007C384A" w:rsidP="003234A1">
            <w:pPr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=10,83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6DE964E3" w14:textId="42E9D5E5" w:rsidR="003234A1" w:rsidRPr="00A668D6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CE">
              <w:rPr>
                <w:rFonts w:ascii="Times New Roman" w:hAnsi="Times New Roman" w:cs="Times New Roman"/>
                <w:sz w:val="20"/>
                <w:szCs w:val="20"/>
              </w:rPr>
              <w:t>poskytovateľ terminálnych leteckých navigačných služieb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predloží Dopravnému úradu zápisnicu o vykonaní konzultačného stretnutia papierovo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to je podľa tabuľky štandardných časových náročností typických informačných povinností pre MSP 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minút </w:t>
            </w:r>
          </w:p>
          <w:p w14:paraId="2DD041BE" w14:textId="5DDB1E20" w:rsidR="003234A1" w:rsidRPr="00784FE3" w:rsidRDefault="007C384A" w:rsidP="003234A1">
            <w:pPr>
              <w:ind w:left="1134"/>
              <w:jc w:val="both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=0,83 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</m:t>
                </m:r>
              </m:oMath>
            </m:oMathPara>
          </w:p>
          <w:p w14:paraId="2976D171" w14:textId="30D491B4" w:rsidR="003234A1" w:rsidRPr="00DB1D06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rekvencia </w:t>
            </w:r>
            <w:r w:rsidR="00426218">
              <w:rPr>
                <w:rFonts w:ascii="Times New Roman" w:hAnsi="Times New Roman" w:cs="Times New Roman"/>
                <w:sz w:val="20"/>
                <w:szCs w:val="20"/>
              </w:rPr>
              <w:t>predkladania zápisnice o vykonaní konzultačného stretnutia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1-krát ročne</w:t>
            </w:r>
            <w:r w:rsidRPr="00A668D6">
              <w:rPr>
                <w:rFonts w:ascii="Times New Roman" w:hAnsi="Times New Roman" w:cs="Times New Roman"/>
                <w:sz w:val="20"/>
                <w:szCs w:val="20"/>
              </w:rPr>
              <w:t xml:space="preserve">, t. j. podľa tabuľky koeficientov </w:t>
            </w:r>
            <w:r w:rsidRPr="00DB1D06">
              <w:rPr>
                <w:rFonts w:ascii="Times New Roman" w:hAnsi="Times New Roman" w:cs="Times New Roman"/>
                <w:sz w:val="20"/>
                <w:szCs w:val="20"/>
              </w:rPr>
              <w:t xml:space="preserve">frekvencie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4DB776" w14:textId="77777777" w:rsidR="003234A1" w:rsidRPr="000F08EF" w:rsidRDefault="003234A1" w:rsidP="003234A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1134" w:hanging="56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0F08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elkové administratívne náklady na 1 podnikateľský subjekt: </w:t>
            </w:r>
          </w:p>
          <w:p w14:paraId="16841AC9" w14:textId="2641E073" w:rsidR="003234A1" w:rsidRPr="00784FE3" w:rsidRDefault="007C384A" w:rsidP="003234A1">
            <w:pPr>
              <w:ind w:left="1134"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700 min.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60 min./hodina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×6,106 €/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hod.  × 1=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71,24 €/1 podnikateľský subjekt</m:t>
                </m:r>
              </m:oMath>
            </m:oMathPara>
          </w:p>
          <w:p w14:paraId="7D8ACC3D" w14:textId="122A5C15" w:rsidR="00397C3E" w:rsidRPr="00397C3E" w:rsidRDefault="00397C3E" w:rsidP="0074318B">
            <w:pPr>
              <w:jc w:val="both"/>
              <w:rPr>
                <w:b/>
              </w:rPr>
            </w:pPr>
          </w:p>
        </w:tc>
      </w:tr>
      <w:tr w:rsidR="00D90220" w:rsidRPr="00397C3E" w14:paraId="12050F44" w14:textId="77777777" w:rsidTr="00A632E6">
        <w:trPr>
          <w:trHeight w:val="1701"/>
        </w:trPr>
        <w:tc>
          <w:tcPr>
            <w:tcW w:w="9062" w:type="dxa"/>
            <w:tcBorders>
              <w:bottom w:val="single" w:sz="4" w:space="0" w:color="auto"/>
            </w:tcBorders>
          </w:tcPr>
          <w:p w14:paraId="7B953033" w14:textId="354B35EB" w:rsidR="00D90220" w:rsidRPr="00397C3E" w:rsidRDefault="00D90220" w:rsidP="00A25E5F">
            <w:pPr>
              <w:rPr>
                <w:i/>
              </w:rPr>
            </w:pPr>
            <w:r w:rsidRPr="00397C3E">
              <w:rPr>
                <w:b/>
                <w:i/>
              </w:rPr>
              <w:lastRenderedPageBreak/>
              <w:t>3.3.4 Súhrnná tabuľka nákladov regulácie</w:t>
            </w:r>
          </w:p>
          <w:p w14:paraId="05940E8C" w14:textId="6588B309" w:rsidR="002F075D" w:rsidRDefault="002F075D" w:rsidP="00554BC6">
            <w:pPr>
              <w:ind w:left="567" w:hanging="567"/>
              <w:jc w:val="both"/>
              <w:rPr>
                <w:b/>
              </w:rPr>
            </w:pPr>
          </w:p>
          <w:p w14:paraId="48494B0B" w14:textId="705D7E96" w:rsidR="00784FE3" w:rsidRDefault="00784FE3" w:rsidP="00554BC6">
            <w:pPr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Poskytovatelia terminálnych leteckých navigačných služieb</w:t>
            </w:r>
          </w:p>
          <w:p w14:paraId="16559B97" w14:textId="77777777" w:rsidR="00784FE3" w:rsidRPr="00554BC6" w:rsidRDefault="00784FE3" w:rsidP="00554BC6">
            <w:pPr>
              <w:ind w:left="567" w:hanging="567"/>
              <w:jc w:val="both"/>
              <w:rPr>
                <w:b/>
              </w:rPr>
            </w:pPr>
          </w:p>
          <w:p w14:paraId="3555B043" w14:textId="0BAF3C41" w:rsidR="00554BC6" w:rsidRPr="0049672E" w:rsidRDefault="009D5710" w:rsidP="00554BC6">
            <w:pPr>
              <w:pStyle w:val="Odsekzoznamu"/>
              <w:keepNext/>
              <w:numPr>
                <w:ilvl w:val="0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2E">
              <w:rPr>
                <w:rFonts w:ascii="Times New Roman" w:hAnsi="Times New Roman" w:cs="Times New Roman"/>
                <w:sz w:val="20"/>
                <w:szCs w:val="20"/>
              </w:rPr>
              <w:t>poskytovanie terminálnych leteckých navigačných služieb</w:t>
            </w:r>
          </w:p>
          <w:p w14:paraId="067D8ABC" w14:textId="77777777" w:rsidR="009D5710" w:rsidRPr="0049672E" w:rsidRDefault="009D5710" w:rsidP="009D5710">
            <w:pPr>
              <w:keepNext/>
              <w:jc w:val="both"/>
            </w:pP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2D169F" w:rsidRPr="00397C3E" w14:paraId="68C01925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7B992A00" w14:textId="31588DF7" w:rsidR="002D169F" w:rsidRPr="00397C3E" w:rsidRDefault="002D169F" w:rsidP="00A25E5F">
                  <w:pPr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3DED2F65" w14:textId="77777777" w:rsidR="002D169F" w:rsidRPr="00397C3E" w:rsidRDefault="002D169F" w:rsidP="00A25E5F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4F401706" w14:textId="77777777" w:rsidR="002D169F" w:rsidRPr="00397C3E" w:rsidRDefault="002D169F" w:rsidP="00A25E5F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CC252A" w:rsidRPr="00397C3E" w14:paraId="2574588F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2C9183B9" w14:textId="3DFF0FEF" w:rsidR="00CC252A" w:rsidRPr="00397C3E" w:rsidRDefault="00CC252A" w:rsidP="00CC252A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  <w:r w:rsidR="00D5386A">
                    <w:rPr>
                      <w:i/>
                    </w:rPr>
                    <w:t>*)</w:t>
                  </w:r>
                </w:p>
              </w:tc>
              <w:tc>
                <w:tcPr>
                  <w:tcW w:w="2937" w:type="dxa"/>
                </w:tcPr>
                <w:p w14:paraId="65771D88" w14:textId="6F1F68AD" w:rsidR="00CC252A" w:rsidRPr="00B7789C" w:rsidRDefault="00B7789C" w:rsidP="009D5710">
                  <w:pPr>
                    <w:jc w:val="right"/>
                  </w:pPr>
                  <w:r w:rsidRPr="00B7789C">
                    <w:t>Nie je možné určiť ani expertným odhadom.</w:t>
                  </w:r>
                </w:p>
              </w:tc>
              <w:tc>
                <w:tcPr>
                  <w:tcW w:w="2953" w:type="dxa"/>
                </w:tcPr>
                <w:p w14:paraId="25B4D5A1" w14:textId="421FFB87" w:rsidR="00CC252A" w:rsidRPr="00B7789C" w:rsidRDefault="00B7789C" w:rsidP="003F7AF1">
                  <w:pPr>
                    <w:jc w:val="right"/>
                  </w:pPr>
                  <w:r w:rsidRPr="00B7789C">
                    <w:t>Nie je možné určiť ani expertným odhadom.</w:t>
                  </w:r>
                </w:p>
              </w:tc>
            </w:tr>
            <w:tr w:rsidR="00CC252A" w:rsidRPr="00397C3E" w14:paraId="045289B4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7B761BF8" w14:textId="69EADF07" w:rsidR="00CC252A" w:rsidRPr="00397C3E" w:rsidRDefault="00CC252A" w:rsidP="00CC252A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Nepriame finančné náklady</w:t>
                  </w:r>
                  <w:r w:rsidR="00D5386A">
                    <w:rPr>
                      <w:i/>
                    </w:rPr>
                    <w:t>**)</w:t>
                  </w:r>
                </w:p>
              </w:tc>
              <w:tc>
                <w:tcPr>
                  <w:tcW w:w="2937" w:type="dxa"/>
                </w:tcPr>
                <w:p w14:paraId="7D1BF7DE" w14:textId="77777777" w:rsidR="00CC252A" w:rsidRPr="00B7789C" w:rsidRDefault="00CC252A" w:rsidP="00CC252A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35010CBD" w14:textId="75B13B01" w:rsidR="00CC252A" w:rsidRPr="00B7789C" w:rsidRDefault="00CC252A" w:rsidP="00CC252A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CC252A" w:rsidRPr="00397C3E" w14:paraId="16B194FA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6D79661A" w14:textId="38D915A2" w:rsidR="00CC252A" w:rsidRPr="00397C3E" w:rsidRDefault="00CC252A" w:rsidP="00CC252A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  <w:r w:rsidR="00D5386A">
                    <w:rPr>
                      <w:i/>
                    </w:rPr>
                    <w:t>***)</w:t>
                  </w:r>
                </w:p>
              </w:tc>
              <w:tc>
                <w:tcPr>
                  <w:tcW w:w="2937" w:type="dxa"/>
                </w:tcPr>
                <w:p w14:paraId="654ED79F" w14:textId="7F3740E9" w:rsidR="00CC252A" w:rsidRPr="00B7789C" w:rsidRDefault="00CC252A" w:rsidP="00CC252A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1CB2E96C" w14:textId="1928D9DA" w:rsidR="00CC252A" w:rsidRPr="00B7789C" w:rsidRDefault="00CC252A" w:rsidP="00CC252A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CC252A" w:rsidRPr="00397C3E" w14:paraId="0BD33C99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35ACEBE6" w14:textId="77777777" w:rsidR="00CC252A" w:rsidRPr="00397C3E" w:rsidRDefault="00CC252A" w:rsidP="00CC252A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45E2AF6B" w14:textId="600146A7" w:rsidR="00CC252A" w:rsidRPr="00B7789C" w:rsidRDefault="003F7AF1" w:rsidP="003F7AF1">
                  <w:pPr>
                    <w:jc w:val="right"/>
                    <w:rPr>
                      <w:b/>
                    </w:rPr>
                  </w:pPr>
                  <w:r w:rsidRPr="00B7789C">
                    <w:t>Nie je možné určiť ani expertným odhadom.</w:t>
                  </w:r>
                </w:p>
              </w:tc>
              <w:tc>
                <w:tcPr>
                  <w:tcW w:w="2953" w:type="dxa"/>
                </w:tcPr>
                <w:p w14:paraId="2470860C" w14:textId="2C0061FD" w:rsidR="00CC252A" w:rsidRPr="00B7789C" w:rsidRDefault="003F7AF1" w:rsidP="003F7AF1">
                  <w:pPr>
                    <w:jc w:val="right"/>
                    <w:rPr>
                      <w:b/>
                    </w:rPr>
                  </w:pPr>
                  <w:r w:rsidRPr="00B7789C">
                    <w:t>Nie je možné určiť ani expertným odhadom.</w:t>
                  </w:r>
                </w:p>
              </w:tc>
            </w:tr>
          </w:tbl>
          <w:p w14:paraId="63AB283D" w14:textId="041F0DEB" w:rsidR="00554BC6" w:rsidRPr="0049672E" w:rsidRDefault="009D5710" w:rsidP="009D5710">
            <w:pPr>
              <w:jc w:val="both"/>
              <w:rPr>
                <w:sz w:val="16"/>
                <w:szCs w:val="16"/>
              </w:rPr>
            </w:pPr>
            <w:r w:rsidRPr="0049672E">
              <w:rPr>
                <w:sz w:val="16"/>
                <w:szCs w:val="16"/>
              </w:rPr>
              <w:t>*)</w:t>
            </w:r>
            <w:r w:rsidR="00C76E8F" w:rsidRPr="0049672E">
              <w:rPr>
                <w:sz w:val="16"/>
                <w:szCs w:val="16"/>
              </w:rPr>
              <w:t> </w:t>
            </w:r>
            <w:r w:rsidRPr="0049672E">
              <w:rPr>
                <w:sz w:val="16"/>
                <w:szCs w:val="16"/>
              </w:rPr>
              <w:t>priame finančné náklady predstavujú náklady a úpravy podľa § 4 ods. 3</w:t>
            </w:r>
            <w:r w:rsidR="001E20B1" w:rsidRPr="0049672E">
              <w:rPr>
                <w:sz w:val="16"/>
                <w:szCs w:val="16"/>
              </w:rPr>
              <w:t xml:space="preserve"> návrhu</w:t>
            </w:r>
            <w:r w:rsidRPr="0049672E">
              <w:rPr>
                <w:sz w:val="16"/>
                <w:szCs w:val="16"/>
              </w:rPr>
              <w:t xml:space="preserve"> nariadenia vlády Slovenskej republiky pre jednotlivé terminálne zóny spoplatňovania a ich výška bude určená poskytovateľmi terminálnych leteckých navigačných služieb </w:t>
            </w:r>
          </w:p>
          <w:p w14:paraId="423C04F6" w14:textId="084A46E4" w:rsidR="00C76E8F" w:rsidRPr="0049672E" w:rsidRDefault="00C76E8F" w:rsidP="009D5710">
            <w:pPr>
              <w:jc w:val="both"/>
              <w:rPr>
                <w:sz w:val="16"/>
                <w:szCs w:val="16"/>
              </w:rPr>
            </w:pPr>
            <w:r w:rsidRPr="0049672E">
              <w:rPr>
                <w:sz w:val="16"/>
                <w:szCs w:val="16"/>
              </w:rPr>
              <w:t xml:space="preserve">**) nepredpokladá sa, že vo vzťahu k návrhu nariadenia vlády Slovenskej republiky vzniknú </w:t>
            </w:r>
            <w:r w:rsidR="00661B20" w:rsidRPr="0049672E">
              <w:rPr>
                <w:sz w:val="16"/>
                <w:szCs w:val="16"/>
              </w:rPr>
              <w:t xml:space="preserve">poskytovateľom terminálnych leteckých navigačných služieb </w:t>
            </w:r>
            <w:r w:rsidRPr="0049672E">
              <w:rPr>
                <w:sz w:val="16"/>
                <w:szCs w:val="16"/>
              </w:rPr>
              <w:t xml:space="preserve">nové nepriame finančné náklady </w:t>
            </w:r>
          </w:p>
          <w:p w14:paraId="499BADE4" w14:textId="1047C71E" w:rsidR="00C76E8F" w:rsidRPr="0049672E" w:rsidRDefault="00C76E8F" w:rsidP="009D5710">
            <w:pPr>
              <w:jc w:val="both"/>
              <w:rPr>
                <w:sz w:val="16"/>
                <w:szCs w:val="16"/>
              </w:rPr>
            </w:pPr>
            <w:r w:rsidRPr="0049672E">
              <w:rPr>
                <w:sz w:val="16"/>
                <w:szCs w:val="16"/>
              </w:rPr>
              <w:t xml:space="preserve">***) nepredpokladá sa, že vo vzťahu k návrhu nariadenia vlády Slovenskej republiky vzniknú </w:t>
            </w:r>
            <w:r w:rsidR="00661B20" w:rsidRPr="0049672E">
              <w:rPr>
                <w:sz w:val="16"/>
                <w:szCs w:val="16"/>
              </w:rPr>
              <w:t xml:space="preserve">poskytovateľom terminálnych leteckých navigačných služieb </w:t>
            </w:r>
            <w:r w:rsidRPr="0049672E">
              <w:rPr>
                <w:sz w:val="16"/>
                <w:szCs w:val="16"/>
              </w:rPr>
              <w:t>nové administratívne finančné náklady priamo spojené s poskytovaním terminálnych leteckých navigačných služieb okrem nižšie vyčíslených administratívnych nákladov s ohľadom na plnenie povinností poskytovateľa terminálnych leteckých navigačných služieb podľa zákona č. 213/2019 Z. z. a návrhu nariadenia vlády Slovenskej republiky</w:t>
            </w:r>
          </w:p>
          <w:p w14:paraId="335373EF" w14:textId="77777777" w:rsidR="009D5710" w:rsidRDefault="009D5710" w:rsidP="00CC252A"/>
          <w:p w14:paraId="49F68FBB" w14:textId="77777777" w:rsidR="009D5710" w:rsidRPr="0049672E" w:rsidRDefault="009D5710" w:rsidP="009D5710">
            <w:pPr>
              <w:pStyle w:val="Odsekzoznamu"/>
              <w:keepNext/>
              <w:numPr>
                <w:ilvl w:val="0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2E">
              <w:rPr>
                <w:rFonts w:ascii="Times New Roman" w:hAnsi="Times New Roman" w:cs="Times New Roman"/>
                <w:sz w:val="20"/>
                <w:szCs w:val="20"/>
              </w:rPr>
              <w:t>podklady na konzultačné stretnutie so zástupcami používateľov vzdušného priestoru pred začiatkom referenčného obdobia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9D5710" w:rsidRPr="00397C3E" w14:paraId="73993127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12F4CFB4" w14:textId="77777777" w:rsidR="009D5710" w:rsidRPr="00397C3E" w:rsidRDefault="009D5710" w:rsidP="009D5710">
                  <w:pPr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54D0ECE7" w14:textId="77777777" w:rsidR="009D5710" w:rsidRPr="00397C3E" w:rsidRDefault="009D5710" w:rsidP="009D5710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6E1D42D1" w14:textId="77777777" w:rsidR="009D5710" w:rsidRPr="00397C3E" w:rsidRDefault="009D5710" w:rsidP="009D5710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9D5710" w:rsidRPr="00397C3E" w14:paraId="7A2099E4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56FF8E4B" w14:textId="77777777" w:rsidR="009D5710" w:rsidRPr="00397C3E" w:rsidRDefault="009D5710" w:rsidP="009D5710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37" w:type="dxa"/>
                </w:tcPr>
                <w:p w14:paraId="2502A718" w14:textId="77777777" w:rsidR="009D5710" w:rsidRPr="00B7789C" w:rsidRDefault="009D5710" w:rsidP="009D5710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71D10102" w14:textId="77777777" w:rsidR="009D5710" w:rsidRPr="00B7789C" w:rsidRDefault="009D5710" w:rsidP="009D5710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9D5710" w:rsidRPr="00397C3E" w14:paraId="653C7D21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4FBCBCE2" w14:textId="77777777" w:rsidR="009D5710" w:rsidRPr="00397C3E" w:rsidRDefault="009D5710" w:rsidP="009D5710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lastRenderedPageBreak/>
                    <w:t>Nepriame finančné náklady</w:t>
                  </w:r>
                </w:p>
              </w:tc>
              <w:tc>
                <w:tcPr>
                  <w:tcW w:w="2937" w:type="dxa"/>
                </w:tcPr>
                <w:p w14:paraId="16A70A16" w14:textId="77777777" w:rsidR="009D5710" w:rsidRPr="00B7789C" w:rsidRDefault="009D5710" w:rsidP="009D5710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213ABB9F" w14:textId="77777777" w:rsidR="009D5710" w:rsidRPr="00B7789C" w:rsidRDefault="009D5710" w:rsidP="009D5710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9D5710" w:rsidRPr="00397C3E" w14:paraId="1A30C773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5C9947EF" w14:textId="77777777" w:rsidR="009D5710" w:rsidRPr="00397C3E" w:rsidRDefault="009D5710" w:rsidP="009D5710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37" w:type="dxa"/>
                </w:tcPr>
                <w:p w14:paraId="7F6979B5" w14:textId="77777777" w:rsidR="009D5710" w:rsidRPr="00B7789C" w:rsidRDefault="009D5710" w:rsidP="009D5710">
                  <w:pPr>
                    <w:jc w:val="right"/>
                  </w:pPr>
                  <w:r w:rsidRPr="00B7789C">
                    <w:t>75,31 €</w:t>
                  </w:r>
                </w:p>
              </w:tc>
              <w:tc>
                <w:tcPr>
                  <w:tcW w:w="2953" w:type="dxa"/>
                </w:tcPr>
                <w:p w14:paraId="0C6F0573" w14:textId="77777777" w:rsidR="009D5710" w:rsidRPr="00B7789C" w:rsidRDefault="009D5710" w:rsidP="009D5710">
                  <w:pPr>
                    <w:jc w:val="right"/>
                  </w:pPr>
                  <w:r w:rsidRPr="00B7789C">
                    <w:t>150,62 €</w:t>
                  </w:r>
                </w:p>
              </w:tc>
            </w:tr>
            <w:tr w:rsidR="009D5710" w:rsidRPr="00397C3E" w14:paraId="5C6C2E30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5C6042DE" w14:textId="77777777" w:rsidR="009D5710" w:rsidRPr="00397C3E" w:rsidRDefault="009D5710" w:rsidP="009D5710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73F23269" w14:textId="77777777" w:rsidR="009D5710" w:rsidRPr="00B7789C" w:rsidRDefault="009D5710" w:rsidP="009D5710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0,00 €</w:t>
                  </w:r>
                </w:p>
              </w:tc>
              <w:tc>
                <w:tcPr>
                  <w:tcW w:w="2953" w:type="dxa"/>
                </w:tcPr>
                <w:p w14:paraId="2D84D856" w14:textId="77777777" w:rsidR="009D5710" w:rsidRPr="00B7789C" w:rsidRDefault="009D5710" w:rsidP="009D5710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0,00 €</w:t>
                  </w:r>
                </w:p>
              </w:tc>
            </w:tr>
          </w:tbl>
          <w:p w14:paraId="3D34C433" w14:textId="77777777" w:rsidR="009D5710" w:rsidRDefault="009D5710" w:rsidP="009D5710"/>
          <w:p w14:paraId="46F0FF86" w14:textId="10CA1DF4" w:rsidR="00554BC6" w:rsidRPr="0049672E" w:rsidRDefault="00554BC6" w:rsidP="00554BC6">
            <w:pPr>
              <w:pStyle w:val="Odsekzoznamu"/>
              <w:keepNext/>
              <w:numPr>
                <w:ilvl w:val="0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2E">
              <w:rPr>
                <w:rFonts w:ascii="Times New Roman" w:hAnsi="Times New Roman" w:cs="Times New Roman"/>
                <w:sz w:val="20"/>
                <w:szCs w:val="20"/>
              </w:rPr>
              <w:t>podklady na konzultačné stretnutie so zástupcami používateľov vzdušného priestoru počas referenčného obdobia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554BC6" w:rsidRPr="00397C3E" w14:paraId="2BE18B62" w14:textId="77777777" w:rsidTr="009D5710">
              <w:trPr>
                <w:cantSplit/>
                <w:jc w:val="center"/>
              </w:trPr>
              <w:tc>
                <w:tcPr>
                  <w:tcW w:w="2946" w:type="dxa"/>
                </w:tcPr>
                <w:p w14:paraId="26878BAD" w14:textId="77777777" w:rsidR="00554BC6" w:rsidRPr="00397C3E" w:rsidRDefault="00554BC6" w:rsidP="009D5710">
                  <w:pPr>
                    <w:keepNext/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39063714" w14:textId="77777777" w:rsidR="00554BC6" w:rsidRPr="00397C3E" w:rsidRDefault="00554BC6" w:rsidP="009D5710">
                  <w:pPr>
                    <w:keepNext/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3E7BBBD4" w14:textId="77777777" w:rsidR="00554BC6" w:rsidRPr="00397C3E" w:rsidRDefault="00554BC6" w:rsidP="009D5710">
                  <w:pPr>
                    <w:keepNext/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554BC6" w:rsidRPr="00397C3E" w14:paraId="09B07851" w14:textId="77777777" w:rsidTr="009D5710">
              <w:trPr>
                <w:cantSplit/>
                <w:jc w:val="center"/>
              </w:trPr>
              <w:tc>
                <w:tcPr>
                  <w:tcW w:w="2946" w:type="dxa"/>
                </w:tcPr>
                <w:p w14:paraId="06AD0081" w14:textId="77777777" w:rsidR="00554BC6" w:rsidRPr="00397C3E" w:rsidRDefault="00554BC6" w:rsidP="009D5710">
                  <w:pPr>
                    <w:keepNext/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37" w:type="dxa"/>
                </w:tcPr>
                <w:p w14:paraId="35F8F66F" w14:textId="77777777" w:rsidR="00554BC6" w:rsidRPr="00B7789C" w:rsidRDefault="00554BC6" w:rsidP="009D5710">
                  <w:pPr>
                    <w:keepNext/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2B12C230" w14:textId="77777777" w:rsidR="00554BC6" w:rsidRPr="00B7789C" w:rsidRDefault="00554BC6" w:rsidP="009D5710">
                  <w:pPr>
                    <w:keepNext/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08BF23D5" w14:textId="77777777" w:rsidTr="009D5710">
              <w:trPr>
                <w:cantSplit/>
                <w:jc w:val="center"/>
              </w:trPr>
              <w:tc>
                <w:tcPr>
                  <w:tcW w:w="2946" w:type="dxa"/>
                </w:tcPr>
                <w:p w14:paraId="52047CD6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37" w:type="dxa"/>
                </w:tcPr>
                <w:p w14:paraId="11360D8A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61B21AE8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6E6A330D" w14:textId="77777777" w:rsidTr="009D5710">
              <w:trPr>
                <w:cantSplit/>
                <w:jc w:val="center"/>
              </w:trPr>
              <w:tc>
                <w:tcPr>
                  <w:tcW w:w="2946" w:type="dxa"/>
                </w:tcPr>
                <w:p w14:paraId="27CE44EC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37" w:type="dxa"/>
                </w:tcPr>
                <w:p w14:paraId="2F36E176" w14:textId="77777777" w:rsidR="00554BC6" w:rsidRPr="00B7789C" w:rsidRDefault="00554BC6" w:rsidP="00554BC6">
                  <w:pPr>
                    <w:jc w:val="right"/>
                  </w:pPr>
                  <w:r w:rsidRPr="00B7789C">
                    <w:t>75,31 €</w:t>
                  </w:r>
                </w:p>
              </w:tc>
              <w:tc>
                <w:tcPr>
                  <w:tcW w:w="2953" w:type="dxa"/>
                </w:tcPr>
                <w:p w14:paraId="67742988" w14:textId="77777777" w:rsidR="00554BC6" w:rsidRPr="00B7789C" w:rsidRDefault="00554BC6" w:rsidP="00554BC6">
                  <w:pPr>
                    <w:jc w:val="right"/>
                  </w:pPr>
                  <w:r w:rsidRPr="00B7789C">
                    <w:t>150,62 €</w:t>
                  </w:r>
                </w:p>
              </w:tc>
            </w:tr>
            <w:tr w:rsidR="00554BC6" w:rsidRPr="00397C3E" w14:paraId="754E6E82" w14:textId="77777777" w:rsidTr="009D5710">
              <w:trPr>
                <w:cantSplit/>
                <w:jc w:val="center"/>
              </w:trPr>
              <w:tc>
                <w:tcPr>
                  <w:tcW w:w="2946" w:type="dxa"/>
                </w:tcPr>
                <w:p w14:paraId="7B356218" w14:textId="77777777" w:rsidR="00554BC6" w:rsidRPr="00397C3E" w:rsidRDefault="00554BC6" w:rsidP="00554BC6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4A0133F8" w14:textId="0E61B8A9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75,31 €</w:t>
                  </w:r>
                </w:p>
              </w:tc>
              <w:tc>
                <w:tcPr>
                  <w:tcW w:w="2953" w:type="dxa"/>
                </w:tcPr>
                <w:p w14:paraId="2B3397AC" w14:textId="56F7C5B7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150,62 €</w:t>
                  </w:r>
                </w:p>
              </w:tc>
            </w:tr>
          </w:tbl>
          <w:p w14:paraId="5CF266F0" w14:textId="77777777" w:rsidR="00554BC6" w:rsidRDefault="00554BC6" w:rsidP="00554BC6"/>
          <w:p w14:paraId="7A3B0F10" w14:textId="420B08F5" w:rsidR="00554BC6" w:rsidRPr="0049672E" w:rsidRDefault="00554BC6" w:rsidP="00554BC6">
            <w:pPr>
              <w:pStyle w:val="Odsekzoznamu"/>
              <w:keepNext/>
              <w:numPr>
                <w:ilvl w:val="0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2E">
              <w:rPr>
                <w:rFonts w:ascii="Times New Roman" w:hAnsi="Times New Roman" w:cs="Times New Roman"/>
                <w:sz w:val="20"/>
                <w:szCs w:val="20"/>
              </w:rPr>
              <w:t>zápisnica o vykonaní konzultačného stretnutia so zástupcami používateľov vzdušného priestoru pred začiatkom referenčného obdobia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554BC6" w:rsidRPr="00397C3E" w14:paraId="1534B2D8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70490E2E" w14:textId="77777777" w:rsidR="00554BC6" w:rsidRPr="00397C3E" w:rsidRDefault="00554BC6" w:rsidP="00554BC6">
                  <w:pPr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3DB1EE53" w14:textId="77777777" w:rsidR="00554BC6" w:rsidRPr="00397C3E" w:rsidRDefault="00554BC6" w:rsidP="00554BC6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6E10CA7B" w14:textId="77777777" w:rsidR="00554BC6" w:rsidRPr="00397C3E" w:rsidRDefault="00554BC6" w:rsidP="00554BC6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554BC6" w:rsidRPr="00397C3E" w14:paraId="2B057276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21BDBA26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37" w:type="dxa"/>
                </w:tcPr>
                <w:p w14:paraId="069B07B2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0482DA82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5D08101A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0B04EC6A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37" w:type="dxa"/>
                </w:tcPr>
                <w:p w14:paraId="56EE664A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12D6FF2D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7E9933B6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195E9C79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37" w:type="dxa"/>
                </w:tcPr>
                <w:p w14:paraId="5DA59E6E" w14:textId="26DFB5D1" w:rsidR="00554BC6" w:rsidRPr="00B7789C" w:rsidRDefault="00554BC6" w:rsidP="00554BC6">
                  <w:pPr>
                    <w:jc w:val="right"/>
                  </w:pPr>
                  <w:r w:rsidRPr="00B7789C">
                    <w:t>71,24 €</w:t>
                  </w:r>
                </w:p>
              </w:tc>
              <w:tc>
                <w:tcPr>
                  <w:tcW w:w="2953" w:type="dxa"/>
                </w:tcPr>
                <w:p w14:paraId="35BBBEF3" w14:textId="6773CCB3" w:rsidR="00554BC6" w:rsidRPr="00B7789C" w:rsidRDefault="00554BC6" w:rsidP="00554BC6">
                  <w:pPr>
                    <w:jc w:val="right"/>
                  </w:pPr>
                  <w:r w:rsidRPr="00B7789C">
                    <w:t>142,48 €</w:t>
                  </w:r>
                </w:p>
              </w:tc>
            </w:tr>
            <w:tr w:rsidR="00554BC6" w:rsidRPr="00397C3E" w14:paraId="7B76C1E6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5661B93D" w14:textId="77777777" w:rsidR="00554BC6" w:rsidRPr="00397C3E" w:rsidRDefault="00554BC6" w:rsidP="00554BC6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7E0C3731" w14:textId="2AFCA832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71,24 €</w:t>
                  </w:r>
                </w:p>
              </w:tc>
              <w:tc>
                <w:tcPr>
                  <w:tcW w:w="2953" w:type="dxa"/>
                </w:tcPr>
                <w:p w14:paraId="35AE516E" w14:textId="16397FED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142,48 €</w:t>
                  </w:r>
                </w:p>
              </w:tc>
            </w:tr>
          </w:tbl>
          <w:p w14:paraId="15F985B3" w14:textId="77777777" w:rsidR="00554BC6" w:rsidRDefault="00554BC6" w:rsidP="00554BC6"/>
          <w:p w14:paraId="073FB03F" w14:textId="7B8B8D16" w:rsidR="00554BC6" w:rsidRPr="0049672E" w:rsidRDefault="00554BC6" w:rsidP="00554BC6">
            <w:pPr>
              <w:pStyle w:val="Odsekzoznamu"/>
              <w:keepNext/>
              <w:numPr>
                <w:ilvl w:val="0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72E">
              <w:rPr>
                <w:rFonts w:ascii="Times New Roman" w:hAnsi="Times New Roman" w:cs="Times New Roman"/>
                <w:sz w:val="20"/>
                <w:szCs w:val="20"/>
              </w:rPr>
              <w:t>zápisnica o vykonaní konzultačného stretnutia so zástupcami používateľov vzdušného priestoru počas referenčného obdobia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554BC6" w:rsidRPr="00397C3E" w14:paraId="527E2D1F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31592778" w14:textId="77777777" w:rsidR="00554BC6" w:rsidRPr="00397C3E" w:rsidRDefault="00554BC6" w:rsidP="00554BC6">
                  <w:pPr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444C047B" w14:textId="77777777" w:rsidR="00554BC6" w:rsidRPr="00397C3E" w:rsidRDefault="00554BC6" w:rsidP="00554BC6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3354AD03" w14:textId="77777777" w:rsidR="00554BC6" w:rsidRPr="00397C3E" w:rsidRDefault="00554BC6" w:rsidP="00554BC6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554BC6" w:rsidRPr="00397C3E" w14:paraId="3BA4CB6D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4D95E0B8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37" w:type="dxa"/>
                </w:tcPr>
                <w:p w14:paraId="09DAC040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280DFCB7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63F59BB2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3C1CF15C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37" w:type="dxa"/>
                </w:tcPr>
                <w:p w14:paraId="3D642B51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  <w:tc>
                <w:tcPr>
                  <w:tcW w:w="2953" w:type="dxa"/>
                </w:tcPr>
                <w:p w14:paraId="46DE948C" w14:textId="77777777" w:rsidR="00554BC6" w:rsidRPr="00B7789C" w:rsidRDefault="00554BC6" w:rsidP="00554BC6">
                  <w:pPr>
                    <w:jc w:val="right"/>
                  </w:pPr>
                  <w:r w:rsidRPr="00B7789C">
                    <w:t>0,00 €</w:t>
                  </w:r>
                </w:p>
              </w:tc>
            </w:tr>
            <w:tr w:rsidR="00554BC6" w:rsidRPr="00397C3E" w14:paraId="4D47A498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6062D786" w14:textId="77777777" w:rsidR="00554BC6" w:rsidRPr="00397C3E" w:rsidRDefault="00554BC6" w:rsidP="00554BC6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37" w:type="dxa"/>
                </w:tcPr>
                <w:p w14:paraId="4AF3240B" w14:textId="77777777" w:rsidR="00554BC6" w:rsidRPr="00B7789C" w:rsidRDefault="00554BC6" w:rsidP="00554BC6">
                  <w:pPr>
                    <w:jc w:val="right"/>
                  </w:pPr>
                  <w:r w:rsidRPr="00B7789C">
                    <w:t>71,24 €</w:t>
                  </w:r>
                </w:p>
              </w:tc>
              <w:tc>
                <w:tcPr>
                  <w:tcW w:w="2953" w:type="dxa"/>
                </w:tcPr>
                <w:p w14:paraId="6CBA9734" w14:textId="77777777" w:rsidR="00554BC6" w:rsidRPr="00B7789C" w:rsidRDefault="00554BC6" w:rsidP="00554BC6">
                  <w:pPr>
                    <w:jc w:val="right"/>
                  </w:pPr>
                  <w:r w:rsidRPr="00B7789C">
                    <w:t>142,48 €</w:t>
                  </w:r>
                </w:p>
              </w:tc>
            </w:tr>
            <w:tr w:rsidR="00554BC6" w:rsidRPr="00397C3E" w14:paraId="19620D1E" w14:textId="77777777" w:rsidTr="00A632E6">
              <w:trPr>
                <w:jc w:val="center"/>
              </w:trPr>
              <w:tc>
                <w:tcPr>
                  <w:tcW w:w="2946" w:type="dxa"/>
                </w:tcPr>
                <w:p w14:paraId="50823B0D" w14:textId="77777777" w:rsidR="00554BC6" w:rsidRPr="00397C3E" w:rsidRDefault="00554BC6" w:rsidP="00554BC6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2F2047C7" w14:textId="77777777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71,24 €</w:t>
                  </w:r>
                </w:p>
              </w:tc>
              <w:tc>
                <w:tcPr>
                  <w:tcW w:w="2953" w:type="dxa"/>
                </w:tcPr>
                <w:p w14:paraId="046E5FE8" w14:textId="77777777" w:rsidR="00554BC6" w:rsidRPr="00B7789C" w:rsidRDefault="00554BC6" w:rsidP="00554BC6">
                  <w:pPr>
                    <w:jc w:val="right"/>
                    <w:rPr>
                      <w:b/>
                    </w:rPr>
                  </w:pPr>
                  <w:r w:rsidRPr="00B7789C">
                    <w:rPr>
                      <w:b/>
                    </w:rPr>
                    <w:t>142,48 €</w:t>
                  </w:r>
                </w:p>
              </w:tc>
            </w:tr>
          </w:tbl>
          <w:p w14:paraId="7914D897" w14:textId="54346300" w:rsidR="00784FE3" w:rsidRDefault="00784FE3" w:rsidP="00554BC6"/>
          <w:p w14:paraId="78C6CBAA" w14:textId="77777777" w:rsidR="0038167F" w:rsidRPr="00784FE3" w:rsidRDefault="0038167F" w:rsidP="00554BC6"/>
          <w:p w14:paraId="446753E2" w14:textId="1D2E8D7C" w:rsidR="00784FE3" w:rsidRPr="0038167F" w:rsidRDefault="00784FE3" w:rsidP="00554BC6">
            <w:r w:rsidRPr="0038167F">
              <w:t>Používatelia vzdušného priestoru</w:t>
            </w:r>
          </w:p>
          <w:p w14:paraId="1DF6911C" w14:textId="77777777" w:rsidR="00784FE3" w:rsidRPr="0038167F" w:rsidRDefault="00784FE3" w:rsidP="00554BC6"/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6"/>
              <w:gridCol w:w="2937"/>
              <w:gridCol w:w="2953"/>
            </w:tblGrid>
            <w:tr w:rsidR="00784FE3" w:rsidRPr="00397C3E" w14:paraId="48147D77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34AB0368" w14:textId="77777777" w:rsidR="00784FE3" w:rsidRPr="00397C3E" w:rsidRDefault="00784FE3" w:rsidP="00784FE3">
                  <w:pPr>
                    <w:rPr>
                      <w:i/>
                    </w:rPr>
                  </w:pPr>
                </w:p>
              </w:tc>
              <w:tc>
                <w:tcPr>
                  <w:tcW w:w="2937" w:type="dxa"/>
                </w:tcPr>
                <w:p w14:paraId="1FAE8A38" w14:textId="77777777" w:rsidR="00784FE3" w:rsidRPr="00397C3E" w:rsidRDefault="00784FE3" w:rsidP="00784FE3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1 subjekt</w:t>
                  </w:r>
                </w:p>
              </w:tc>
              <w:tc>
                <w:tcPr>
                  <w:tcW w:w="2953" w:type="dxa"/>
                </w:tcPr>
                <w:p w14:paraId="05F94D3B" w14:textId="77777777" w:rsidR="00784FE3" w:rsidRPr="00397C3E" w:rsidRDefault="00784FE3" w:rsidP="00784FE3">
                  <w:pPr>
                    <w:jc w:val="center"/>
                    <w:rPr>
                      <w:i/>
                    </w:rPr>
                  </w:pPr>
                  <w:r w:rsidRPr="00397C3E">
                    <w:rPr>
                      <w:i/>
                    </w:rPr>
                    <w:t>Náklady na celé prostredie</w:t>
                  </w:r>
                </w:p>
              </w:tc>
            </w:tr>
            <w:tr w:rsidR="00784FE3" w:rsidRPr="00397C3E" w14:paraId="49BE6556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551E1E70" w14:textId="0AC54687" w:rsidR="00784FE3" w:rsidRPr="00397C3E" w:rsidRDefault="00784FE3" w:rsidP="00784FE3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Priame finančné náklady</w:t>
                  </w:r>
                  <w:r w:rsidR="00661B20" w:rsidRPr="00661B20">
                    <w:rPr>
                      <w:i/>
                      <w:vertAlign w:val="superscript"/>
                    </w:rPr>
                    <w:t>+</w:t>
                  </w:r>
                  <w:r w:rsidR="00661B20">
                    <w:rPr>
                      <w:i/>
                    </w:rPr>
                    <w:t>)</w:t>
                  </w:r>
                </w:p>
              </w:tc>
              <w:tc>
                <w:tcPr>
                  <w:tcW w:w="2937" w:type="dxa"/>
                </w:tcPr>
                <w:p w14:paraId="7F829137" w14:textId="038C8A63" w:rsidR="00784FE3" w:rsidRPr="00B7789C" w:rsidRDefault="00B7789C" w:rsidP="00661B20">
                  <w:pPr>
                    <w:jc w:val="right"/>
                  </w:pPr>
                  <w:r w:rsidRPr="00B7789C">
                    <w:t>Nie je možné určiť ani expertným odhadom.</w:t>
                  </w:r>
                </w:p>
              </w:tc>
              <w:tc>
                <w:tcPr>
                  <w:tcW w:w="2953" w:type="dxa"/>
                </w:tcPr>
                <w:p w14:paraId="4F09E5B6" w14:textId="379DF065" w:rsidR="00784FE3" w:rsidRPr="00B7789C" w:rsidRDefault="00B7789C" w:rsidP="00784FE3">
                  <w:pPr>
                    <w:jc w:val="right"/>
                  </w:pPr>
                  <w:r w:rsidRPr="00B7789C">
                    <w:t>Nie je možné určiť ani expertným odhadom.</w:t>
                  </w:r>
                </w:p>
              </w:tc>
            </w:tr>
            <w:tr w:rsidR="00784FE3" w:rsidRPr="00397C3E" w14:paraId="034BCE17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28427580" w14:textId="60872FB8" w:rsidR="00784FE3" w:rsidRPr="00397C3E" w:rsidRDefault="00784FE3" w:rsidP="00784FE3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Nepriame finančné náklady</w:t>
                  </w:r>
                  <w:r w:rsidR="00661B20" w:rsidRPr="00661B20">
                    <w:rPr>
                      <w:i/>
                      <w:vertAlign w:val="superscript"/>
                    </w:rPr>
                    <w:t>+</w:t>
                  </w:r>
                  <w:r w:rsidR="00661B20">
                    <w:rPr>
                      <w:i/>
                      <w:vertAlign w:val="superscript"/>
                    </w:rPr>
                    <w:t>+</w:t>
                  </w:r>
                  <w:r w:rsidR="00661B20">
                    <w:rPr>
                      <w:i/>
                    </w:rPr>
                    <w:t>)</w:t>
                  </w:r>
                </w:p>
              </w:tc>
              <w:tc>
                <w:tcPr>
                  <w:tcW w:w="2937" w:type="dxa"/>
                </w:tcPr>
                <w:p w14:paraId="18A28080" w14:textId="52F4BB13" w:rsidR="00784FE3" w:rsidRPr="00B7789C" w:rsidRDefault="00784FE3" w:rsidP="00784FE3">
                  <w:pPr>
                    <w:jc w:val="right"/>
                  </w:pPr>
                  <w:r w:rsidRPr="00B7789C">
                    <w:t>0,00 €</w:t>
                  </w:r>
                </w:p>
              </w:tc>
              <w:tc>
                <w:tcPr>
                  <w:tcW w:w="2953" w:type="dxa"/>
                </w:tcPr>
                <w:p w14:paraId="2D286F8A" w14:textId="31D05EC8" w:rsidR="00784FE3" w:rsidRPr="00B7789C" w:rsidRDefault="00784FE3" w:rsidP="00784FE3">
                  <w:pPr>
                    <w:jc w:val="right"/>
                  </w:pPr>
                  <w:r w:rsidRPr="00B7789C">
                    <w:t>0,00 €</w:t>
                  </w:r>
                </w:p>
              </w:tc>
            </w:tr>
            <w:tr w:rsidR="00661B20" w:rsidRPr="00397C3E" w14:paraId="195E07D1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0E2DEA60" w14:textId="6924C9E6" w:rsidR="00661B20" w:rsidRPr="00397C3E" w:rsidRDefault="00661B20" w:rsidP="00661B20">
                  <w:pPr>
                    <w:rPr>
                      <w:i/>
                    </w:rPr>
                  </w:pPr>
                  <w:r w:rsidRPr="00397C3E">
                    <w:rPr>
                      <w:i/>
                    </w:rPr>
                    <w:t>Administratívne náklady</w:t>
                  </w:r>
                  <w:r w:rsidRPr="00661B20">
                    <w:rPr>
                      <w:i/>
                      <w:vertAlign w:val="superscript"/>
                    </w:rPr>
                    <w:t>+</w:t>
                  </w:r>
                  <w:r>
                    <w:rPr>
                      <w:i/>
                      <w:vertAlign w:val="superscript"/>
                    </w:rPr>
                    <w:t>++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2937" w:type="dxa"/>
                </w:tcPr>
                <w:p w14:paraId="12852A30" w14:textId="0F79692D" w:rsidR="00661B20" w:rsidRPr="00B7789C" w:rsidRDefault="00661B20" w:rsidP="00661B20">
                  <w:pPr>
                    <w:jc w:val="right"/>
                  </w:pPr>
                  <w:r w:rsidRPr="00B7789C">
                    <w:t>0,00 €</w:t>
                  </w:r>
                </w:p>
              </w:tc>
              <w:tc>
                <w:tcPr>
                  <w:tcW w:w="2953" w:type="dxa"/>
                </w:tcPr>
                <w:p w14:paraId="19B03E98" w14:textId="3FC4922E" w:rsidR="00661B20" w:rsidRPr="00B7789C" w:rsidRDefault="00661B20" w:rsidP="00661B20">
                  <w:pPr>
                    <w:jc w:val="right"/>
                  </w:pPr>
                  <w:r w:rsidRPr="00B7789C">
                    <w:t>0,00 €</w:t>
                  </w:r>
                </w:p>
              </w:tc>
            </w:tr>
            <w:tr w:rsidR="00784FE3" w:rsidRPr="00554BC6" w14:paraId="3D4A6A13" w14:textId="77777777" w:rsidTr="00C003DA">
              <w:trPr>
                <w:jc w:val="center"/>
              </w:trPr>
              <w:tc>
                <w:tcPr>
                  <w:tcW w:w="2946" w:type="dxa"/>
                </w:tcPr>
                <w:p w14:paraId="475E920D" w14:textId="77777777" w:rsidR="00784FE3" w:rsidRPr="00397C3E" w:rsidRDefault="00784FE3" w:rsidP="00784FE3">
                  <w:pPr>
                    <w:rPr>
                      <w:b/>
                      <w:i/>
                    </w:rPr>
                  </w:pPr>
                  <w:r w:rsidRPr="00397C3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37" w:type="dxa"/>
                </w:tcPr>
                <w:p w14:paraId="1215CE3F" w14:textId="3C4E48B1" w:rsidR="00784FE3" w:rsidRPr="00B7789C" w:rsidRDefault="00B7789C" w:rsidP="00784FE3">
                  <w:pPr>
                    <w:jc w:val="right"/>
                    <w:rPr>
                      <w:b/>
                    </w:rPr>
                  </w:pPr>
                  <w:r w:rsidRPr="00B7789C">
                    <w:t>Nie je možné určiť ani expertným odhadom.</w:t>
                  </w:r>
                </w:p>
              </w:tc>
              <w:tc>
                <w:tcPr>
                  <w:tcW w:w="2953" w:type="dxa"/>
                </w:tcPr>
                <w:p w14:paraId="69961256" w14:textId="35A090BD" w:rsidR="00784FE3" w:rsidRPr="00B7789C" w:rsidRDefault="00B7789C" w:rsidP="00784FE3">
                  <w:pPr>
                    <w:jc w:val="right"/>
                    <w:rPr>
                      <w:b/>
                    </w:rPr>
                  </w:pPr>
                  <w:r w:rsidRPr="00B7789C">
                    <w:t>Nie je možné určiť ani expertným odhadom.</w:t>
                  </w:r>
                </w:p>
              </w:tc>
            </w:tr>
          </w:tbl>
          <w:p w14:paraId="304C56DB" w14:textId="01561FDD" w:rsidR="00784FE3" w:rsidRPr="0049672E" w:rsidRDefault="00661B20" w:rsidP="00661B20">
            <w:pPr>
              <w:jc w:val="both"/>
              <w:rPr>
                <w:sz w:val="16"/>
                <w:szCs w:val="16"/>
              </w:rPr>
            </w:pPr>
            <w:r w:rsidRPr="0049672E">
              <w:rPr>
                <w:b/>
                <w:sz w:val="16"/>
                <w:szCs w:val="16"/>
                <w:vertAlign w:val="superscript"/>
              </w:rPr>
              <w:t>+</w:t>
            </w:r>
            <w:r w:rsidRPr="0049672E">
              <w:rPr>
                <w:sz w:val="16"/>
                <w:szCs w:val="16"/>
              </w:rPr>
              <w:t>) priame finančné náklady jednotlivých používateľov vzdušného priestoru sa líšia v závislosti od MTOW lietadla, ktoré prevádzkujú a od terminálnej zóny spoplatňovania, v ktorej vykonajú vzlet a pristátie a tieto náklady zodpovedajú príslušnej terminálnej odplate.</w:t>
            </w:r>
          </w:p>
          <w:p w14:paraId="4D9698BA" w14:textId="4495A052" w:rsidR="00661B20" w:rsidRPr="0049672E" w:rsidRDefault="00661B20" w:rsidP="00661B20">
            <w:pPr>
              <w:jc w:val="both"/>
              <w:rPr>
                <w:sz w:val="16"/>
                <w:szCs w:val="16"/>
              </w:rPr>
            </w:pPr>
            <w:r w:rsidRPr="0049672E">
              <w:rPr>
                <w:sz w:val="16"/>
                <w:szCs w:val="16"/>
                <w:vertAlign w:val="superscript"/>
              </w:rPr>
              <w:t>++</w:t>
            </w:r>
            <w:r w:rsidRPr="0049672E">
              <w:rPr>
                <w:sz w:val="16"/>
                <w:szCs w:val="16"/>
              </w:rPr>
              <w:t>) nepredpokladá sa, že vo vzťahu k návrhu nariadenia vlády Slovenskej republiky vzniknú používateľom vzdušného priestoru nové nepriame finančné náklady</w:t>
            </w:r>
          </w:p>
          <w:p w14:paraId="1D948C3A" w14:textId="76448DE3" w:rsidR="00661B20" w:rsidRPr="0049672E" w:rsidRDefault="00661B20" w:rsidP="00661B20">
            <w:pPr>
              <w:jc w:val="both"/>
              <w:rPr>
                <w:sz w:val="16"/>
                <w:szCs w:val="16"/>
              </w:rPr>
            </w:pPr>
            <w:r w:rsidRPr="0049672E">
              <w:rPr>
                <w:sz w:val="16"/>
                <w:szCs w:val="16"/>
                <w:vertAlign w:val="superscript"/>
              </w:rPr>
              <w:t>+++</w:t>
            </w:r>
            <w:r w:rsidRPr="0049672E">
              <w:rPr>
                <w:sz w:val="16"/>
                <w:szCs w:val="16"/>
              </w:rPr>
              <w:t>) nepredpokladá sa, že vo vzťahu k návrhu nariadenia vlády Slovenskej republiky vzniknú používateľom vzdušného priestoru nové administratívne finančné náklady</w:t>
            </w:r>
          </w:p>
          <w:p w14:paraId="39C33CEC" w14:textId="77777777" w:rsidR="00E407CC" w:rsidRPr="00397C3E" w:rsidRDefault="00E407CC" w:rsidP="00102ECD"/>
        </w:tc>
      </w:tr>
      <w:tr w:rsidR="00D90220" w:rsidRPr="00397C3E" w14:paraId="73BB051A" w14:textId="77777777" w:rsidTr="00A632E6">
        <w:tc>
          <w:tcPr>
            <w:tcW w:w="9062" w:type="dxa"/>
            <w:shd w:val="clear" w:color="auto" w:fill="D9D9D9" w:themeFill="background1" w:themeFillShade="D9"/>
          </w:tcPr>
          <w:p w14:paraId="67275BE6" w14:textId="77777777" w:rsidR="00D90220" w:rsidRPr="00397C3E" w:rsidRDefault="00D90220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lastRenderedPageBreak/>
              <w:t>3.4 Konkurencieschopnosť a správanie sa podnikov na trhu</w:t>
            </w:r>
          </w:p>
          <w:p w14:paraId="6BFD693C" w14:textId="77777777" w:rsidR="00D90220" w:rsidRPr="00397C3E" w:rsidRDefault="00D90220" w:rsidP="00A25E5F">
            <w:r w:rsidRPr="00397C3E">
              <w:rPr>
                <w:b/>
                <w:sz w:val="24"/>
              </w:rPr>
              <w:t xml:space="preserve">       </w:t>
            </w:r>
            <w:r w:rsidRPr="00397C3E">
              <w:rPr>
                <w:sz w:val="24"/>
              </w:rPr>
              <w:t xml:space="preserve">- </w:t>
            </w:r>
            <w:r w:rsidRPr="00397C3E">
              <w:rPr>
                <w:b/>
                <w:sz w:val="24"/>
              </w:rPr>
              <w:t>z toho MSP</w:t>
            </w:r>
          </w:p>
        </w:tc>
      </w:tr>
      <w:tr w:rsidR="00D90220" w:rsidRPr="00397C3E" w14:paraId="65396489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68BF9C45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19DAFD94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13EC992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Ako ovplyvní cenu alebo dostupnosť základných zdrojov (suroviny, mechanizmy, pracovná sila, energie atď.)?</w:t>
            </w:r>
          </w:p>
          <w:p w14:paraId="60C79F5C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Ovplyvňuje prístup k financiám? Ak áno, ako?</w:t>
            </w:r>
          </w:p>
        </w:tc>
      </w:tr>
      <w:tr w:rsidR="00D90220" w:rsidRPr="00397C3E" w14:paraId="341389A4" w14:textId="77777777" w:rsidTr="00A632E6">
        <w:tc>
          <w:tcPr>
            <w:tcW w:w="9062" w:type="dxa"/>
            <w:tcBorders>
              <w:bottom w:val="single" w:sz="4" w:space="0" w:color="auto"/>
            </w:tcBorders>
          </w:tcPr>
          <w:p w14:paraId="65D2D873" w14:textId="3EBA82AC" w:rsidR="00D90220" w:rsidRPr="00397C3E" w:rsidRDefault="00D90220" w:rsidP="00A25E5F"/>
          <w:p w14:paraId="1433DA2D" w14:textId="11F6BF22" w:rsidR="000C4198" w:rsidRPr="00397C3E" w:rsidRDefault="000C4198" w:rsidP="000C4198">
            <w:pPr>
              <w:jc w:val="both"/>
            </w:pPr>
            <w:r w:rsidRPr="00397C3E">
              <w:t xml:space="preserve">Návrh nariadenia vlády </w:t>
            </w:r>
            <w:r w:rsidR="008C4DA6" w:rsidRPr="00397C3E">
              <w:t xml:space="preserve">Slovenskej republiky </w:t>
            </w:r>
            <w:r w:rsidRPr="00397C3E">
              <w:t xml:space="preserve">nemení podmienky na vstup nových poskytovateľov leteckých navigačných služieb. Tie sú upravené nariadením Európskeho parlamentu a Rady (ES) č. 550/2004 z 10. marca 2004 o poskytovaní letových navigačných služieb v jednotnom európskom nebi (nariadenie o poskytovaní služieb) </w:t>
            </w:r>
            <w:r w:rsidRPr="00397C3E">
              <w:lastRenderedPageBreak/>
              <w:t xml:space="preserve">v platnom znení v spojení so zákonom č. 143/1998 Z. z. </w:t>
            </w:r>
            <w:r w:rsidR="00A01E40" w:rsidRPr="00397C3E">
              <w:t xml:space="preserve">o civilnom letectve (letecký zákon) a o zmene a doplnení niektorých zákonov v znení neskorších predpisov. Trh s poskytovateľmi leteckých navigačných služieb v súčasnosti defacto neexistuje, poskytovatelia leteckých navigačných služieb sú </w:t>
            </w:r>
            <w:r w:rsidR="00F854A5" w:rsidRPr="00397C3E">
              <w:t>„</w:t>
            </w:r>
            <w:r w:rsidR="00A01E40" w:rsidRPr="00397C3E">
              <w:t>prirodzené monopoly</w:t>
            </w:r>
            <w:r w:rsidR="00F854A5" w:rsidRPr="00397C3E">
              <w:t>“</w:t>
            </w:r>
            <w:r w:rsidR="00A01E40" w:rsidRPr="00397C3E">
              <w:t xml:space="preserve">, a preto pri </w:t>
            </w:r>
            <w:r w:rsidR="00F854A5" w:rsidRPr="00397C3E">
              <w:t xml:space="preserve">určovaní </w:t>
            </w:r>
            <w:r w:rsidR="00A01E40" w:rsidRPr="00397C3E">
              <w:t>terminálnej jednotkovej sadzby a následnom výpočte terminálnej odplaty postupujú podľa jednotných pravidiel stanovených na úrovni Európskej únie alebo na národnej úrovni</w:t>
            </w:r>
            <w:r w:rsidR="0074318B" w:rsidRPr="00397C3E">
              <w:t xml:space="preserve"> rešpektujúc princípy a odporúčania Medzinárodnej organizácie civilného letectva</w:t>
            </w:r>
            <w:r w:rsidR="00A01E40" w:rsidRPr="00397C3E">
              <w:t>, a z tohto dôvodu nie je možné hodnotiť ich konkurencieschopnosť.</w:t>
            </w:r>
          </w:p>
          <w:p w14:paraId="1C6F9D88" w14:textId="77777777" w:rsidR="002F70B9" w:rsidRPr="00397C3E" w:rsidRDefault="002F70B9" w:rsidP="00D97163">
            <w:pPr>
              <w:jc w:val="both"/>
            </w:pPr>
          </w:p>
          <w:p w14:paraId="6E5E55EE" w14:textId="06CA12A4" w:rsidR="00D97163" w:rsidRPr="00397C3E" w:rsidRDefault="00D97163" w:rsidP="00F854A5">
            <w:pPr>
              <w:jc w:val="both"/>
            </w:pPr>
            <w:r w:rsidRPr="00397C3E">
              <w:t xml:space="preserve">Dostupnosť základných zdrojov, pracovných síl a energií taktiež </w:t>
            </w:r>
            <w:r w:rsidR="002F70B9" w:rsidRPr="00397C3E">
              <w:t xml:space="preserve">nie je návrhom nariadenia vlády </w:t>
            </w:r>
            <w:r w:rsidR="008C4DA6" w:rsidRPr="00397C3E">
              <w:t xml:space="preserve">Slovenskej republiky </w:t>
            </w:r>
            <w:r w:rsidR="002F70B9" w:rsidRPr="00397C3E">
              <w:t>dotknutá</w:t>
            </w:r>
            <w:r w:rsidRPr="00397C3E">
              <w:t xml:space="preserve">, keďže </w:t>
            </w:r>
            <w:r w:rsidR="002F70B9" w:rsidRPr="00397C3E">
              <w:t xml:space="preserve">poskytovatelia leteckých navigačných služieb v terminálnej zóne spoplatňovania </w:t>
            </w:r>
            <w:r w:rsidRPr="00397C3E">
              <w:t xml:space="preserve">nie sú </w:t>
            </w:r>
            <w:r w:rsidR="002F70B9" w:rsidRPr="00397C3E">
              <w:t>návrhom nariadenia vlády</w:t>
            </w:r>
            <w:r w:rsidRPr="00397C3E">
              <w:t xml:space="preserve"> </w:t>
            </w:r>
            <w:r w:rsidR="00AA5076" w:rsidRPr="00397C3E">
              <w:t xml:space="preserve">Slovenskej republiky </w:t>
            </w:r>
            <w:r w:rsidRPr="00397C3E">
              <w:t xml:space="preserve">zaťažené nákladmi navyše </w:t>
            </w:r>
            <w:r w:rsidR="002F70B9" w:rsidRPr="00397C3E">
              <w:t>oproti súčasnému systému</w:t>
            </w:r>
            <w:r w:rsidRPr="00397C3E">
              <w:t>.</w:t>
            </w:r>
          </w:p>
        </w:tc>
      </w:tr>
      <w:tr w:rsidR="00D90220" w:rsidRPr="00397C3E" w14:paraId="5BBD5098" w14:textId="77777777" w:rsidTr="00A632E6">
        <w:tc>
          <w:tcPr>
            <w:tcW w:w="9062" w:type="dxa"/>
            <w:shd w:val="clear" w:color="auto" w:fill="D9D9D9" w:themeFill="background1" w:themeFillShade="D9"/>
          </w:tcPr>
          <w:p w14:paraId="6C942DEB" w14:textId="77777777" w:rsidR="00D90220" w:rsidRPr="00397C3E" w:rsidRDefault="00D90220" w:rsidP="00A25E5F">
            <w:pPr>
              <w:rPr>
                <w:b/>
                <w:sz w:val="24"/>
              </w:rPr>
            </w:pPr>
            <w:r w:rsidRPr="00397C3E">
              <w:rPr>
                <w:b/>
                <w:sz w:val="24"/>
              </w:rPr>
              <w:lastRenderedPageBreak/>
              <w:t xml:space="preserve">3.5 Inovácie </w:t>
            </w:r>
          </w:p>
          <w:p w14:paraId="0BB28C4E" w14:textId="77777777" w:rsidR="00D90220" w:rsidRPr="00397C3E" w:rsidRDefault="00D90220" w:rsidP="00A25E5F">
            <w:pPr>
              <w:rPr>
                <w:b/>
              </w:rPr>
            </w:pPr>
            <w:r w:rsidRPr="00397C3E">
              <w:rPr>
                <w:sz w:val="24"/>
              </w:rPr>
              <w:t xml:space="preserve">       - </w:t>
            </w:r>
            <w:r w:rsidRPr="00397C3E">
              <w:rPr>
                <w:b/>
                <w:sz w:val="24"/>
              </w:rPr>
              <w:t>z toho MSP</w:t>
            </w:r>
          </w:p>
        </w:tc>
      </w:tr>
      <w:tr w:rsidR="00D90220" w:rsidRPr="00397C3E" w14:paraId="7E5F6627" w14:textId="77777777" w:rsidTr="00A632E6">
        <w:tc>
          <w:tcPr>
            <w:tcW w:w="9062" w:type="dxa"/>
          </w:tcPr>
          <w:p w14:paraId="08C9C345" w14:textId="77777777" w:rsidR="00D90220" w:rsidRPr="00397C3E" w:rsidRDefault="00D90220" w:rsidP="00A25E5F">
            <w:pPr>
              <w:rPr>
                <w:i/>
              </w:rPr>
            </w:pPr>
            <w:r w:rsidRPr="00397C3E">
              <w:rPr>
                <w:i/>
              </w:rPr>
              <w:t>Uveďte, ako podporuje navrhovaná zmena inovácie.</w:t>
            </w:r>
          </w:p>
          <w:p w14:paraId="3F54DEB2" w14:textId="77777777" w:rsidR="00D90220" w:rsidRPr="00397C3E" w:rsidRDefault="00D90220" w:rsidP="00A25E5F">
            <w:pPr>
              <w:rPr>
                <w:i/>
              </w:rPr>
            </w:pPr>
            <w:r w:rsidRPr="00397C3E">
              <w:rPr>
                <w:i/>
              </w:rPr>
              <w:t>Zjednodušuje uvedenie alebo rozšírenie nových výrobných metód, technológií a výrobkov na trh?</w:t>
            </w:r>
          </w:p>
          <w:p w14:paraId="35F02815" w14:textId="77777777" w:rsidR="00D90220" w:rsidRPr="00397C3E" w:rsidRDefault="00D90220" w:rsidP="00A25E5F">
            <w:pPr>
              <w:jc w:val="both"/>
              <w:rPr>
                <w:i/>
              </w:rPr>
            </w:pPr>
            <w:r w:rsidRPr="00397C3E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593E8A2A" w14:textId="77777777" w:rsidR="00D90220" w:rsidRPr="00397C3E" w:rsidRDefault="00D90220" w:rsidP="00A25E5F">
            <w:pPr>
              <w:rPr>
                <w:i/>
              </w:rPr>
            </w:pPr>
            <w:r w:rsidRPr="00397C3E">
              <w:rPr>
                <w:i/>
              </w:rPr>
              <w:t>Podporuje vyššiu efektivitu výroby/využívania zdrojov? Ak áno, ako?</w:t>
            </w:r>
          </w:p>
          <w:p w14:paraId="4F47539C" w14:textId="77777777" w:rsidR="00D90220" w:rsidRPr="00397C3E" w:rsidRDefault="00D90220" w:rsidP="00A25E5F">
            <w:r w:rsidRPr="00397C3E">
              <w:rPr>
                <w:i/>
              </w:rPr>
              <w:t>Vytvorí zmena nové pracovné miesta pre zamestnancov výskumu a vývoja v SR?</w:t>
            </w:r>
          </w:p>
        </w:tc>
      </w:tr>
      <w:tr w:rsidR="00D90220" w:rsidRPr="00397C3E" w14:paraId="21ACE7BC" w14:textId="77777777" w:rsidTr="00A632E6">
        <w:tc>
          <w:tcPr>
            <w:tcW w:w="9062" w:type="dxa"/>
          </w:tcPr>
          <w:p w14:paraId="2CDEE83F" w14:textId="77777777" w:rsidR="00D90220" w:rsidRPr="00397C3E" w:rsidRDefault="00D90220" w:rsidP="00A25E5F"/>
          <w:p w14:paraId="7E8078F2" w14:textId="78315461" w:rsidR="00B17212" w:rsidRPr="00397C3E" w:rsidRDefault="000C411C" w:rsidP="00A25E5F">
            <w:r w:rsidRPr="00397C3E">
              <w:t xml:space="preserve">Návrh </w:t>
            </w:r>
            <w:r w:rsidR="003733D6" w:rsidRPr="00397C3E">
              <w:t xml:space="preserve">nariadenia vlády Slovenskej republiky </w:t>
            </w:r>
            <w:r w:rsidRPr="00397C3E">
              <w:t>nemá priamy vplyv na inovácie</w:t>
            </w:r>
            <w:r w:rsidR="00AB0F3B" w:rsidRPr="00397C3E">
              <w:t>.</w:t>
            </w:r>
          </w:p>
        </w:tc>
      </w:tr>
    </w:tbl>
    <w:p w14:paraId="0142C8AE" w14:textId="77777777" w:rsidR="009F2DFA" w:rsidRPr="00397C3E" w:rsidRDefault="009F2DFA" w:rsidP="00A25E5F">
      <w:pPr>
        <w:rPr>
          <w:b/>
          <w:sz w:val="24"/>
        </w:rPr>
      </w:pPr>
    </w:p>
    <w:sectPr w:rsidR="009F2DFA" w:rsidRPr="00397C3E" w:rsidSect="003F77BD">
      <w:footerReference w:type="default" r:id="rId9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8B25" w14:textId="77777777" w:rsidR="007C384A" w:rsidRDefault="007C384A" w:rsidP="009F2DFA">
      <w:r>
        <w:separator/>
      </w:r>
    </w:p>
  </w:endnote>
  <w:endnote w:type="continuationSeparator" w:id="0">
    <w:p w14:paraId="001251C6" w14:textId="77777777" w:rsidR="007C384A" w:rsidRDefault="007C384A" w:rsidP="009F2DFA">
      <w:r>
        <w:continuationSeparator/>
      </w:r>
    </w:p>
  </w:endnote>
  <w:endnote w:type="continuationNotice" w:id="1">
    <w:p w14:paraId="447C3DF7" w14:textId="77777777" w:rsidR="007C384A" w:rsidRDefault="007C3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EA8E222" w14:textId="5224645D" w:rsidR="00C003DA" w:rsidRDefault="00C003DA">
        <w:pPr>
          <w:pStyle w:val="Pta"/>
          <w:jc w:val="right"/>
        </w:pPr>
        <w:r w:rsidRPr="003B5433">
          <w:rPr>
            <w:sz w:val="24"/>
            <w:szCs w:val="24"/>
          </w:rPr>
          <w:t xml:space="preserve">strana </w:t>
        </w:r>
        <w:r w:rsidRPr="003B5433">
          <w:rPr>
            <w:bCs/>
            <w:sz w:val="24"/>
            <w:szCs w:val="24"/>
          </w:rPr>
          <w:fldChar w:fldCharType="begin"/>
        </w:r>
        <w:r w:rsidRPr="003B5433">
          <w:rPr>
            <w:bCs/>
            <w:sz w:val="24"/>
            <w:szCs w:val="24"/>
          </w:rPr>
          <w:instrText>PAGE  \* Arabic  \* MERGEFORMAT</w:instrText>
        </w:r>
        <w:r w:rsidRPr="003B5433">
          <w:rPr>
            <w:bCs/>
            <w:sz w:val="24"/>
            <w:szCs w:val="24"/>
          </w:rPr>
          <w:fldChar w:fldCharType="separate"/>
        </w:r>
        <w:r w:rsidR="00215850">
          <w:rPr>
            <w:bCs/>
            <w:noProof/>
            <w:sz w:val="24"/>
            <w:szCs w:val="24"/>
          </w:rPr>
          <w:t>1</w:t>
        </w:r>
        <w:r w:rsidRPr="003B5433">
          <w:rPr>
            <w:bCs/>
            <w:sz w:val="24"/>
            <w:szCs w:val="24"/>
          </w:rPr>
          <w:fldChar w:fldCharType="end"/>
        </w:r>
        <w:r w:rsidRPr="003B5433">
          <w:rPr>
            <w:sz w:val="24"/>
            <w:szCs w:val="24"/>
          </w:rPr>
          <w:t xml:space="preserve"> z </w:t>
        </w:r>
        <w:r w:rsidRPr="003B5433">
          <w:rPr>
            <w:bCs/>
            <w:sz w:val="24"/>
            <w:szCs w:val="24"/>
          </w:rPr>
          <w:fldChar w:fldCharType="begin"/>
        </w:r>
        <w:r w:rsidRPr="003B5433">
          <w:rPr>
            <w:bCs/>
            <w:sz w:val="24"/>
            <w:szCs w:val="24"/>
          </w:rPr>
          <w:instrText>NUMPAGES  \* Arabic  \* MERGEFORMAT</w:instrText>
        </w:r>
        <w:r w:rsidRPr="003B5433">
          <w:rPr>
            <w:bCs/>
            <w:sz w:val="24"/>
            <w:szCs w:val="24"/>
          </w:rPr>
          <w:fldChar w:fldCharType="separate"/>
        </w:r>
        <w:r w:rsidR="00215850">
          <w:rPr>
            <w:bCs/>
            <w:noProof/>
            <w:sz w:val="24"/>
            <w:szCs w:val="24"/>
          </w:rPr>
          <w:t>8</w:t>
        </w:r>
        <w:r w:rsidRPr="003B5433">
          <w:rPr>
            <w:bCs/>
            <w:sz w:val="24"/>
            <w:szCs w:val="24"/>
          </w:rPr>
          <w:fldChar w:fldCharType="end"/>
        </w:r>
      </w:p>
    </w:sdtContent>
  </w:sdt>
  <w:p w14:paraId="5FF81EB2" w14:textId="77777777" w:rsidR="00C003DA" w:rsidRDefault="00C003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0634" w14:textId="77777777" w:rsidR="007C384A" w:rsidRDefault="007C384A" w:rsidP="009F2DFA">
      <w:r>
        <w:separator/>
      </w:r>
    </w:p>
  </w:footnote>
  <w:footnote w:type="continuationSeparator" w:id="0">
    <w:p w14:paraId="2B4A9CE5" w14:textId="77777777" w:rsidR="007C384A" w:rsidRDefault="007C384A" w:rsidP="009F2DFA">
      <w:r>
        <w:continuationSeparator/>
      </w:r>
    </w:p>
  </w:footnote>
  <w:footnote w:type="continuationNotice" w:id="1">
    <w:p w14:paraId="70593656" w14:textId="77777777" w:rsidR="007C384A" w:rsidRDefault="007C384A"/>
  </w:footnote>
  <w:footnote w:id="2">
    <w:p w14:paraId="197B616A" w14:textId="77777777" w:rsidR="00C003DA" w:rsidRPr="00EA3B97" w:rsidRDefault="00C003DA" w:rsidP="00397C3E">
      <w:pPr>
        <w:pStyle w:val="Textpoznmkypodiarou"/>
      </w:pPr>
      <w:r w:rsidRPr="00EA3B97">
        <w:rPr>
          <w:rStyle w:val="Odkaznapoznmkupodiarou"/>
          <w:sz w:val="20"/>
        </w:rPr>
        <w:footnoteRef/>
      </w:r>
      <w:r w:rsidRPr="00EA3B97">
        <w:t>) § 85 ods. 5 zákona č. 311/2001 Z. z. Zákonník práce v znení neskorších predpisov.</w:t>
      </w:r>
    </w:p>
  </w:footnote>
  <w:footnote w:id="3">
    <w:p w14:paraId="2D54CE44" w14:textId="6D7F4678" w:rsidR="00C003DA" w:rsidRPr="00EA3B97" w:rsidRDefault="00C003DA" w:rsidP="00397C3E">
      <w:pPr>
        <w:pStyle w:val="Textpoznmkypodiarou"/>
      </w:pPr>
      <w:r w:rsidRPr="00EA3B97">
        <w:rPr>
          <w:rStyle w:val="Odkaznapoznmkupodiarou"/>
          <w:sz w:val="20"/>
        </w:rPr>
        <w:footnoteRef/>
      </w:r>
      <w:r w:rsidRPr="00EA3B97">
        <w:t>) </w:t>
      </w:r>
      <w:hyperlink r:id="rId1" w:history="1">
        <w:r w:rsidRPr="0012751A">
          <w:rPr>
            <w:rStyle w:val="Hypertextovprepojenie"/>
          </w:rPr>
          <w:t>http://statdat.statistics.sk/cognosext/cgi-bin/cognos.cgi?b_action=cognosViewer&amp;ui.action=run&amp;ui.object=storeID(%22i94C7052B240A492FB3BE8C7A487D337B%22)&amp;ui.name=Priemern%c3%a1%20mesa%c4%8dn%c3%a1%20mzda%20v%20hospod%c3%a1rstve%20SR%20%5bpr0204qs%5d&amp;run.outputFormat=&amp;run.prompt=true&amp;cv.header=false&amp;ui.backURL=%2fcognosext%2fcps4%2fportlets%2fcommon%2fclose.html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A5FFC"/>
    <w:multiLevelType w:val="hybridMultilevel"/>
    <w:tmpl w:val="42CC002C"/>
    <w:lvl w:ilvl="0" w:tplc="07FC9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8A"/>
    <w:multiLevelType w:val="hybridMultilevel"/>
    <w:tmpl w:val="CA662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5A42"/>
    <w:multiLevelType w:val="hybridMultilevel"/>
    <w:tmpl w:val="B5ECA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D4B"/>
    <w:multiLevelType w:val="hybridMultilevel"/>
    <w:tmpl w:val="4BB85338"/>
    <w:lvl w:ilvl="0" w:tplc="B4EA0594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52E9"/>
    <w:multiLevelType w:val="hybridMultilevel"/>
    <w:tmpl w:val="FAFAD81E"/>
    <w:lvl w:ilvl="0" w:tplc="837CB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B8799F"/>
    <w:multiLevelType w:val="hybridMultilevel"/>
    <w:tmpl w:val="7B30634C"/>
    <w:lvl w:ilvl="0" w:tplc="EF7AA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89B"/>
    <w:multiLevelType w:val="hybridMultilevel"/>
    <w:tmpl w:val="42CC002C"/>
    <w:lvl w:ilvl="0" w:tplc="07FC9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5026A"/>
    <w:multiLevelType w:val="hybridMultilevel"/>
    <w:tmpl w:val="7B30634C"/>
    <w:lvl w:ilvl="0" w:tplc="EF7AA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17C"/>
    <w:multiLevelType w:val="hybridMultilevel"/>
    <w:tmpl w:val="04BE5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8AF"/>
    <w:multiLevelType w:val="hybridMultilevel"/>
    <w:tmpl w:val="A0D6DA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12"/>
  </w:num>
  <w:num w:numId="7">
    <w:abstractNumId w:val="20"/>
  </w:num>
  <w:num w:numId="8">
    <w:abstractNumId w:val="7"/>
  </w:num>
  <w:num w:numId="9">
    <w:abstractNumId w:val="0"/>
  </w:num>
  <w:num w:numId="10">
    <w:abstractNumId w:val="21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3672"/>
    <w:rsid w:val="00023439"/>
    <w:rsid w:val="0002751D"/>
    <w:rsid w:val="0003309E"/>
    <w:rsid w:val="00060CE3"/>
    <w:rsid w:val="000644E0"/>
    <w:rsid w:val="00070733"/>
    <w:rsid w:val="00085005"/>
    <w:rsid w:val="000B621E"/>
    <w:rsid w:val="000C411C"/>
    <w:rsid w:val="000C4198"/>
    <w:rsid w:val="000C6016"/>
    <w:rsid w:val="000F08EF"/>
    <w:rsid w:val="00102ECD"/>
    <w:rsid w:val="001038E8"/>
    <w:rsid w:val="00104AEB"/>
    <w:rsid w:val="001053E5"/>
    <w:rsid w:val="00106910"/>
    <w:rsid w:val="001314C7"/>
    <w:rsid w:val="0014364B"/>
    <w:rsid w:val="00154881"/>
    <w:rsid w:val="00154BD5"/>
    <w:rsid w:val="00161D74"/>
    <w:rsid w:val="00166F75"/>
    <w:rsid w:val="00177327"/>
    <w:rsid w:val="00195814"/>
    <w:rsid w:val="001A668D"/>
    <w:rsid w:val="001C3875"/>
    <w:rsid w:val="001E20B1"/>
    <w:rsid w:val="002012C2"/>
    <w:rsid w:val="00214778"/>
    <w:rsid w:val="00215850"/>
    <w:rsid w:val="00220772"/>
    <w:rsid w:val="00223606"/>
    <w:rsid w:val="00235FDE"/>
    <w:rsid w:val="00247CB9"/>
    <w:rsid w:val="00252AF0"/>
    <w:rsid w:val="00254DBD"/>
    <w:rsid w:val="002608BB"/>
    <w:rsid w:val="00263CDE"/>
    <w:rsid w:val="00266D2C"/>
    <w:rsid w:val="00274EDA"/>
    <w:rsid w:val="00277040"/>
    <w:rsid w:val="00277A05"/>
    <w:rsid w:val="002851AD"/>
    <w:rsid w:val="002915DA"/>
    <w:rsid w:val="002A42DC"/>
    <w:rsid w:val="002A589F"/>
    <w:rsid w:val="002B1108"/>
    <w:rsid w:val="002D169F"/>
    <w:rsid w:val="002E1B70"/>
    <w:rsid w:val="002E3CE0"/>
    <w:rsid w:val="002F075D"/>
    <w:rsid w:val="002F70B9"/>
    <w:rsid w:val="002F7463"/>
    <w:rsid w:val="002F79F3"/>
    <w:rsid w:val="00303510"/>
    <w:rsid w:val="00303740"/>
    <w:rsid w:val="00306854"/>
    <w:rsid w:val="00317030"/>
    <w:rsid w:val="003234A1"/>
    <w:rsid w:val="003239A8"/>
    <w:rsid w:val="003338AD"/>
    <w:rsid w:val="00335E3E"/>
    <w:rsid w:val="0035090D"/>
    <w:rsid w:val="0035760A"/>
    <w:rsid w:val="00362E1C"/>
    <w:rsid w:val="00370B91"/>
    <w:rsid w:val="00372CE6"/>
    <w:rsid w:val="003733D6"/>
    <w:rsid w:val="0038167F"/>
    <w:rsid w:val="00382A98"/>
    <w:rsid w:val="00386598"/>
    <w:rsid w:val="0038783F"/>
    <w:rsid w:val="00390B4F"/>
    <w:rsid w:val="00397C3E"/>
    <w:rsid w:val="003A47E0"/>
    <w:rsid w:val="003B0E2B"/>
    <w:rsid w:val="003B5433"/>
    <w:rsid w:val="003C7A2F"/>
    <w:rsid w:val="003E6516"/>
    <w:rsid w:val="003F77BD"/>
    <w:rsid w:val="003F7AF1"/>
    <w:rsid w:val="00417BC0"/>
    <w:rsid w:val="004210E8"/>
    <w:rsid w:val="00426218"/>
    <w:rsid w:val="00432A98"/>
    <w:rsid w:val="00436059"/>
    <w:rsid w:val="004519C1"/>
    <w:rsid w:val="00461599"/>
    <w:rsid w:val="00467855"/>
    <w:rsid w:val="004711E9"/>
    <w:rsid w:val="00476B61"/>
    <w:rsid w:val="00481EA0"/>
    <w:rsid w:val="00492274"/>
    <w:rsid w:val="00494C39"/>
    <w:rsid w:val="0049672E"/>
    <w:rsid w:val="004A5452"/>
    <w:rsid w:val="004B38E6"/>
    <w:rsid w:val="004B73BD"/>
    <w:rsid w:val="004D673F"/>
    <w:rsid w:val="004E0708"/>
    <w:rsid w:val="004F1F72"/>
    <w:rsid w:val="004F6F56"/>
    <w:rsid w:val="0052297F"/>
    <w:rsid w:val="00535C95"/>
    <w:rsid w:val="00550BDE"/>
    <w:rsid w:val="00554BC6"/>
    <w:rsid w:val="005740CF"/>
    <w:rsid w:val="00592077"/>
    <w:rsid w:val="005A64A3"/>
    <w:rsid w:val="005B4329"/>
    <w:rsid w:val="005D21FB"/>
    <w:rsid w:val="005D2253"/>
    <w:rsid w:val="005E2451"/>
    <w:rsid w:val="005F5200"/>
    <w:rsid w:val="005F6967"/>
    <w:rsid w:val="005F6FB1"/>
    <w:rsid w:val="00602BDA"/>
    <w:rsid w:val="006125E3"/>
    <w:rsid w:val="00612754"/>
    <w:rsid w:val="00642FCE"/>
    <w:rsid w:val="006464CC"/>
    <w:rsid w:val="006506AB"/>
    <w:rsid w:val="00652C2F"/>
    <w:rsid w:val="00661B20"/>
    <w:rsid w:val="0066231D"/>
    <w:rsid w:val="00685E55"/>
    <w:rsid w:val="00686307"/>
    <w:rsid w:val="00696537"/>
    <w:rsid w:val="006A148C"/>
    <w:rsid w:val="006C1E22"/>
    <w:rsid w:val="006C5489"/>
    <w:rsid w:val="006C7EF7"/>
    <w:rsid w:val="006F2980"/>
    <w:rsid w:val="0071572D"/>
    <w:rsid w:val="00730EC8"/>
    <w:rsid w:val="007327E5"/>
    <w:rsid w:val="007419DB"/>
    <w:rsid w:val="0074318B"/>
    <w:rsid w:val="007462CE"/>
    <w:rsid w:val="0076738D"/>
    <w:rsid w:val="007705B2"/>
    <w:rsid w:val="007731C9"/>
    <w:rsid w:val="00780BA6"/>
    <w:rsid w:val="00784FE3"/>
    <w:rsid w:val="00787B04"/>
    <w:rsid w:val="007956A4"/>
    <w:rsid w:val="007B7EE4"/>
    <w:rsid w:val="007C0E9E"/>
    <w:rsid w:val="007C384A"/>
    <w:rsid w:val="007E0911"/>
    <w:rsid w:val="007E4DDD"/>
    <w:rsid w:val="0080317B"/>
    <w:rsid w:val="0080591C"/>
    <w:rsid w:val="00811843"/>
    <w:rsid w:val="0083347C"/>
    <w:rsid w:val="008370C1"/>
    <w:rsid w:val="00837639"/>
    <w:rsid w:val="00845470"/>
    <w:rsid w:val="0084657A"/>
    <w:rsid w:val="00874987"/>
    <w:rsid w:val="008757DF"/>
    <w:rsid w:val="00893297"/>
    <w:rsid w:val="00893DAD"/>
    <w:rsid w:val="008A1252"/>
    <w:rsid w:val="008A68FA"/>
    <w:rsid w:val="008B2EB8"/>
    <w:rsid w:val="008C31EC"/>
    <w:rsid w:val="008C4DA6"/>
    <w:rsid w:val="008D04D0"/>
    <w:rsid w:val="008D2431"/>
    <w:rsid w:val="008D6E04"/>
    <w:rsid w:val="008E13E6"/>
    <w:rsid w:val="008F1040"/>
    <w:rsid w:val="00904C9B"/>
    <w:rsid w:val="00940851"/>
    <w:rsid w:val="0094698D"/>
    <w:rsid w:val="00972235"/>
    <w:rsid w:val="00974768"/>
    <w:rsid w:val="00985257"/>
    <w:rsid w:val="009A0359"/>
    <w:rsid w:val="009B6564"/>
    <w:rsid w:val="009C1DFE"/>
    <w:rsid w:val="009C6180"/>
    <w:rsid w:val="009D4F58"/>
    <w:rsid w:val="009D5710"/>
    <w:rsid w:val="009E50AC"/>
    <w:rsid w:val="009F2DFA"/>
    <w:rsid w:val="00A01E40"/>
    <w:rsid w:val="00A0424D"/>
    <w:rsid w:val="00A145EC"/>
    <w:rsid w:val="00A25E5F"/>
    <w:rsid w:val="00A303F7"/>
    <w:rsid w:val="00A366F8"/>
    <w:rsid w:val="00A46588"/>
    <w:rsid w:val="00A524BD"/>
    <w:rsid w:val="00A632E6"/>
    <w:rsid w:val="00A668D6"/>
    <w:rsid w:val="00A734F3"/>
    <w:rsid w:val="00A77530"/>
    <w:rsid w:val="00A80220"/>
    <w:rsid w:val="00A84EA1"/>
    <w:rsid w:val="00AA5076"/>
    <w:rsid w:val="00AA54A9"/>
    <w:rsid w:val="00AB0F3B"/>
    <w:rsid w:val="00B17212"/>
    <w:rsid w:val="00B31A8E"/>
    <w:rsid w:val="00B375CD"/>
    <w:rsid w:val="00B5062B"/>
    <w:rsid w:val="00B51BE3"/>
    <w:rsid w:val="00B670EF"/>
    <w:rsid w:val="00B70258"/>
    <w:rsid w:val="00B73C74"/>
    <w:rsid w:val="00B74339"/>
    <w:rsid w:val="00B7789C"/>
    <w:rsid w:val="00B85507"/>
    <w:rsid w:val="00B92551"/>
    <w:rsid w:val="00B93BD9"/>
    <w:rsid w:val="00BA073A"/>
    <w:rsid w:val="00BB37D1"/>
    <w:rsid w:val="00BC41F6"/>
    <w:rsid w:val="00BC7B64"/>
    <w:rsid w:val="00BE4D54"/>
    <w:rsid w:val="00C003DA"/>
    <w:rsid w:val="00C2501F"/>
    <w:rsid w:val="00C37188"/>
    <w:rsid w:val="00C4745F"/>
    <w:rsid w:val="00C76E8F"/>
    <w:rsid w:val="00C76F69"/>
    <w:rsid w:val="00C82780"/>
    <w:rsid w:val="00C851AD"/>
    <w:rsid w:val="00C8776E"/>
    <w:rsid w:val="00CB3623"/>
    <w:rsid w:val="00CC252A"/>
    <w:rsid w:val="00CD19AB"/>
    <w:rsid w:val="00CD44BB"/>
    <w:rsid w:val="00CE4D47"/>
    <w:rsid w:val="00CF1A8D"/>
    <w:rsid w:val="00CF7326"/>
    <w:rsid w:val="00D1148A"/>
    <w:rsid w:val="00D11B8C"/>
    <w:rsid w:val="00D132F9"/>
    <w:rsid w:val="00D16646"/>
    <w:rsid w:val="00D4104D"/>
    <w:rsid w:val="00D4467A"/>
    <w:rsid w:val="00D4500F"/>
    <w:rsid w:val="00D46C05"/>
    <w:rsid w:val="00D5386A"/>
    <w:rsid w:val="00D56578"/>
    <w:rsid w:val="00D57069"/>
    <w:rsid w:val="00D7332A"/>
    <w:rsid w:val="00D90220"/>
    <w:rsid w:val="00D9105D"/>
    <w:rsid w:val="00D97163"/>
    <w:rsid w:val="00DA03B6"/>
    <w:rsid w:val="00DB1D06"/>
    <w:rsid w:val="00DB20DF"/>
    <w:rsid w:val="00DB5314"/>
    <w:rsid w:val="00DC0997"/>
    <w:rsid w:val="00DD2A45"/>
    <w:rsid w:val="00DF0843"/>
    <w:rsid w:val="00E111CA"/>
    <w:rsid w:val="00E169D1"/>
    <w:rsid w:val="00E24F40"/>
    <w:rsid w:val="00E24F7B"/>
    <w:rsid w:val="00E33028"/>
    <w:rsid w:val="00E3442E"/>
    <w:rsid w:val="00E407CC"/>
    <w:rsid w:val="00E52FEC"/>
    <w:rsid w:val="00E74248"/>
    <w:rsid w:val="00E85432"/>
    <w:rsid w:val="00E86AD1"/>
    <w:rsid w:val="00E97BA0"/>
    <w:rsid w:val="00EA3B97"/>
    <w:rsid w:val="00EA79CE"/>
    <w:rsid w:val="00ED23D9"/>
    <w:rsid w:val="00EE0018"/>
    <w:rsid w:val="00EF2748"/>
    <w:rsid w:val="00EF2ACC"/>
    <w:rsid w:val="00F12AF5"/>
    <w:rsid w:val="00F21FCC"/>
    <w:rsid w:val="00F41620"/>
    <w:rsid w:val="00F63EB0"/>
    <w:rsid w:val="00F70D58"/>
    <w:rsid w:val="00F722CD"/>
    <w:rsid w:val="00F854A5"/>
    <w:rsid w:val="00F95090"/>
    <w:rsid w:val="00FB5C13"/>
    <w:rsid w:val="00FB78E9"/>
    <w:rsid w:val="00FC49DE"/>
    <w:rsid w:val="00FC77F2"/>
    <w:rsid w:val="00FD38D1"/>
    <w:rsid w:val="00FD47FA"/>
    <w:rsid w:val="00FF4847"/>
    <w:rsid w:val="00FF678F"/>
    <w:rsid w:val="00FF7557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69"/>
  <w15:docId w15:val="{61103DF8-4444-4797-8F21-572CA81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46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46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F7463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54DB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92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dat.statistics.sk/cognosext/cgi-bin/cognos.cgi?b_action=cognosViewer&amp;ui.action=run&amp;ui.object=storeID(%22i94C7052B240A492FB3BE8C7A487D337B%22)&amp;ui.name=Priemern%c3%a1%20mesa%c4%8dn%c3%a1%20mzda%20v%20hospod%c3%a1rstve%20SR%20%5bpr0204qs%5d&amp;run.outputFormat=&amp;run.prompt=true&amp;cv.header=false&amp;ui.backURL=%2fcognosext%2fcps4%2fportlets%2fcommon%2fclose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_MPK"/>
    <f:field ref="objsubject" par="" edit="true" text=""/>
    <f:field ref="objcreatedby" par="" text="Hýsek, Michal"/>
    <f:field ref="objcreatedat" par="" text="18.2.2019 9:22:11"/>
    <f:field ref="objchangedby" par="" text="Administrator, System"/>
    <f:field ref="objmodifiedat" par="" text="18.2.2019 9:22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93F8D6-6FDA-405E-82A1-641F36D9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Michal.Hysek@mindop.sk</dc:creator>
  <cp:keywords/>
  <dc:description/>
  <cp:lastModifiedBy>Hýsek, Michal</cp:lastModifiedBy>
  <cp:revision>105</cp:revision>
  <cp:lastPrinted>2019-10-29T06:29:00Z</cp:lastPrinted>
  <dcterms:created xsi:type="dcterms:W3CDTF">2019-03-11T07:18:00Z</dcterms:created>
  <dcterms:modified xsi:type="dcterms:W3CDTF">2019-11-18T05:11:00Z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COO.2145.1000.3.3216859</vt:lpwstr>
  </property>
  <property fmtid="{D5CDD505-2E9C-101B-9397-08002B2CF9AE}" pid="152" name="FSC#FSCFOLIO@1.1001:docpropproject">
    <vt:lpwstr/>
  </property>
</Properties>
</file>