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Pr="00D13742" w:rsidRDefault="00B34E23" w:rsidP="00E23BB3">
      <w:pPr>
        <w:pStyle w:val="Normlnywebov"/>
        <w:spacing w:before="0" w:beforeAutospacing="0" w:after="0" w:afterAutospacing="0"/>
        <w:jc w:val="center"/>
        <w:rPr>
          <w:b/>
          <w:bCs/>
        </w:rPr>
      </w:pPr>
      <w:r w:rsidRPr="00D13742">
        <w:rPr>
          <w:b/>
          <w:bCs/>
        </w:rPr>
        <w:t>D</w:t>
      </w:r>
      <w:r w:rsidR="00C579E9" w:rsidRPr="00D13742">
        <w:rPr>
          <w:b/>
          <w:bCs/>
        </w:rPr>
        <w:t xml:space="preserve">oložka </w:t>
      </w:r>
      <w:r w:rsidRPr="00D13742">
        <w:rPr>
          <w:b/>
          <w:bCs/>
        </w:rPr>
        <w:t>vybraných vplyvov</w:t>
      </w:r>
    </w:p>
    <w:p w:rsidR="00517DFE" w:rsidRPr="00C05B9F" w:rsidRDefault="00517DFE" w:rsidP="00E23BB3">
      <w:pPr>
        <w:pStyle w:val="Normlnywebov"/>
        <w:spacing w:before="0" w:beforeAutospacing="0" w:after="0" w:afterAutospacing="0"/>
        <w:rPr>
          <w:bCs/>
          <w:sz w:val="22"/>
          <w:szCs w:val="22"/>
        </w:rPr>
      </w:pPr>
    </w:p>
    <w:tbl>
      <w:tblPr>
        <w:tblW w:w="9639" w:type="dxa"/>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4A0" w:firstRow="1" w:lastRow="0" w:firstColumn="1" w:lastColumn="0" w:noHBand="0" w:noVBand="1"/>
      </w:tblPr>
      <w:tblGrid>
        <w:gridCol w:w="5783"/>
        <w:gridCol w:w="3856"/>
      </w:tblGrid>
      <w:tr w:rsidR="00517DFE" w:rsidRPr="00C05B9F" w:rsidTr="005C147B">
        <w:trPr>
          <w:divId w:val="981544911"/>
          <w:jc w:val="center"/>
        </w:trPr>
        <w:tc>
          <w:tcPr>
            <w:tcW w:w="250" w:type="pct"/>
            <w:gridSpan w:val="2"/>
            <w:tcBorders>
              <w:top w:val="outset" w:sz="6" w:space="0" w:color="000000"/>
              <w:bottom w:val="outset" w:sz="6" w:space="0" w:color="000000"/>
            </w:tcBorders>
            <w:shd w:val="clear" w:color="auto" w:fill="E6E6E6"/>
            <w:hideMark/>
          </w:tcPr>
          <w:p w:rsidR="00517DFE" w:rsidRPr="00D13742" w:rsidRDefault="00965708" w:rsidP="00E23BB3">
            <w:pPr>
              <w:rPr>
                <w:b/>
                <w:bCs/>
                <w:sz w:val="20"/>
                <w:szCs w:val="20"/>
              </w:rPr>
            </w:pPr>
            <w:r w:rsidRPr="00D13742">
              <w:rPr>
                <w:b/>
                <w:bCs/>
                <w:sz w:val="20"/>
                <w:szCs w:val="20"/>
              </w:rPr>
              <w:t>1</w:t>
            </w:r>
            <w:r w:rsidR="00517DFE" w:rsidRPr="00D13742">
              <w:rPr>
                <w:b/>
                <w:bCs/>
                <w:sz w:val="20"/>
                <w:szCs w:val="20"/>
              </w:rPr>
              <w:t>. Základné údaje</w:t>
            </w:r>
          </w:p>
        </w:tc>
      </w:tr>
      <w:tr w:rsidR="00517DFE" w:rsidRPr="00C05B9F" w:rsidTr="005C147B">
        <w:trPr>
          <w:divId w:val="981544911"/>
          <w:jc w:val="center"/>
        </w:trPr>
        <w:tc>
          <w:tcPr>
            <w:tcW w:w="250" w:type="pct"/>
            <w:gridSpan w:val="2"/>
            <w:tcBorders>
              <w:top w:val="outset" w:sz="6" w:space="0" w:color="000000"/>
              <w:bottom w:val="outset" w:sz="6" w:space="0" w:color="000000"/>
            </w:tcBorders>
            <w:shd w:val="clear" w:color="auto" w:fill="E6E6E6"/>
            <w:hideMark/>
          </w:tcPr>
          <w:p w:rsidR="00517DFE" w:rsidRPr="00D13742" w:rsidRDefault="00517DFE" w:rsidP="00E23BB3">
            <w:pPr>
              <w:rPr>
                <w:b/>
                <w:bCs/>
                <w:sz w:val="20"/>
                <w:szCs w:val="20"/>
              </w:rPr>
            </w:pPr>
            <w:r w:rsidRPr="00D13742">
              <w:rPr>
                <w:b/>
                <w:bCs/>
                <w:sz w:val="20"/>
                <w:szCs w:val="20"/>
              </w:rPr>
              <w:t>Názov materiálu</w:t>
            </w:r>
          </w:p>
        </w:tc>
      </w:tr>
      <w:tr w:rsidR="00517DFE" w:rsidRPr="00C05B9F" w:rsidTr="005C147B">
        <w:trPr>
          <w:divId w:val="981544911"/>
          <w:jc w:val="center"/>
        </w:trPr>
        <w:tc>
          <w:tcPr>
            <w:tcW w:w="250" w:type="pct"/>
            <w:gridSpan w:val="2"/>
            <w:tcBorders>
              <w:top w:val="outset" w:sz="6" w:space="0" w:color="000000"/>
              <w:bottom w:val="outset" w:sz="6" w:space="0" w:color="000000"/>
            </w:tcBorders>
            <w:hideMark/>
          </w:tcPr>
          <w:p w:rsidR="00517DFE" w:rsidRPr="00244651" w:rsidRDefault="00244651" w:rsidP="00E04144">
            <w:pPr>
              <w:jc w:val="both"/>
              <w:rPr>
                <w:sz w:val="20"/>
                <w:szCs w:val="20"/>
              </w:rPr>
            </w:pPr>
            <w:r w:rsidRPr="00244651">
              <w:rPr>
                <w:bCs/>
                <w:sz w:val="20"/>
                <w:szCs w:val="20"/>
              </w:rPr>
              <w:t xml:space="preserve">Nariadenie vlády Slovenskej republiky, </w:t>
            </w:r>
            <w:r w:rsidR="00683BB8" w:rsidRPr="00683BB8">
              <w:rPr>
                <w:bCs/>
                <w:sz w:val="20"/>
                <w:szCs w:val="20"/>
              </w:rPr>
              <w:t>ktorým sa ustanovuje postup určovania a</w:t>
            </w:r>
            <w:r w:rsidR="009D7E2E">
              <w:rPr>
                <w:bCs/>
                <w:sz w:val="20"/>
                <w:szCs w:val="20"/>
              </w:rPr>
              <w:t> </w:t>
            </w:r>
            <w:r w:rsidR="00683BB8" w:rsidRPr="00683BB8">
              <w:rPr>
                <w:bCs/>
                <w:sz w:val="20"/>
                <w:szCs w:val="20"/>
              </w:rPr>
              <w:t xml:space="preserve">výpočtu výšky odplaty za poskytovanie leteckých navigačných služieb </w:t>
            </w:r>
            <w:r w:rsidR="00683BB8">
              <w:rPr>
                <w:bCs/>
                <w:sz w:val="20"/>
                <w:szCs w:val="20"/>
              </w:rPr>
              <w:t>a </w:t>
            </w:r>
            <w:r w:rsidR="00683BB8" w:rsidRPr="00683BB8">
              <w:rPr>
                <w:bCs/>
                <w:sz w:val="20"/>
                <w:szCs w:val="20"/>
              </w:rPr>
              <w:t>zóny spoplatňovania</w:t>
            </w:r>
          </w:p>
        </w:tc>
      </w:tr>
      <w:tr w:rsidR="00517DFE" w:rsidRPr="00C05B9F" w:rsidTr="005C147B">
        <w:trPr>
          <w:divId w:val="981544911"/>
          <w:jc w:val="center"/>
        </w:trPr>
        <w:tc>
          <w:tcPr>
            <w:tcW w:w="250" w:type="pct"/>
            <w:gridSpan w:val="2"/>
            <w:tcBorders>
              <w:top w:val="outset" w:sz="6" w:space="0" w:color="000000"/>
              <w:bottom w:val="outset" w:sz="6" w:space="0" w:color="000000"/>
            </w:tcBorders>
            <w:shd w:val="clear" w:color="auto" w:fill="E6E6E6"/>
            <w:hideMark/>
          </w:tcPr>
          <w:p w:rsidR="00517DFE" w:rsidRPr="00D13742" w:rsidRDefault="00517DFE" w:rsidP="00E23BB3">
            <w:pPr>
              <w:rPr>
                <w:b/>
                <w:bCs/>
                <w:sz w:val="20"/>
                <w:szCs w:val="20"/>
              </w:rPr>
            </w:pPr>
            <w:r w:rsidRPr="00D13742">
              <w:rPr>
                <w:b/>
                <w:bCs/>
                <w:sz w:val="20"/>
                <w:szCs w:val="20"/>
              </w:rPr>
              <w:t>Predkladateľ (a spolupredkladateľ)</w:t>
            </w:r>
          </w:p>
        </w:tc>
      </w:tr>
      <w:tr w:rsidR="00517DFE" w:rsidRPr="00C05B9F" w:rsidTr="005C147B">
        <w:trPr>
          <w:divId w:val="981544911"/>
          <w:jc w:val="center"/>
        </w:trPr>
        <w:tc>
          <w:tcPr>
            <w:tcW w:w="250" w:type="pct"/>
            <w:gridSpan w:val="2"/>
            <w:tcBorders>
              <w:top w:val="outset" w:sz="6" w:space="0" w:color="000000"/>
              <w:bottom w:val="outset" w:sz="6" w:space="0" w:color="000000"/>
            </w:tcBorders>
            <w:hideMark/>
          </w:tcPr>
          <w:p w:rsidR="00517DFE" w:rsidRPr="00D13742" w:rsidRDefault="00517DFE" w:rsidP="00E23BB3">
            <w:pPr>
              <w:rPr>
                <w:sz w:val="20"/>
                <w:szCs w:val="20"/>
              </w:rPr>
            </w:pPr>
            <w:r w:rsidRPr="00D13742">
              <w:rPr>
                <w:sz w:val="20"/>
                <w:szCs w:val="20"/>
              </w:rPr>
              <w:t xml:space="preserve">Ministerstvo </w:t>
            </w:r>
            <w:r w:rsidR="00CA6D43" w:rsidRPr="00D13742">
              <w:rPr>
                <w:sz w:val="20"/>
                <w:szCs w:val="20"/>
              </w:rPr>
              <w:t xml:space="preserve">dopravy a výstavby </w:t>
            </w:r>
            <w:r w:rsidRPr="00D13742">
              <w:rPr>
                <w:sz w:val="20"/>
                <w:szCs w:val="20"/>
              </w:rPr>
              <w:t>Slovenskej republiky</w:t>
            </w:r>
          </w:p>
        </w:tc>
      </w:tr>
      <w:tr w:rsidR="00517DFE" w:rsidRPr="00C05B9F" w:rsidTr="005C147B">
        <w:trPr>
          <w:divId w:val="981544911"/>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517DFE" w:rsidRPr="00D13742" w:rsidRDefault="00517DFE" w:rsidP="00E23BB3">
            <w:pPr>
              <w:rPr>
                <w:b/>
                <w:bCs/>
                <w:sz w:val="20"/>
                <w:szCs w:val="20"/>
              </w:rPr>
            </w:pPr>
            <w:r w:rsidRPr="00D13742">
              <w:rPr>
                <w:b/>
                <w:bCs/>
                <w:sz w:val="20"/>
                <w:szCs w:val="20"/>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517DFE" w:rsidRPr="00D13742" w:rsidRDefault="00517DFE" w:rsidP="00E23BB3">
            <w:pPr>
              <w:rPr>
                <w:sz w:val="20"/>
                <w:szCs w:val="20"/>
              </w:rPr>
            </w:pPr>
            <w:r w:rsidRPr="00D13742">
              <w:rPr>
                <w:sz w:val="20"/>
                <w:szCs w:val="20"/>
              </w:rPr>
              <w:t> Materiál nelegislatívnej povahy</w:t>
            </w:r>
          </w:p>
        </w:tc>
      </w:tr>
      <w:tr w:rsidR="00517DFE" w:rsidRPr="00C05B9F" w:rsidTr="005C147B">
        <w:trPr>
          <w:divId w:val="981544911"/>
          <w:jc w:val="center"/>
        </w:trPr>
        <w:tc>
          <w:tcPr>
            <w:tcW w:w="5821" w:type="dxa"/>
            <w:vMerge/>
            <w:tcBorders>
              <w:top w:val="outset" w:sz="6" w:space="0" w:color="000000"/>
              <w:bottom w:val="outset" w:sz="6" w:space="0" w:color="000000"/>
              <w:right w:val="outset" w:sz="6" w:space="0" w:color="000000"/>
            </w:tcBorders>
            <w:vAlign w:val="center"/>
            <w:hideMark/>
          </w:tcPr>
          <w:p w:rsidR="00517DFE" w:rsidRPr="00D13742" w:rsidRDefault="00517DFE" w:rsidP="00E23BB3">
            <w:pPr>
              <w:rPr>
                <w:b/>
                <w:bCs/>
                <w:sz w:val="20"/>
                <w:szCs w:val="20"/>
              </w:rPr>
            </w:pPr>
          </w:p>
        </w:tc>
        <w:tc>
          <w:tcPr>
            <w:tcW w:w="2500" w:type="pct"/>
            <w:tcBorders>
              <w:top w:val="outset" w:sz="6" w:space="0" w:color="000000"/>
              <w:left w:val="outset" w:sz="6" w:space="0" w:color="000000"/>
              <w:bottom w:val="outset" w:sz="6" w:space="0" w:color="000000"/>
            </w:tcBorders>
            <w:vAlign w:val="center"/>
            <w:hideMark/>
          </w:tcPr>
          <w:p w:rsidR="00517DFE" w:rsidRPr="00D13742" w:rsidRDefault="0071161D" w:rsidP="00E23BB3">
            <w:pPr>
              <w:rPr>
                <w:sz w:val="20"/>
                <w:szCs w:val="20"/>
              </w:rPr>
            </w:pPr>
            <w:r w:rsidRPr="00D13742">
              <w:rPr>
                <w:rFonts w:ascii="Wingdings 2" w:hAnsi="Wingdings 2" w:cs="Times"/>
                <w:sz w:val="20"/>
                <w:szCs w:val="20"/>
              </w:rPr>
              <w:t></w:t>
            </w:r>
            <w:r w:rsidR="00517DFE" w:rsidRPr="00D13742">
              <w:rPr>
                <w:sz w:val="20"/>
                <w:szCs w:val="20"/>
              </w:rPr>
              <w:t xml:space="preserve"> Materiál legislatívnej povahy </w:t>
            </w:r>
          </w:p>
        </w:tc>
      </w:tr>
      <w:tr w:rsidR="00517DFE" w:rsidRPr="00C05B9F" w:rsidTr="005C147B">
        <w:trPr>
          <w:divId w:val="981544911"/>
          <w:jc w:val="center"/>
        </w:trPr>
        <w:tc>
          <w:tcPr>
            <w:tcW w:w="5821" w:type="dxa"/>
            <w:vMerge/>
            <w:tcBorders>
              <w:top w:val="outset" w:sz="6" w:space="0" w:color="000000"/>
              <w:bottom w:val="outset" w:sz="6" w:space="0" w:color="000000"/>
              <w:right w:val="outset" w:sz="6" w:space="0" w:color="000000"/>
            </w:tcBorders>
            <w:vAlign w:val="center"/>
            <w:hideMark/>
          </w:tcPr>
          <w:p w:rsidR="00517DFE" w:rsidRPr="00D13742" w:rsidRDefault="00517DFE" w:rsidP="00E23BB3">
            <w:pPr>
              <w:rPr>
                <w:b/>
                <w:bCs/>
                <w:sz w:val="20"/>
                <w:szCs w:val="20"/>
              </w:rPr>
            </w:pPr>
          </w:p>
        </w:tc>
        <w:tc>
          <w:tcPr>
            <w:tcW w:w="2500" w:type="pct"/>
            <w:tcBorders>
              <w:top w:val="outset" w:sz="6" w:space="0" w:color="000000"/>
              <w:left w:val="outset" w:sz="6" w:space="0" w:color="000000"/>
              <w:bottom w:val="outset" w:sz="6" w:space="0" w:color="000000"/>
            </w:tcBorders>
            <w:vAlign w:val="center"/>
            <w:hideMark/>
          </w:tcPr>
          <w:p w:rsidR="00517DFE" w:rsidRPr="00D13742" w:rsidRDefault="00C83DE9" w:rsidP="00E23BB3">
            <w:pPr>
              <w:rPr>
                <w:sz w:val="20"/>
                <w:szCs w:val="20"/>
              </w:rPr>
            </w:pPr>
            <w:r w:rsidRPr="00D13742">
              <w:rPr>
                <w:sz w:val="20"/>
                <w:szCs w:val="20"/>
              </w:rPr>
              <w:t></w:t>
            </w:r>
            <w:r w:rsidR="00517DFE" w:rsidRPr="00D13742">
              <w:rPr>
                <w:sz w:val="20"/>
                <w:szCs w:val="20"/>
              </w:rPr>
              <w:t xml:space="preserve"> Transpozícia práva EÚ </w:t>
            </w:r>
          </w:p>
        </w:tc>
      </w:tr>
      <w:tr w:rsidR="00517DFE" w:rsidRPr="00C05B9F" w:rsidTr="005C147B">
        <w:trPr>
          <w:divId w:val="981544911"/>
          <w:jc w:val="center"/>
        </w:trPr>
        <w:tc>
          <w:tcPr>
            <w:tcW w:w="9702" w:type="dxa"/>
            <w:gridSpan w:val="2"/>
            <w:tcBorders>
              <w:top w:val="outset" w:sz="6" w:space="0" w:color="000000"/>
              <w:bottom w:val="outset" w:sz="6" w:space="0" w:color="000000"/>
            </w:tcBorders>
            <w:hideMark/>
          </w:tcPr>
          <w:p w:rsidR="00C83DE9" w:rsidRPr="00C83DE9" w:rsidRDefault="00C83DE9" w:rsidP="00E23BB3">
            <w:pPr>
              <w:rPr>
                <w:i/>
                <w:sz w:val="20"/>
                <w:szCs w:val="20"/>
              </w:rPr>
            </w:pPr>
            <w:r w:rsidRPr="00C83DE9">
              <w:rPr>
                <w:i/>
                <w:sz w:val="20"/>
                <w:szCs w:val="20"/>
              </w:rPr>
              <w:t>V prípade transpozície uveďte zoznam transponovaných predpisov:</w:t>
            </w:r>
          </w:p>
          <w:p w:rsidR="00517DFE" w:rsidRPr="00D13742" w:rsidRDefault="00517DFE" w:rsidP="00E23BB3">
            <w:pPr>
              <w:rPr>
                <w:sz w:val="20"/>
                <w:szCs w:val="20"/>
              </w:rPr>
            </w:pPr>
          </w:p>
        </w:tc>
      </w:tr>
      <w:tr w:rsidR="00517DFE" w:rsidRPr="00C05B9F" w:rsidTr="005C147B">
        <w:trPr>
          <w:divId w:val="981544911"/>
          <w:jc w:val="center"/>
        </w:trPr>
        <w:tc>
          <w:tcPr>
            <w:tcW w:w="3000" w:type="pct"/>
            <w:tcBorders>
              <w:top w:val="outset" w:sz="6" w:space="0" w:color="000000"/>
              <w:bottom w:val="outset" w:sz="6" w:space="0" w:color="000000"/>
              <w:right w:val="outset" w:sz="6" w:space="0" w:color="000000"/>
            </w:tcBorders>
            <w:shd w:val="clear" w:color="auto" w:fill="E6E6E6"/>
            <w:hideMark/>
          </w:tcPr>
          <w:p w:rsidR="00517DFE" w:rsidRPr="00D13742" w:rsidRDefault="00517DFE" w:rsidP="00E23BB3">
            <w:pPr>
              <w:rPr>
                <w:b/>
                <w:bCs/>
                <w:sz w:val="20"/>
                <w:szCs w:val="20"/>
              </w:rPr>
            </w:pPr>
            <w:r w:rsidRPr="00D13742">
              <w:rPr>
                <w:b/>
                <w:bCs/>
                <w:sz w:val="20"/>
                <w:szCs w:val="20"/>
              </w:rPr>
              <w:t>Termín začiatku a ukončenia PPK</w:t>
            </w:r>
          </w:p>
        </w:tc>
        <w:tc>
          <w:tcPr>
            <w:tcW w:w="2000" w:type="pct"/>
            <w:tcBorders>
              <w:top w:val="outset" w:sz="6" w:space="0" w:color="000000"/>
              <w:left w:val="outset" w:sz="6" w:space="0" w:color="000000"/>
              <w:bottom w:val="outset" w:sz="6" w:space="0" w:color="000000"/>
            </w:tcBorders>
            <w:hideMark/>
          </w:tcPr>
          <w:p w:rsidR="00491D39" w:rsidRPr="00D13742" w:rsidRDefault="00807BED" w:rsidP="00E23BB3">
            <w:pPr>
              <w:rPr>
                <w:sz w:val="20"/>
                <w:szCs w:val="20"/>
              </w:rPr>
            </w:pPr>
            <w:r>
              <w:rPr>
                <w:sz w:val="20"/>
                <w:szCs w:val="20"/>
              </w:rPr>
              <w:t xml:space="preserve">október </w:t>
            </w:r>
            <w:r w:rsidR="00491D39">
              <w:rPr>
                <w:sz w:val="20"/>
                <w:szCs w:val="20"/>
              </w:rPr>
              <w:t>2019</w:t>
            </w:r>
          </w:p>
        </w:tc>
      </w:tr>
      <w:tr w:rsidR="00517DFE" w:rsidRPr="00C05B9F" w:rsidTr="005C147B">
        <w:trPr>
          <w:divId w:val="981544911"/>
          <w:jc w:val="center"/>
        </w:trPr>
        <w:tc>
          <w:tcPr>
            <w:tcW w:w="3000" w:type="pct"/>
            <w:tcBorders>
              <w:top w:val="outset" w:sz="6" w:space="0" w:color="000000"/>
              <w:bottom w:val="outset" w:sz="6" w:space="0" w:color="000000"/>
              <w:right w:val="outset" w:sz="6" w:space="0" w:color="000000"/>
            </w:tcBorders>
            <w:shd w:val="clear" w:color="auto" w:fill="E6E6E6"/>
            <w:hideMark/>
          </w:tcPr>
          <w:p w:rsidR="00517DFE" w:rsidRPr="00D13742" w:rsidRDefault="00517DFE" w:rsidP="00E23BB3">
            <w:pPr>
              <w:rPr>
                <w:b/>
                <w:bCs/>
                <w:sz w:val="20"/>
                <w:szCs w:val="20"/>
              </w:rPr>
            </w:pPr>
            <w:r w:rsidRPr="00D13742">
              <w:rPr>
                <w:b/>
                <w:bCs/>
                <w:sz w:val="20"/>
                <w:szCs w:val="20"/>
              </w:rPr>
              <w:t>Predpokladaný termín predloženia na MPK*</w:t>
            </w:r>
          </w:p>
        </w:tc>
        <w:tc>
          <w:tcPr>
            <w:tcW w:w="2000" w:type="pct"/>
            <w:tcBorders>
              <w:top w:val="outset" w:sz="6" w:space="0" w:color="000000"/>
              <w:left w:val="outset" w:sz="6" w:space="0" w:color="000000"/>
              <w:bottom w:val="outset" w:sz="6" w:space="0" w:color="000000"/>
            </w:tcBorders>
            <w:hideMark/>
          </w:tcPr>
          <w:p w:rsidR="00517DFE" w:rsidRPr="00D13742" w:rsidRDefault="007D468D" w:rsidP="00E23BB3">
            <w:pPr>
              <w:rPr>
                <w:sz w:val="20"/>
                <w:szCs w:val="20"/>
              </w:rPr>
            </w:pPr>
            <w:r>
              <w:rPr>
                <w:sz w:val="20"/>
                <w:szCs w:val="20"/>
              </w:rPr>
              <w:t>november</w:t>
            </w:r>
            <w:r w:rsidR="00491D39">
              <w:rPr>
                <w:sz w:val="20"/>
                <w:szCs w:val="20"/>
              </w:rPr>
              <w:t xml:space="preserve"> </w:t>
            </w:r>
            <w:r w:rsidR="00C30B2C">
              <w:rPr>
                <w:sz w:val="20"/>
                <w:szCs w:val="20"/>
              </w:rPr>
              <w:t>2019</w:t>
            </w:r>
          </w:p>
        </w:tc>
      </w:tr>
      <w:tr w:rsidR="00517DFE" w:rsidRPr="00C05B9F" w:rsidTr="005C147B">
        <w:trPr>
          <w:divId w:val="981544911"/>
          <w:jc w:val="center"/>
        </w:trPr>
        <w:tc>
          <w:tcPr>
            <w:tcW w:w="3000" w:type="pct"/>
            <w:tcBorders>
              <w:top w:val="outset" w:sz="6" w:space="0" w:color="000000"/>
              <w:bottom w:val="outset" w:sz="6" w:space="0" w:color="000000"/>
              <w:right w:val="outset" w:sz="6" w:space="0" w:color="000000"/>
            </w:tcBorders>
            <w:shd w:val="clear" w:color="auto" w:fill="E6E6E6"/>
            <w:hideMark/>
          </w:tcPr>
          <w:p w:rsidR="00517DFE" w:rsidRPr="00D13742" w:rsidRDefault="00517DFE" w:rsidP="00E23BB3">
            <w:pPr>
              <w:rPr>
                <w:b/>
                <w:bCs/>
                <w:sz w:val="20"/>
                <w:szCs w:val="20"/>
              </w:rPr>
            </w:pPr>
            <w:r w:rsidRPr="00D13742">
              <w:rPr>
                <w:b/>
                <w:bCs/>
                <w:sz w:val="20"/>
                <w:szCs w:val="20"/>
              </w:rPr>
              <w:t>Predpokladaný termín p</w:t>
            </w:r>
            <w:r w:rsidR="00965708" w:rsidRPr="00D13742">
              <w:rPr>
                <w:b/>
                <w:bCs/>
                <w:sz w:val="20"/>
                <w:szCs w:val="20"/>
              </w:rPr>
              <w:t xml:space="preserve">redloženia na Rokovanie vlády </w:t>
            </w:r>
            <w:r w:rsidRPr="00D13742">
              <w:rPr>
                <w:b/>
                <w:bCs/>
                <w:sz w:val="20"/>
                <w:szCs w:val="20"/>
              </w:rPr>
              <w:t>SR*</w:t>
            </w:r>
          </w:p>
        </w:tc>
        <w:tc>
          <w:tcPr>
            <w:tcW w:w="2000" w:type="pct"/>
            <w:tcBorders>
              <w:top w:val="outset" w:sz="6" w:space="0" w:color="000000"/>
              <w:left w:val="outset" w:sz="6" w:space="0" w:color="000000"/>
              <w:bottom w:val="outset" w:sz="6" w:space="0" w:color="000000"/>
            </w:tcBorders>
            <w:hideMark/>
          </w:tcPr>
          <w:p w:rsidR="00517DFE" w:rsidRPr="00D13742" w:rsidRDefault="00807BED" w:rsidP="00E23BB3">
            <w:pPr>
              <w:rPr>
                <w:sz w:val="20"/>
                <w:szCs w:val="20"/>
              </w:rPr>
            </w:pPr>
            <w:r>
              <w:rPr>
                <w:sz w:val="20"/>
                <w:szCs w:val="20"/>
              </w:rPr>
              <w:t>november</w:t>
            </w:r>
            <w:r w:rsidR="00683BB8">
              <w:rPr>
                <w:sz w:val="20"/>
                <w:szCs w:val="20"/>
              </w:rPr>
              <w:t xml:space="preserve"> </w:t>
            </w:r>
            <w:r w:rsidR="00517DFE" w:rsidRPr="00D13742">
              <w:rPr>
                <w:sz w:val="20"/>
                <w:szCs w:val="20"/>
              </w:rPr>
              <w:t>201</w:t>
            </w:r>
            <w:r w:rsidR="00D836EA" w:rsidRPr="00D13742">
              <w:rPr>
                <w:sz w:val="20"/>
                <w:szCs w:val="20"/>
              </w:rPr>
              <w:t>9</w:t>
            </w:r>
          </w:p>
        </w:tc>
      </w:tr>
    </w:tbl>
    <w:p w:rsidR="00517DFE" w:rsidRPr="00C05B9F" w:rsidRDefault="00517DFE" w:rsidP="00E23BB3">
      <w:pPr>
        <w:pStyle w:val="Normlnywebov"/>
        <w:spacing w:before="0" w:beforeAutospacing="0" w:after="0" w:afterAutospacing="0"/>
        <w:rPr>
          <w:bCs/>
          <w:sz w:val="22"/>
          <w:szCs w:val="22"/>
        </w:rPr>
      </w:pPr>
    </w:p>
    <w:tbl>
      <w:tblPr>
        <w:tblW w:w="9639" w:type="dxa"/>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4A0" w:firstRow="1" w:lastRow="0" w:firstColumn="1" w:lastColumn="0" w:noHBand="0" w:noVBand="1"/>
      </w:tblPr>
      <w:tblGrid>
        <w:gridCol w:w="9639"/>
      </w:tblGrid>
      <w:tr w:rsidR="00517DFE" w:rsidRPr="00C05B9F" w:rsidTr="005C147B">
        <w:trPr>
          <w:divId w:val="981544907"/>
          <w:jc w:val="center"/>
        </w:trPr>
        <w:tc>
          <w:tcPr>
            <w:tcW w:w="250" w:type="pct"/>
            <w:tcBorders>
              <w:top w:val="outset" w:sz="6" w:space="0" w:color="000000"/>
              <w:bottom w:val="outset" w:sz="6" w:space="0" w:color="000000"/>
            </w:tcBorders>
            <w:shd w:val="clear" w:color="auto" w:fill="E6E6E6"/>
            <w:hideMark/>
          </w:tcPr>
          <w:p w:rsidR="00517DFE" w:rsidRPr="00D13742" w:rsidRDefault="00517DFE" w:rsidP="00E23BB3">
            <w:pPr>
              <w:rPr>
                <w:b/>
                <w:bCs/>
                <w:sz w:val="20"/>
                <w:szCs w:val="20"/>
              </w:rPr>
            </w:pPr>
            <w:r w:rsidRPr="00D13742">
              <w:rPr>
                <w:b/>
                <w:bCs/>
                <w:sz w:val="20"/>
                <w:szCs w:val="20"/>
              </w:rPr>
              <w:t>2. Definícia problému</w:t>
            </w:r>
          </w:p>
        </w:tc>
      </w:tr>
      <w:tr w:rsidR="00517DFE" w:rsidRPr="00C05B9F" w:rsidTr="005C147B">
        <w:trPr>
          <w:divId w:val="981544907"/>
          <w:jc w:val="center"/>
        </w:trPr>
        <w:tc>
          <w:tcPr>
            <w:tcW w:w="250" w:type="pct"/>
            <w:tcBorders>
              <w:top w:val="outset" w:sz="6" w:space="0" w:color="000000"/>
              <w:bottom w:val="outset" w:sz="6" w:space="0" w:color="000000"/>
            </w:tcBorders>
            <w:hideMark/>
          </w:tcPr>
          <w:p w:rsidR="00FD54A0" w:rsidRPr="00D13742" w:rsidRDefault="00FD54A0" w:rsidP="00E23BB3">
            <w:pPr>
              <w:rPr>
                <w:i/>
                <w:sz w:val="20"/>
                <w:szCs w:val="20"/>
              </w:rPr>
            </w:pPr>
            <w:r w:rsidRPr="00D13742">
              <w:rPr>
                <w:i/>
                <w:sz w:val="20"/>
                <w:szCs w:val="20"/>
              </w:rPr>
              <w:t>Uveďte základné problémy, na ktoré navrhovaná regulácia reaguje.</w:t>
            </w:r>
          </w:p>
          <w:p w:rsidR="0075062D" w:rsidRDefault="0075062D" w:rsidP="00E23BB3">
            <w:pPr>
              <w:jc w:val="both"/>
              <w:rPr>
                <w:sz w:val="20"/>
                <w:szCs w:val="20"/>
              </w:rPr>
            </w:pPr>
          </w:p>
          <w:p w:rsidR="00683BB8" w:rsidRDefault="0075062D" w:rsidP="00807BED">
            <w:pPr>
              <w:jc w:val="both"/>
              <w:rPr>
                <w:sz w:val="20"/>
                <w:szCs w:val="20"/>
              </w:rPr>
            </w:pPr>
            <w:r>
              <w:rPr>
                <w:sz w:val="20"/>
                <w:szCs w:val="20"/>
              </w:rPr>
              <w:t xml:space="preserve">Potreba vypracovať návrh nariadenia vlády </w:t>
            </w:r>
            <w:r w:rsidR="00D57D2E">
              <w:rPr>
                <w:sz w:val="20"/>
                <w:szCs w:val="20"/>
              </w:rPr>
              <w:t xml:space="preserve">Slovenskej republiky </w:t>
            </w:r>
            <w:r>
              <w:rPr>
                <w:sz w:val="20"/>
                <w:szCs w:val="20"/>
              </w:rPr>
              <w:t>vyplynula zo splnomocňovacieho ustanovenia § </w:t>
            </w:r>
            <w:r w:rsidR="00683BB8">
              <w:rPr>
                <w:sz w:val="20"/>
                <w:szCs w:val="20"/>
              </w:rPr>
              <w:t>5</w:t>
            </w:r>
            <w:r>
              <w:rPr>
                <w:sz w:val="20"/>
                <w:szCs w:val="20"/>
              </w:rPr>
              <w:t xml:space="preserve"> </w:t>
            </w:r>
            <w:r w:rsidR="00683BB8">
              <w:rPr>
                <w:sz w:val="20"/>
                <w:szCs w:val="20"/>
              </w:rPr>
              <w:t>ods. 8</w:t>
            </w:r>
            <w:r>
              <w:rPr>
                <w:sz w:val="20"/>
                <w:szCs w:val="20"/>
              </w:rPr>
              <w:t xml:space="preserve"> </w:t>
            </w:r>
            <w:r w:rsidR="00E55CB4">
              <w:rPr>
                <w:sz w:val="20"/>
                <w:szCs w:val="20"/>
              </w:rPr>
              <w:t>zákona č. 213</w:t>
            </w:r>
            <w:r w:rsidRPr="004A3FF2">
              <w:rPr>
                <w:sz w:val="20"/>
                <w:szCs w:val="20"/>
              </w:rPr>
              <w:t>/2019 Z. z. o odplatách a o poskytovaní príspevku v civilnom letectve a o zmene a doplnení niektorých zákonov</w:t>
            </w:r>
            <w:r w:rsidR="00EA6FEC">
              <w:rPr>
                <w:sz w:val="20"/>
                <w:szCs w:val="20"/>
              </w:rPr>
              <w:t xml:space="preserve"> (ďalej len „zákon č. 213/2019“)</w:t>
            </w:r>
            <w:r>
              <w:rPr>
                <w:sz w:val="20"/>
                <w:szCs w:val="20"/>
              </w:rPr>
              <w:t xml:space="preserve"> </w:t>
            </w:r>
            <w:r w:rsidR="00683BB8">
              <w:rPr>
                <w:sz w:val="20"/>
                <w:szCs w:val="20"/>
              </w:rPr>
              <w:t>s</w:t>
            </w:r>
            <w:r w:rsidR="00683BB8" w:rsidRPr="00683BB8">
              <w:rPr>
                <w:sz w:val="20"/>
                <w:szCs w:val="20"/>
              </w:rPr>
              <w:t xml:space="preserve"> ohľadom na </w:t>
            </w:r>
            <w:r w:rsidR="0029167F" w:rsidRPr="0029167F">
              <w:rPr>
                <w:sz w:val="20"/>
                <w:szCs w:val="20"/>
              </w:rPr>
              <w:t xml:space="preserve">vykonávacie nariadenie Komisie (EÚ) 2019/317 z 11. februára 2019, ktorým sa stanovuje systém výkonnosti a spoplatňovania v jednotnom európskom nebi a ktorým sa zrušujú vykonávacie nariadenia (EÚ) č. 390/2013 a (EÚ) č. 391/2013 </w:t>
            </w:r>
            <w:r w:rsidR="0029167F">
              <w:rPr>
                <w:sz w:val="20"/>
                <w:szCs w:val="20"/>
              </w:rPr>
              <w:t>[ďalej len „</w:t>
            </w:r>
            <w:r w:rsidR="00683BB8" w:rsidRPr="00683BB8">
              <w:rPr>
                <w:sz w:val="20"/>
                <w:szCs w:val="20"/>
              </w:rPr>
              <w:t>vykonávacie nariadenie (EÚ) 2019/317</w:t>
            </w:r>
            <w:r w:rsidR="0029167F">
              <w:rPr>
                <w:sz w:val="20"/>
                <w:szCs w:val="20"/>
              </w:rPr>
              <w:t>“]</w:t>
            </w:r>
            <w:r w:rsidR="00683BB8">
              <w:rPr>
                <w:sz w:val="20"/>
                <w:szCs w:val="20"/>
              </w:rPr>
              <w:t>, na základe ktorého</w:t>
            </w:r>
            <w:r w:rsidR="00683BB8" w:rsidRPr="00683BB8">
              <w:rPr>
                <w:sz w:val="20"/>
                <w:szCs w:val="20"/>
              </w:rPr>
              <w:t xml:space="preserve"> sa od 1.</w:t>
            </w:r>
            <w:r w:rsidR="00683BB8">
              <w:rPr>
                <w:sz w:val="20"/>
                <w:szCs w:val="20"/>
              </w:rPr>
              <w:t xml:space="preserve"> januára </w:t>
            </w:r>
            <w:r w:rsidR="00683BB8" w:rsidRPr="00683BB8">
              <w:rPr>
                <w:sz w:val="20"/>
                <w:szCs w:val="20"/>
              </w:rPr>
              <w:t>2020 uplatňujú nové pravidlá týkajúce sa terminálnych zón spoplatňovania a terminálnych odplát</w:t>
            </w:r>
            <w:r w:rsidR="00683BB8">
              <w:rPr>
                <w:sz w:val="20"/>
                <w:szCs w:val="20"/>
              </w:rPr>
              <w:t>.</w:t>
            </w:r>
          </w:p>
          <w:p w:rsidR="00C40833" w:rsidRPr="00D13742" w:rsidRDefault="00C40833" w:rsidP="00A438F3">
            <w:pPr>
              <w:jc w:val="both"/>
              <w:rPr>
                <w:sz w:val="20"/>
                <w:szCs w:val="20"/>
              </w:rPr>
            </w:pPr>
            <w:r>
              <w:rPr>
                <w:sz w:val="20"/>
                <w:szCs w:val="20"/>
              </w:rPr>
              <w:t>Návrh nariadenia vlády Slovenskej republiky bol vypracovan</w:t>
            </w:r>
            <w:r w:rsidR="009B02BD">
              <w:rPr>
                <w:sz w:val="20"/>
                <w:szCs w:val="20"/>
              </w:rPr>
              <w:t>ý</w:t>
            </w:r>
            <w:r>
              <w:rPr>
                <w:sz w:val="20"/>
                <w:szCs w:val="20"/>
              </w:rPr>
              <w:t xml:space="preserve"> </w:t>
            </w:r>
            <w:r w:rsidR="007D468D">
              <w:rPr>
                <w:sz w:val="20"/>
                <w:szCs w:val="20"/>
              </w:rPr>
              <w:t>zohľadňujúc</w:t>
            </w:r>
            <w:r>
              <w:rPr>
                <w:sz w:val="20"/>
                <w:szCs w:val="20"/>
              </w:rPr>
              <w:t xml:space="preserve"> </w:t>
            </w:r>
            <w:r w:rsidRPr="00C40833">
              <w:rPr>
                <w:sz w:val="20"/>
                <w:szCs w:val="20"/>
              </w:rPr>
              <w:t>odporúčania Medzinárodnej organizácie civilného letectva</w:t>
            </w:r>
            <w:r>
              <w:rPr>
                <w:sz w:val="20"/>
                <w:szCs w:val="20"/>
              </w:rPr>
              <w:t xml:space="preserve"> (dokument </w:t>
            </w:r>
            <w:proofErr w:type="spellStart"/>
            <w:r>
              <w:rPr>
                <w:sz w:val="20"/>
                <w:szCs w:val="20"/>
              </w:rPr>
              <w:t>Doc</w:t>
            </w:r>
            <w:proofErr w:type="spellEnd"/>
            <w:r w:rsidR="00A438F3">
              <w:rPr>
                <w:sz w:val="20"/>
                <w:szCs w:val="20"/>
              </w:rPr>
              <w:t> </w:t>
            </w:r>
            <w:r>
              <w:rPr>
                <w:sz w:val="20"/>
                <w:szCs w:val="20"/>
              </w:rPr>
              <w:t>9082</w:t>
            </w:r>
            <w:r>
              <w:rPr>
                <w:color w:val="000000"/>
                <w:spacing w:val="1"/>
                <w:sz w:val="20"/>
                <w:szCs w:val="20"/>
              </w:rPr>
              <w:t xml:space="preserve"> ICAO </w:t>
            </w:r>
            <w:r w:rsidR="007D468D">
              <w:rPr>
                <w:color w:val="000000"/>
                <w:spacing w:val="1"/>
                <w:sz w:val="20"/>
                <w:szCs w:val="20"/>
              </w:rPr>
              <w:t xml:space="preserve">Pravidlá </w:t>
            </w:r>
            <w:r>
              <w:rPr>
                <w:color w:val="000000"/>
                <w:spacing w:val="1"/>
                <w:sz w:val="20"/>
                <w:szCs w:val="20"/>
              </w:rPr>
              <w:t xml:space="preserve">v oblasti letiskových odplát a odplát za poskytovanie leteckých navigačných služieb, dokument </w:t>
            </w:r>
            <w:proofErr w:type="spellStart"/>
            <w:r>
              <w:rPr>
                <w:color w:val="000000"/>
                <w:spacing w:val="1"/>
                <w:sz w:val="20"/>
                <w:szCs w:val="20"/>
              </w:rPr>
              <w:t>Doc</w:t>
            </w:r>
            <w:proofErr w:type="spellEnd"/>
            <w:r w:rsidR="00A438F3">
              <w:rPr>
                <w:color w:val="000000"/>
                <w:spacing w:val="1"/>
                <w:sz w:val="20"/>
                <w:szCs w:val="20"/>
              </w:rPr>
              <w:t> </w:t>
            </w:r>
            <w:bookmarkStart w:id="0" w:name="_GoBack"/>
            <w:bookmarkEnd w:id="0"/>
            <w:r>
              <w:rPr>
                <w:color w:val="000000"/>
                <w:spacing w:val="1"/>
                <w:sz w:val="20"/>
                <w:szCs w:val="20"/>
              </w:rPr>
              <w:t>9161 Manuál ekonomickej oblasti leteckých navigačných služieb)</w:t>
            </w:r>
            <w:r w:rsidRPr="00C40833">
              <w:rPr>
                <w:sz w:val="20"/>
                <w:szCs w:val="20"/>
              </w:rPr>
              <w:t xml:space="preserve"> a princípy stanovené v nariadení Európskeho parlamentu a Rady (ES) č. 550/2004 z 10. marca 2004 o poskytovaní letových navigačných služieb v jednotnom európskom nebi (nariadenie o poskytovaní služieb) v platnom znení</w:t>
            </w:r>
            <w:r w:rsidR="007D468D">
              <w:rPr>
                <w:sz w:val="20"/>
                <w:szCs w:val="20"/>
              </w:rPr>
              <w:t>.</w:t>
            </w:r>
          </w:p>
        </w:tc>
      </w:tr>
      <w:tr w:rsidR="00517DFE" w:rsidRPr="00C05B9F" w:rsidTr="005C147B">
        <w:trPr>
          <w:divId w:val="981544907"/>
          <w:jc w:val="center"/>
        </w:trPr>
        <w:tc>
          <w:tcPr>
            <w:tcW w:w="250" w:type="pct"/>
            <w:tcBorders>
              <w:top w:val="outset" w:sz="6" w:space="0" w:color="000000"/>
              <w:bottom w:val="outset" w:sz="6" w:space="0" w:color="000000"/>
            </w:tcBorders>
            <w:shd w:val="clear" w:color="auto" w:fill="E6E6E6"/>
            <w:hideMark/>
          </w:tcPr>
          <w:p w:rsidR="00517DFE" w:rsidRPr="00D13742" w:rsidRDefault="00517DFE" w:rsidP="00E23BB3">
            <w:pPr>
              <w:rPr>
                <w:b/>
                <w:bCs/>
                <w:sz w:val="20"/>
                <w:szCs w:val="20"/>
              </w:rPr>
            </w:pPr>
            <w:r w:rsidRPr="00D13742">
              <w:rPr>
                <w:b/>
                <w:bCs/>
                <w:sz w:val="20"/>
                <w:szCs w:val="20"/>
              </w:rPr>
              <w:t>3. Ciele a výsledný stav</w:t>
            </w:r>
          </w:p>
        </w:tc>
      </w:tr>
      <w:tr w:rsidR="00517DFE" w:rsidRPr="00C05B9F" w:rsidTr="005C147B">
        <w:trPr>
          <w:divId w:val="981544907"/>
          <w:jc w:val="center"/>
        </w:trPr>
        <w:tc>
          <w:tcPr>
            <w:tcW w:w="250" w:type="pct"/>
            <w:tcBorders>
              <w:top w:val="outset" w:sz="6" w:space="0" w:color="000000"/>
              <w:bottom w:val="outset" w:sz="6" w:space="0" w:color="000000"/>
            </w:tcBorders>
            <w:hideMark/>
          </w:tcPr>
          <w:p w:rsidR="00FD54A0" w:rsidRPr="00D13742" w:rsidRDefault="00FD54A0" w:rsidP="00E23BB3">
            <w:pPr>
              <w:rPr>
                <w:i/>
                <w:sz w:val="20"/>
                <w:szCs w:val="20"/>
              </w:rPr>
            </w:pPr>
            <w:r w:rsidRPr="00D13742">
              <w:rPr>
                <w:i/>
                <w:sz w:val="20"/>
                <w:szCs w:val="20"/>
              </w:rPr>
              <w:t>Uveďte hlavné ciele navrhovaného predpisu (aký výsledný stav chcete reguláciou dosiahnuť).</w:t>
            </w:r>
          </w:p>
          <w:p w:rsidR="00FD54A0" w:rsidRPr="00D13742" w:rsidRDefault="00FD54A0" w:rsidP="00E23BB3">
            <w:pPr>
              <w:jc w:val="both"/>
              <w:rPr>
                <w:sz w:val="20"/>
                <w:szCs w:val="20"/>
              </w:rPr>
            </w:pPr>
          </w:p>
          <w:p w:rsidR="00683BB8" w:rsidRPr="00683BB8" w:rsidRDefault="0075062D" w:rsidP="00E23BB3">
            <w:pPr>
              <w:jc w:val="both"/>
              <w:rPr>
                <w:bCs/>
                <w:sz w:val="20"/>
                <w:szCs w:val="20"/>
              </w:rPr>
            </w:pPr>
            <w:r>
              <w:rPr>
                <w:sz w:val="20"/>
                <w:szCs w:val="20"/>
              </w:rPr>
              <w:t xml:space="preserve">Nariadením vlády Slovenskej republiky </w:t>
            </w:r>
            <w:r w:rsidR="00683BB8">
              <w:rPr>
                <w:sz w:val="20"/>
                <w:szCs w:val="20"/>
              </w:rPr>
              <w:t xml:space="preserve">sa </w:t>
            </w:r>
            <w:r w:rsidR="00683BB8" w:rsidRPr="00683BB8">
              <w:rPr>
                <w:sz w:val="20"/>
                <w:szCs w:val="20"/>
              </w:rPr>
              <w:t>ustanov</w:t>
            </w:r>
            <w:r w:rsidR="00683BB8">
              <w:rPr>
                <w:sz w:val="20"/>
                <w:szCs w:val="20"/>
              </w:rPr>
              <w:t>uje</w:t>
            </w:r>
            <w:r w:rsidR="00683BB8" w:rsidRPr="00683BB8">
              <w:rPr>
                <w:sz w:val="20"/>
                <w:szCs w:val="20"/>
              </w:rPr>
              <w:t xml:space="preserve"> postup určovania a výpočtu výšky odplaty za poskytovanie leteckých navigačných služieb a zóny spoplatňovania. V návrhu nariadenia vlády sa upravujú</w:t>
            </w:r>
          </w:p>
          <w:p w:rsidR="00683BB8" w:rsidRPr="00683BB8" w:rsidRDefault="00683BB8" w:rsidP="00E23BB3">
            <w:pPr>
              <w:numPr>
                <w:ilvl w:val="0"/>
                <w:numId w:val="5"/>
              </w:numPr>
              <w:ind w:left="284" w:hanging="284"/>
              <w:jc w:val="both"/>
              <w:rPr>
                <w:bCs/>
                <w:sz w:val="20"/>
                <w:szCs w:val="20"/>
              </w:rPr>
            </w:pPr>
            <w:r w:rsidRPr="00683BB8">
              <w:rPr>
                <w:bCs/>
                <w:sz w:val="20"/>
                <w:szCs w:val="20"/>
              </w:rPr>
              <w:t xml:space="preserve">zóny spoplatňovania, </w:t>
            </w:r>
          </w:p>
          <w:p w:rsidR="00683BB8" w:rsidRPr="00683BB8" w:rsidRDefault="00683BB8" w:rsidP="00E23BB3">
            <w:pPr>
              <w:numPr>
                <w:ilvl w:val="0"/>
                <w:numId w:val="5"/>
              </w:numPr>
              <w:ind w:left="284" w:hanging="284"/>
              <w:jc w:val="both"/>
              <w:rPr>
                <w:bCs/>
                <w:sz w:val="20"/>
                <w:szCs w:val="20"/>
              </w:rPr>
            </w:pPr>
            <w:r w:rsidRPr="00683BB8">
              <w:rPr>
                <w:bCs/>
                <w:sz w:val="20"/>
                <w:szCs w:val="20"/>
              </w:rPr>
              <w:t xml:space="preserve">ekonomicky oprávnené náklady, na základe ktorých sa </w:t>
            </w:r>
            <w:r w:rsidR="00622FC3">
              <w:rPr>
                <w:bCs/>
                <w:sz w:val="20"/>
                <w:szCs w:val="20"/>
              </w:rPr>
              <w:t>určí</w:t>
            </w:r>
            <w:r w:rsidRPr="00683BB8">
              <w:rPr>
                <w:bCs/>
                <w:sz w:val="20"/>
                <w:szCs w:val="20"/>
              </w:rPr>
              <w:t xml:space="preserve"> terminálna jednotková sadzba a následne terminálna odplata, </w:t>
            </w:r>
          </w:p>
          <w:p w:rsidR="00683BB8" w:rsidRPr="00683BB8" w:rsidRDefault="00683BB8" w:rsidP="00E23BB3">
            <w:pPr>
              <w:numPr>
                <w:ilvl w:val="0"/>
                <w:numId w:val="5"/>
              </w:numPr>
              <w:ind w:left="284" w:hanging="284"/>
              <w:jc w:val="both"/>
              <w:rPr>
                <w:bCs/>
                <w:sz w:val="20"/>
                <w:szCs w:val="20"/>
              </w:rPr>
            </w:pPr>
            <w:r w:rsidRPr="00683BB8">
              <w:rPr>
                <w:bCs/>
                <w:sz w:val="20"/>
                <w:szCs w:val="20"/>
              </w:rPr>
              <w:t xml:space="preserve">metodika </w:t>
            </w:r>
            <w:r w:rsidR="00622FC3">
              <w:rPr>
                <w:bCs/>
                <w:sz w:val="20"/>
                <w:szCs w:val="20"/>
              </w:rPr>
              <w:t>určenia</w:t>
            </w:r>
            <w:r w:rsidRPr="00683BB8">
              <w:rPr>
                <w:bCs/>
                <w:sz w:val="20"/>
                <w:szCs w:val="20"/>
              </w:rPr>
              <w:t xml:space="preserve"> terminálnej jednotkovej sadzby,</w:t>
            </w:r>
          </w:p>
          <w:p w:rsidR="00683BB8" w:rsidRPr="00683BB8" w:rsidRDefault="00683BB8" w:rsidP="00E23BB3">
            <w:pPr>
              <w:numPr>
                <w:ilvl w:val="0"/>
                <w:numId w:val="5"/>
              </w:numPr>
              <w:ind w:left="284" w:hanging="284"/>
              <w:jc w:val="both"/>
              <w:rPr>
                <w:bCs/>
                <w:sz w:val="20"/>
                <w:szCs w:val="20"/>
              </w:rPr>
            </w:pPr>
            <w:r w:rsidRPr="00683BB8">
              <w:rPr>
                <w:bCs/>
                <w:sz w:val="20"/>
                <w:szCs w:val="20"/>
              </w:rPr>
              <w:t>vzorec na výpočet terminálnej odplaty,</w:t>
            </w:r>
          </w:p>
          <w:p w:rsidR="00CA6D43" w:rsidRPr="00D13742" w:rsidRDefault="00D80743" w:rsidP="00D80743">
            <w:pPr>
              <w:numPr>
                <w:ilvl w:val="0"/>
                <w:numId w:val="5"/>
              </w:numPr>
              <w:ind w:left="284" w:hanging="284"/>
              <w:jc w:val="both"/>
              <w:rPr>
                <w:sz w:val="20"/>
                <w:szCs w:val="20"/>
              </w:rPr>
            </w:pPr>
            <w:r w:rsidRPr="00683BB8">
              <w:rPr>
                <w:bCs/>
                <w:sz w:val="20"/>
                <w:szCs w:val="20"/>
              </w:rPr>
              <w:t>konzultáci</w:t>
            </w:r>
            <w:r>
              <w:rPr>
                <w:bCs/>
                <w:sz w:val="20"/>
                <w:szCs w:val="20"/>
              </w:rPr>
              <w:t>e</w:t>
            </w:r>
            <w:r w:rsidRPr="00683BB8">
              <w:rPr>
                <w:bCs/>
                <w:sz w:val="20"/>
                <w:szCs w:val="20"/>
              </w:rPr>
              <w:t xml:space="preserve"> </w:t>
            </w:r>
            <w:r w:rsidR="00683BB8" w:rsidRPr="00683BB8">
              <w:rPr>
                <w:bCs/>
                <w:sz w:val="20"/>
                <w:szCs w:val="20"/>
              </w:rPr>
              <w:t>so zástupcami používateľov vzdušného priestoru.</w:t>
            </w:r>
          </w:p>
        </w:tc>
      </w:tr>
      <w:tr w:rsidR="00517DFE" w:rsidRPr="00C05B9F" w:rsidTr="005C147B">
        <w:trPr>
          <w:divId w:val="981544907"/>
          <w:jc w:val="center"/>
        </w:trPr>
        <w:tc>
          <w:tcPr>
            <w:tcW w:w="250" w:type="pct"/>
            <w:tcBorders>
              <w:top w:val="outset" w:sz="6" w:space="0" w:color="000000"/>
              <w:bottom w:val="outset" w:sz="6" w:space="0" w:color="000000"/>
            </w:tcBorders>
            <w:shd w:val="clear" w:color="auto" w:fill="E6E6E6"/>
            <w:hideMark/>
          </w:tcPr>
          <w:p w:rsidR="00517DFE" w:rsidRPr="00D13742" w:rsidRDefault="00965708" w:rsidP="00E23BB3">
            <w:pPr>
              <w:rPr>
                <w:b/>
                <w:bCs/>
                <w:sz w:val="20"/>
                <w:szCs w:val="20"/>
              </w:rPr>
            </w:pPr>
            <w:r w:rsidRPr="00D13742">
              <w:rPr>
                <w:b/>
                <w:bCs/>
                <w:sz w:val="20"/>
                <w:szCs w:val="20"/>
              </w:rPr>
              <w:t>4.</w:t>
            </w:r>
            <w:r w:rsidR="00517DFE" w:rsidRPr="00D13742">
              <w:rPr>
                <w:b/>
                <w:bCs/>
                <w:sz w:val="20"/>
                <w:szCs w:val="20"/>
              </w:rPr>
              <w:t xml:space="preserve"> Dotknuté subjekty</w:t>
            </w:r>
          </w:p>
        </w:tc>
      </w:tr>
      <w:tr w:rsidR="00517DFE" w:rsidRPr="00C05B9F" w:rsidTr="005C147B">
        <w:trPr>
          <w:divId w:val="981544907"/>
          <w:jc w:val="center"/>
        </w:trPr>
        <w:tc>
          <w:tcPr>
            <w:tcW w:w="250" w:type="pct"/>
            <w:tcBorders>
              <w:top w:val="outset" w:sz="6" w:space="0" w:color="000000"/>
              <w:bottom w:val="outset" w:sz="6" w:space="0" w:color="000000"/>
            </w:tcBorders>
            <w:hideMark/>
          </w:tcPr>
          <w:p w:rsidR="00517DFE" w:rsidRPr="00D13742" w:rsidRDefault="00FD54A0" w:rsidP="00E23BB3">
            <w:pPr>
              <w:rPr>
                <w:i/>
                <w:sz w:val="20"/>
                <w:szCs w:val="20"/>
              </w:rPr>
            </w:pPr>
            <w:r w:rsidRPr="00D13742">
              <w:rPr>
                <w:i/>
                <w:sz w:val="20"/>
                <w:szCs w:val="20"/>
              </w:rPr>
              <w:t>Uveďte subjekty, ktorých sa zmeny návrhu dotknú priamo aj nepriamo:</w:t>
            </w:r>
          </w:p>
          <w:p w:rsidR="00C05B9F" w:rsidRDefault="00C05B9F" w:rsidP="00E23BB3">
            <w:pPr>
              <w:jc w:val="both"/>
              <w:rPr>
                <w:bCs/>
                <w:sz w:val="20"/>
                <w:szCs w:val="20"/>
              </w:rPr>
            </w:pPr>
          </w:p>
          <w:p w:rsidR="005C69C0" w:rsidRDefault="005C69C0" w:rsidP="00E23BB3">
            <w:pPr>
              <w:pStyle w:val="Odsekzoznamu"/>
              <w:numPr>
                <w:ilvl w:val="0"/>
                <w:numId w:val="4"/>
              </w:numPr>
              <w:ind w:left="284" w:hanging="284"/>
              <w:contextualSpacing w:val="0"/>
              <w:jc w:val="both"/>
              <w:rPr>
                <w:bCs/>
                <w:sz w:val="20"/>
                <w:szCs w:val="20"/>
              </w:rPr>
            </w:pPr>
            <w:r w:rsidRPr="005C69C0">
              <w:rPr>
                <w:bCs/>
                <w:sz w:val="20"/>
                <w:szCs w:val="20"/>
              </w:rPr>
              <w:t>poskytovate</w:t>
            </w:r>
            <w:r w:rsidR="00807BED">
              <w:rPr>
                <w:bCs/>
                <w:sz w:val="20"/>
                <w:szCs w:val="20"/>
              </w:rPr>
              <w:t>ľ</w:t>
            </w:r>
            <w:r w:rsidRPr="005C69C0">
              <w:rPr>
                <w:bCs/>
                <w:sz w:val="20"/>
                <w:szCs w:val="20"/>
              </w:rPr>
              <w:t xml:space="preserve"> leteckých navigačných služieb,</w:t>
            </w:r>
          </w:p>
          <w:p w:rsidR="009C2DD2" w:rsidRDefault="005C69C0" w:rsidP="00055DE8">
            <w:pPr>
              <w:pStyle w:val="Odsekzoznamu"/>
              <w:numPr>
                <w:ilvl w:val="0"/>
                <w:numId w:val="4"/>
              </w:numPr>
              <w:ind w:left="284" w:hanging="284"/>
              <w:contextualSpacing w:val="0"/>
              <w:jc w:val="both"/>
              <w:rPr>
                <w:bCs/>
                <w:sz w:val="20"/>
                <w:szCs w:val="20"/>
              </w:rPr>
            </w:pPr>
            <w:r w:rsidRPr="005C69C0">
              <w:rPr>
                <w:bCs/>
                <w:sz w:val="20"/>
                <w:szCs w:val="20"/>
              </w:rPr>
              <w:t>prevádzkovateľ lietadla, letecký prevádzkovateľ alebo letecký doprav</w:t>
            </w:r>
            <w:r w:rsidR="00055DE8">
              <w:rPr>
                <w:bCs/>
                <w:sz w:val="20"/>
                <w:szCs w:val="20"/>
              </w:rPr>
              <w:t>ca</w:t>
            </w:r>
            <w:r w:rsidR="007D468D">
              <w:rPr>
                <w:bCs/>
                <w:sz w:val="20"/>
                <w:szCs w:val="20"/>
              </w:rPr>
              <w:t>,</w:t>
            </w:r>
            <w:r w:rsidR="000E3405">
              <w:rPr>
                <w:bCs/>
                <w:sz w:val="20"/>
                <w:szCs w:val="20"/>
              </w:rPr>
              <w:t xml:space="preserve"> ako používatelia vzdušného priestoru</w:t>
            </w:r>
            <w:r w:rsidR="00807BED">
              <w:rPr>
                <w:bCs/>
                <w:sz w:val="20"/>
                <w:szCs w:val="20"/>
              </w:rPr>
              <w:t>,</w:t>
            </w:r>
            <w:r w:rsidR="009C2DD2">
              <w:rPr>
                <w:bCs/>
                <w:sz w:val="20"/>
                <w:szCs w:val="20"/>
              </w:rPr>
              <w:t xml:space="preserve"> </w:t>
            </w:r>
          </w:p>
          <w:p w:rsidR="00807BED" w:rsidRDefault="009C2DD2" w:rsidP="00055DE8">
            <w:pPr>
              <w:pStyle w:val="Odsekzoznamu"/>
              <w:numPr>
                <w:ilvl w:val="0"/>
                <w:numId w:val="4"/>
              </w:numPr>
              <w:ind w:left="284" w:hanging="284"/>
              <w:contextualSpacing w:val="0"/>
              <w:jc w:val="both"/>
              <w:rPr>
                <w:bCs/>
                <w:sz w:val="20"/>
                <w:szCs w:val="20"/>
              </w:rPr>
            </w:pPr>
            <w:r>
              <w:rPr>
                <w:bCs/>
                <w:sz w:val="20"/>
                <w:szCs w:val="20"/>
              </w:rPr>
              <w:t>Dopravný úrad</w:t>
            </w:r>
            <w:r w:rsidR="007D468D">
              <w:rPr>
                <w:bCs/>
                <w:sz w:val="20"/>
                <w:szCs w:val="20"/>
              </w:rPr>
              <w:t>,</w:t>
            </w:r>
            <w:r>
              <w:rPr>
                <w:bCs/>
                <w:sz w:val="20"/>
                <w:szCs w:val="20"/>
              </w:rPr>
              <w:t xml:space="preserve"> ako národný dozorný orgán v oblasti leteckých navigačných služieb,</w:t>
            </w:r>
          </w:p>
          <w:p w:rsidR="009C2DD2" w:rsidRPr="00807BED" w:rsidRDefault="009C2DD2" w:rsidP="00055DE8">
            <w:pPr>
              <w:pStyle w:val="Odsekzoznamu"/>
              <w:numPr>
                <w:ilvl w:val="0"/>
                <w:numId w:val="4"/>
              </w:numPr>
              <w:ind w:left="284" w:hanging="284"/>
              <w:contextualSpacing w:val="0"/>
              <w:jc w:val="both"/>
              <w:rPr>
                <w:bCs/>
                <w:sz w:val="20"/>
                <w:szCs w:val="20"/>
              </w:rPr>
            </w:pPr>
            <w:r>
              <w:rPr>
                <w:bCs/>
                <w:sz w:val="20"/>
                <w:szCs w:val="20"/>
              </w:rPr>
              <w:t>letiskové spoločnosti</w:t>
            </w:r>
            <w:r w:rsidR="000E3405">
              <w:rPr>
                <w:bCs/>
                <w:sz w:val="20"/>
                <w:szCs w:val="20"/>
              </w:rPr>
              <w:t>, keďže na letiskách, ktoré prevádzkujú, sú poskytované terminálne letecké navigačné služby</w:t>
            </w:r>
          </w:p>
        </w:tc>
      </w:tr>
      <w:tr w:rsidR="00517DFE" w:rsidRPr="00C05B9F" w:rsidTr="005C147B">
        <w:trPr>
          <w:divId w:val="981544907"/>
          <w:jc w:val="center"/>
        </w:trPr>
        <w:tc>
          <w:tcPr>
            <w:tcW w:w="250" w:type="pct"/>
            <w:tcBorders>
              <w:top w:val="outset" w:sz="6" w:space="0" w:color="000000"/>
              <w:bottom w:val="outset" w:sz="6" w:space="0" w:color="000000"/>
            </w:tcBorders>
            <w:shd w:val="clear" w:color="auto" w:fill="E6E6E6"/>
            <w:hideMark/>
          </w:tcPr>
          <w:p w:rsidR="00517DFE" w:rsidRPr="00D13742" w:rsidRDefault="00517DFE" w:rsidP="00E23BB3">
            <w:pPr>
              <w:rPr>
                <w:b/>
                <w:bCs/>
                <w:sz w:val="20"/>
                <w:szCs w:val="20"/>
              </w:rPr>
            </w:pPr>
            <w:r w:rsidRPr="00D13742">
              <w:rPr>
                <w:b/>
                <w:bCs/>
                <w:sz w:val="20"/>
                <w:szCs w:val="20"/>
              </w:rPr>
              <w:t>5. Alternatívne riešenia</w:t>
            </w:r>
          </w:p>
        </w:tc>
      </w:tr>
      <w:tr w:rsidR="00517DFE" w:rsidRPr="00C05B9F" w:rsidTr="005C147B">
        <w:trPr>
          <w:divId w:val="981544907"/>
          <w:jc w:val="center"/>
        </w:trPr>
        <w:tc>
          <w:tcPr>
            <w:tcW w:w="250" w:type="pct"/>
            <w:tcBorders>
              <w:top w:val="outset" w:sz="6" w:space="0" w:color="000000"/>
              <w:bottom w:val="outset" w:sz="6" w:space="0" w:color="000000"/>
            </w:tcBorders>
            <w:hideMark/>
          </w:tcPr>
          <w:p w:rsidR="00FD54A0" w:rsidRPr="00D13742" w:rsidRDefault="00FD54A0" w:rsidP="00E23BB3">
            <w:pPr>
              <w:rPr>
                <w:i/>
                <w:sz w:val="20"/>
                <w:szCs w:val="20"/>
              </w:rPr>
            </w:pPr>
            <w:r w:rsidRPr="00D13742">
              <w:rPr>
                <w:i/>
                <w:sz w:val="20"/>
                <w:szCs w:val="20"/>
              </w:rPr>
              <w:t>Aké alternatívne riešenia boli posudzované?</w:t>
            </w:r>
          </w:p>
          <w:p w:rsidR="00FD54A0" w:rsidRPr="00D13742" w:rsidRDefault="00FD54A0" w:rsidP="00E23BB3">
            <w:pPr>
              <w:rPr>
                <w:i/>
                <w:sz w:val="20"/>
                <w:szCs w:val="20"/>
              </w:rPr>
            </w:pPr>
            <w:r w:rsidRPr="00D13742">
              <w:rPr>
                <w:i/>
                <w:sz w:val="20"/>
                <w:szCs w:val="20"/>
              </w:rPr>
              <w:t>Uveďte, aké alternatívne spôsoby na odstránenie definovaného problému boli identifikované a posudzované.</w:t>
            </w:r>
          </w:p>
          <w:p w:rsidR="00C602E8" w:rsidRDefault="00C602E8" w:rsidP="00E23BB3">
            <w:pPr>
              <w:autoSpaceDE w:val="0"/>
              <w:autoSpaceDN w:val="0"/>
              <w:adjustRightInd w:val="0"/>
              <w:jc w:val="both"/>
              <w:rPr>
                <w:rFonts w:eastAsia="Calibri"/>
                <w:sz w:val="20"/>
                <w:szCs w:val="20"/>
                <w:lang w:eastAsia="en-US"/>
              </w:rPr>
            </w:pPr>
          </w:p>
          <w:p w:rsidR="00385F5D" w:rsidRPr="00EA6FEC" w:rsidRDefault="00385F5D" w:rsidP="00EA6FEC">
            <w:pPr>
              <w:keepNext/>
              <w:autoSpaceDE w:val="0"/>
              <w:autoSpaceDN w:val="0"/>
              <w:adjustRightInd w:val="0"/>
              <w:jc w:val="both"/>
              <w:rPr>
                <w:rFonts w:ascii="Times" w:hAnsi="Times" w:cs="Times"/>
                <w:sz w:val="20"/>
                <w:szCs w:val="20"/>
                <w:u w:val="single"/>
              </w:rPr>
            </w:pPr>
            <w:r w:rsidRPr="00EA6FEC">
              <w:rPr>
                <w:rFonts w:ascii="Times" w:hAnsi="Times" w:cs="Times"/>
                <w:sz w:val="20"/>
                <w:szCs w:val="20"/>
                <w:u w:val="single"/>
              </w:rPr>
              <w:t xml:space="preserve">Alternatívou č. 1 </w:t>
            </w:r>
          </w:p>
          <w:p w:rsidR="00C7131E" w:rsidRPr="00C7131E" w:rsidRDefault="000234EE" w:rsidP="00E23BB3">
            <w:pPr>
              <w:autoSpaceDE w:val="0"/>
              <w:autoSpaceDN w:val="0"/>
              <w:adjustRightInd w:val="0"/>
              <w:jc w:val="both"/>
              <w:rPr>
                <w:rFonts w:ascii="Times" w:hAnsi="Times" w:cs="Times"/>
                <w:sz w:val="20"/>
                <w:szCs w:val="20"/>
              </w:rPr>
            </w:pPr>
            <w:r>
              <w:rPr>
                <w:rFonts w:ascii="Times" w:hAnsi="Times" w:cs="Times"/>
                <w:sz w:val="20"/>
                <w:szCs w:val="20"/>
              </w:rPr>
              <w:t xml:space="preserve">Touto </w:t>
            </w:r>
            <w:r w:rsidR="00385F5D">
              <w:rPr>
                <w:rFonts w:ascii="Times" w:hAnsi="Times" w:cs="Times"/>
                <w:sz w:val="20"/>
                <w:szCs w:val="20"/>
              </w:rPr>
              <w:t>alternatívou je nulový variant, to je neprijatie návrhu, čo by znamenalo nesplnenie povinnosti vyplývajúcej zo splnomocňovacieho ustanovenia zákona</w:t>
            </w:r>
            <w:r>
              <w:rPr>
                <w:rFonts w:ascii="Times" w:hAnsi="Times" w:cs="Times"/>
                <w:sz w:val="20"/>
                <w:szCs w:val="20"/>
              </w:rPr>
              <w:t xml:space="preserve"> č. 213/2019 Z. z.</w:t>
            </w:r>
            <w:r w:rsidR="00385F5D">
              <w:rPr>
                <w:rFonts w:ascii="Times" w:hAnsi="Times" w:cs="Times"/>
                <w:sz w:val="20"/>
                <w:szCs w:val="20"/>
              </w:rPr>
              <w:t xml:space="preserve"> a</w:t>
            </w:r>
            <w:r>
              <w:rPr>
                <w:rFonts w:ascii="Times" w:hAnsi="Times" w:cs="Times"/>
                <w:sz w:val="20"/>
                <w:szCs w:val="20"/>
              </w:rPr>
              <w:t> </w:t>
            </w:r>
            <w:r w:rsidR="00385F5D">
              <w:rPr>
                <w:rFonts w:ascii="Times" w:hAnsi="Times" w:cs="Times"/>
                <w:sz w:val="20"/>
                <w:szCs w:val="20"/>
              </w:rPr>
              <w:t>zároveň absenciu právnej úpravy v</w:t>
            </w:r>
            <w:r>
              <w:rPr>
                <w:rFonts w:ascii="Times" w:hAnsi="Times" w:cs="Times"/>
                <w:sz w:val="20"/>
                <w:szCs w:val="20"/>
              </w:rPr>
              <w:t> </w:t>
            </w:r>
            <w:r w:rsidR="00385F5D">
              <w:rPr>
                <w:rFonts w:ascii="Times" w:hAnsi="Times" w:cs="Times"/>
                <w:sz w:val="20"/>
                <w:szCs w:val="20"/>
              </w:rPr>
              <w:t>danej oblasti.</w:t>
            </w:r>
          </w:p>
          <w:p w:rsidR="00385F5D" w:rsidRDefault="00385F5D" w:rsidP="00E23BB3">
            <w:pPr>
              <w:autoSpaceDE w:val="0"/>
              <w:autoSpaceDN w:val="0"/>
              <w:adjustRightInd w:val="0"/>
              <w:jc w:val="both"/>
              <w:rPr>
                <w:rFonts w:eastAsia="Calibri"/>
                <w:sz w:val="20"/>
                <w:szCs w:val="20"/>
                <w:lang w:eastAsia="en-US"/>
              </w:rPr>
            </w:pPr>
          </w:p>
          <w:p w:rsidR="00385F5D" w:rsidRPr="00EA6FEC" w:rsidRDefault="00385F5D" w:rsidP="00385F5D">
            <w:pPr>
              <w:keepNext/>
              <w:autoSpaceDE w:val="0"/>
              <w:autoSpaceDN w:val="0"/>
              <w:adjustRightInd w:val="0"/>
              <w:jc w:val="both"/>
              <w:rPr>
                <w:rFonts w:eastAsia="Calibri"/>
                <w:sz w:val="20"/>
                <w:szCs w:val="20"/>
                <w:u w:val="single"/>
                <w:lang w:eastAsia="en-US"/>
              </w:rPr>
            </w:pPr>
            <w:r w:rsidRPr="00EA6FEC">
              <w:rPr>
                <w:rFonts w:eastAsia="Calibri"/>
                <w:sz w:val="20"/>
                <w:szCs w:val="20"/>
                <w:u w:val="single"/>
                <w:lang w:eastAsia="en-US"/>
              </w:rPr>
              <w:t>Alternatíva č. 2</w:t>
            </w:r>
          </w:p>
          <w:p w:rsidR="008D0F8F" w:rsidRPr="008D0F8F" w:rsidRDefault="00C602E8" w:rsidP="008D0F8F">
            <w:pPr>
              <w:autoSpaceDE w:val="0"/>
              <w:autoSpaceDN w:val="0"/>
              <w:adjustRightInd w:val="0"/>
              <w:jc w:val="both"/>
              <w:rPr>
                <w:rFonts w:eastAsia="Calibri"/>
                <w:sz w:val="20"/>
                <w:szCs w:val="20"/>
                <w:lang w:eastAsia="en-US"/>
              </w:rPr>
            </w:pPr>
            <w:r w:rsidRPr="000D603A">
              <w:rPr>
                <w:rFonts w:eastAsia="Calibri"/>
                <w:sz w:val="20"/>
                <w:szCs w:val="20"/>
                <w:lang w:eastAsia="en-US"/>
              </w:rPr>
              <w:t xml:space="preserve">Podľa čl. 1 ods. 3 vykonávacieho nariadenia (EÚ) 2019/317 </w:t>
            </w:r>
            <w:r w:rsidRPr="000D603A">
              <w:rPr>
                <w:rFonts w:eastAsia="Calibri"/>
                <w:i/>
                <w:sz w:val="20"/>
                <w:szCs w:val="20"/>
                <w:lang w:eastAsia="en-US"/>
              </w:rPr>
              <w:t>sa toto nariadenie vzťahuje na terminálne letecké navigačné služby poskytované na letiskách nachádzajúcich sa na území členských štátov s minimálne 80 000 pohybmi leteckej dopravy podľa pravidiel letu podľa prístrojov (ďalej len „IFR“) za rok.</w:t>
            </w:r>
            <w:r w:rsidR="008D0F8F">
              <w:rPr>
                <w:rFonts w:eastAsia="Calibri"/>
                <w:i/>
                <w:sz w:val="20"/>
                <w:szCs w:val="20"/>
                <w:lang w:eastAsia="en-US"/>
              </w:rPr>
              <w:t xml:space="preserve"> </w:t>
            </w:r>
            <w:r w:rsidRPr="000D603A">
              <w:rPr>
                <w:rFonts w:eastAsia="Calibri"/>
                <w:sz w:val="20"/>
                <w:szCs w:val="20"/>
                <w:lang w:eastAsia="en-US"/>
              </w:rPr>
              <w:t xml:space="preserve">Podľa čl. 35 ods. 1 vykonávacieho nariadenia (EÚ) 2019/317 </w:t>
            </w:r>
            <w:r w:rsidRPr="000D603A">
              <w:rPr>
                <w:rFonts w:eastAsia="Calibri"/>
                <w:i/>
                <w:sz w:val="20"/>
                <w:szCs w:val="20"/>
                <w:lang w:eastAsia="en-US"/>
              </w:rPr>
              <w:t>sa s výhradou ustanovení tohto článku členské štáty môžu buď pred začiatkom referenčného obdobia alebo počas neho rozhodnúť, že poskytovanie niektorých alebo všetkých terminálnych leteckých navigačných služieb, služieb CNS, MET, AIS alebo dátových služieb manažmentu letovej prevádzky (ďalej len „ATM“) poskytovaných v ich zónach spoplatňovania zriadených v súlade s článkom 21 podlieha trhovým podmienkam.</w:t>
            </w:r>
            <w:r w:rsidR="008D0F8F">
              <w:rPr>
                <w:rFonts w:eastAsia="Calibri"/>
                <w:sz w:val="20"/>
                <w:szCs w:val="20"/>
                <w:lang w:eastAsia="en-US"/>
              </w:rPr>
              <w:t xml:space="preserve"> </w:t>
            </w:r>
            <w:r w:rsidR="008D0F8F" w:rsidRPr="008D0F8F">
              <w:rPr>
                <w:rFonts w:eastAsia="Calibri"/>
                <w:sz w:val="20"/>
                <w:szCs w:val="20"/>
                <w:lang w:eastAsia="en-US"/>
              </w:rPr>
              <w:t xml:space="preserve">Podľa čl. 35 ods. 1 písm. d) a e) vykonávacieho nariadenia (EÚ) 2019/317, </w:t>
            </w:r>
            <w:r w:rsidR="008D0F8F" w:rsidRPr="008D0F8F">
              <w:rPr>
                <w:rFonts w:eastAsia="Calibri"/>
                <w:i/>
                <w:sz w:val="20"/>
                <w:szCs w:val="20"/>
                <w:lang w:eastAsia="en-US"/>
              </w:rPr>
              <w:t>ak sa členský štát alebo členské štáty rozhodnú uplatňovať odsek 1 na nadchádzajúce referenčné obdobie alebo prípadne na zvyšnú časť referenčného obdobia a v súvislosti s príslušnými službami, nebudú vypočítavať terminálne odplaty v súlade s článkom 31 ods. 2 a stanovovať terminálne jednotkové sadzby v súlade s článkom 29.</w:t>
            </w:r>
          </w:p>
          <w:p w:rsidR="00170808" w:rsidRDefault="00170808" w:rsidP="00E23BB3">
            <w:pPr>
              <w:autoSpaceDE w:val="0"/>
              <w:autoSpaceDN w:val="0"/>
              <w:adjustRightInd w:val="0"/>
              <w:jc w:val="both"/>
              <w:rPr>
                <w:rFonts w:eastAsia="Calibri"/>
                <w:sz w:val="20"/>
                <w:szCs w:val="20"/>
                <w:lang w:eastAsia="en-US"/>
              </w:rPr>
            </w:pPr>
          </w:p>
          <w:p w:rsidR="00EB354A" w:rsidRPr="00EB354A" w:rsidRDefault="00170808" w:rsidP="00E23BB3">
            <w:pPr>
              <w:autoSpaceDE w:val="0"/>
              <w:autoSpaceDN w:val="0"/>
              <w:adjustRightInd w:val="0"/>
              <w:jc w:val="both"/>
              <w:rPr>
                <w:sz w:val="20"/>
                <w:szCs w:val="20"/>
              </w:rPr>
            </w:pPr>
            <w:r w:rsidRPr="00C602E8">
              <w:rPr>
                <w:rFonts w:eastAsia="Calibri"/>
                <w:sz w:val="20"/>
                <w:szCs w:val="20"/>
                <w:lang w:eastAsia="en-US"/>
              </w:rPr>
              <w:t>Na základe prevádzkových výkonov letiskových spoločností, ktoré prevádzkujú medzinárodné verejné letiská, z ktorých sa vykonáva obchodná letecká doprava a na ktorých sú poskytované terminálne letecké navigačné služby</w:t>
            </w:r>
            <w:r w:rsidR="00786D6F">
              <w:rPr>
                <w:rFonts w:eastAsia="Calibri"/>
                <w:sz w:val="20"/>
                <w:szCs w:val="20"/>
                <w:lang w:eastAsia="en-US"/>
              </w:rPr>
              <w:t xml:space="preserve"> (približovacia služba riadenia a letisková služba riadenia)</w:t>
            </w:r>
            <w:r w:rsidRPr="00C602E8">
              <w:rPr>
                <w:rFonts w:eastAsia="Calibri"/>
                <w:sz w:val="20"/>
                <w:szCs w:val="20"/>
                <w:lang w:eastAsia="en-US"/>
              </w:rPr>
              <w:t xml:space="preserve">, možno konštatovať, že na žiadnom letisku prevádzkovanom letiskovou spoločnosťou nie je dosiahnutý minimálny počet 80 000 pohybov obchodnej leteckej dopravy podľa pravidiel letu podľa prístrojov (IFR pohyby). </w:t>
            </w:r>
            <w:r>
              <w:rPr>
                <w:rFonts w:eastAsia="Calibri"/>
                <w:sz w:val="20"/>
                <w:szCs w:val="20"/>
                <w:lang w:eastAsia="en-US"/>
              </w:rPr>
              <w:t xml:space="preserve">S ohľadom na prevádzkové výkony letiskových spoločností, </w:t>
            </w:r>
            <w:r>
              <w:rPr>
                <w:sz w:val="20"/>
                <w:szCs w:val="20"/>
              </w:rPr>
              <w:t xml:space="preserve">rešpektujúc vykonávacie nariadenie (EÚ) 2019/317, </w:t>
            </w:r>
            <w:r w:rsidRPr="00F704C5">
              <w:rPr>
                <w:sz w:val="20"/>
                <w:szCs w:val="20"/>
              </w:rPr>
              <w:t xml:space="preserve">Ministerstvo dopravy a výstavby Slovenskej republiky vypracovalo zákon </w:t>
            </w:r>
            <w:r>
              <w:rPr>
                <w:sz w:val="20"/>
                <w:szCs w:val="20"/>
              </w:rPr>
              <w:t>č. </w:t>
            </w:r>
            <w:r w:rsidR="00DF507F">
              <w:rPr>
                <w:sz w:val="20"/>
                <w:szCs w:val="20"/>
              </w:rPr>
              <w:t>213</w:t>
            </w:r>
            <w:r>
              <w:rPr>
                <w:sz w:val="20"/>
                <w:szCs w:val="20"/>
              </w:rPr>
              <w:t>/2019 Z. z.</w:t>
            </w:r>
            <w:r w:rsidRPr="00F704C5">
              <w:rPr>
                <w:sz w:val="20"/>
                <w:szCs w:val="20"/>
              </w:rPr>
              <w:t>, na základe ktorého</w:t>
            </w:r>
            <w:r w:rsidR="00EB354A">
              <w:rPr>
                <w:sz w:val="20"/>
                <w:szCs w:val="20"/>
              </w:rPr>
              <w:t xml:space="preserve"> </w:t>
            </w:r>
            <w:r w:rsidR="00EB354A" w:rsidRPr="00EB354A">
              <w:rPr>
                <w:sz w:val="20"/>
                <w:szCs w:val="20"/>
              </w:rPr>
              <w:t xml:space="preserve">bude poskytovateľ </w:t>
            </w:r>
            <w:r w:rsidR="00EB354A">
              <w:rPr>
                <w:sz w:val="20"/>
                <w:szCs w:val="20"/>
              </w:rPr>
              <w:t xml:space="preserve">terminálnych </w:t>
            </w:r>
            <w:r w:rsidR="00EB354A" w:rsidRPr="00EB354A">
              <w:rPr>
                <w:sz w:val="20"/>
                <w:szCs w:val="20"/>
              </w:rPr>
              <w:t xml:space="preserve">leteckých navigačných služieb postupovať pri </w:t>
            </w:r>
            <w:r w:rsidR="009E3E41">
              <w:rPr>
                <w:sz w:val="20"/>
                <w:szCs w:val="20"/>
              </w:rPr>
              <w:t>určení</w:t>
            </w:r>
            <w:r w:rsidR="00EB354A">
              <w:rPr>
                <w:sz w:val="20"/>
                <w:szCs w:val="20"/>
              </w:rPr>
              <w:t xml:space="preserve"> terminálnej jednotkovej sadzby a pri </w:t>
            </w:r>
            <w:r w:rsidR="00EB354A" w:rsidRPr="00EB354A">
              <w:rPr>
                <w:sz w:val="20"/>
                <w:szCs w:val="20"/>
              </w:rPr>
              <w:t xml:space="preserve">výpočte terminálnej odplaty podľa </w:t>
            </w:r>
            <w:r w:rsidR="00576C9B">
              <w:rPr>
                <w:sz w:val="20"/>
                <w:szCs w:val="20"/>
              </w:rPr>
              <w:t xml:space="preserve">tohto </w:t>
            </w:r>
            <w:r w:rsidR="00EB354A" w:rsidRPr="00EB354A">
              <w:rPr>
                <w:sz w:val="20"/>
                <w:szCs w:val="20"/>
              </w:rPr>
              <w:t>zákona a príslušného nariadenia vlády Slovenskej republiky</w:t>
            </w:r>
            <w:r w:rsidR="00EB354A" w:rsidRPr="00EB354A">
              <w:rPr>
                <w:bCs/>
                <w:sz w:val="20"/>
                <w:szCs w:val="20"/>
              </w:rPr>
              <w:t>, ak nie je ustanovené inak</w:t>
            </w:r>
            <w:r w:rsidR="00EB354A" w:rsidRPr="00EB354A">
              <w:rPr>
                <w:sz w:val="20"/>
                <w:szCs w:val="20"/>
              </w:rPr>
              <w:t>.</w:t>
            </w:r>
          </w:p>
          <w:p w:rsidR="00170808" w:rsidRDefault="00170808" w:rsidP="00E23BB3">
            <w:pPr>
              <w:autoSpaceDE w:val="0"/>
              <w:autoSpaceDN w:val="0"/>
              <w:adjustRightInd w:val="0"/>
              <w:jc w:val="both"/>
              <w:rPr>
                <w:rFonts w:eastAsia="Calibri"/>
                <w:sz w:val="20"/>
                <w:szCs w:val="20"/>
                <w:lang w:eastAsia="en-US"/>
              </w:rPr>
            </w:pPr>
          </w:p>
          <w:p w:rsidR="007D468D" w:rsidRPr="007D468D" w:rsidRDefault="00170808" w:rsidP="007D468D">
            <w:pPr>
              <w:autoSpaceDE w:val="0"/>
              <w:autoSpaceDN w:val="0"/>
              <w:adjustRightInd w:val="0"/>
              <w:jc w:val="both"/>
              <w:rPr>
                <w:rFonts w:eastAsia="Calibri"/>
                <w:sz w:val="20"/>
                <w:szCs w:val="20"/>
                <w:lang w:eastAsia="en-US"/>
              </w:rPr>
            </w:pPr>
            <w:r w:rsidRPr="000D603A">
              <w:rPr>
                <w:rFonts w:eastAsia="Calibri"/>
                <w:sz w:val="20"/>
                <w:szCs w:val="20"/>
                <w:lang w:eastAsia="en-US"/>
              </w:rPr>
              <w:t xml:space="preserve">Pri riešení systému </w:t>
            </w:r>
            <w:r w:rsidR="001453C3">
              <w:rPr>
                <w:rFonts w:eastAsia="Calibri"/>
                <w:sz w:val="20"/>
                <w:szCs w:val="20"/>
                <w:lang w:eastAsia="en-US"/>
              </w:rPr>
              <w:t>určenia</w:t>
            </w:r>
            <w:r w:rsidR="008D0F8F">
              <w:rPr>
                <w:rFonts w:eastAsia="Calibri"/>
                <w:sz w:val="20"/>
                <w:szCs w:val="20"/>
                <w:lang w:eastAsia="en-US"/>
              </w:rPr>
              <w:t xml:space="preserve"> terminálnej jednotkovej sadzby a výpočtu </w:t>
            </w:r>
            <w:r>
              <w:rPr>
                <w:rFonts w:eastAsia="Calibri"/>
                <w:sz w:val="20"/>
                <w:szCs w:val="20"/>
                <w:lang w:eastAsia="en-US"/>
              </w:rPr>
              <w:t xml:space="preserve">terminálnych </w:t>
            </w:r>
            <w:r w:rsidRPr="000D603A">
              <w:rPr>
                <w:rFonts w:eastAsia="Calibri"/>
                <w:sz w:val="20"/>
                <w:szCs w:val="20"/>
                <w:lang w:eastAsia="en-US"/>
              </w:rPr>
              <w:t xml:space="preserve">odplát predkladateľ </w:t>
            </w:r>
            <w:r w:rsidR="00A16467">
              <w:rPr>
                <w:rFonts w:eastAsia="Calibri"/>
                <w:sz w:val="20"/>
                <w:szCs w:val="20"/>
                <w:lang w:eastAsia="en-US"/>
              </w:rPr>
              <w:t xml:space="preserve">posudzoval </w:t>
            </w:r>
            <w:r>
              <w:rPr>
                <w:rFonts w:eastAsia="Calibri"/>
                <w:sz w:val="20"/>
                <w:szCs w:val="20"/>
                <w:lang w:eastAsia="en-US"/>
              </w:rPr>
              <w:t>nižšie uveden</w:t>
            </w:r>
            <w:r w:rsidR="00EB354A">
              <w:rPr>
                <w:rFonts w:eastAsia="Calibri"/>
                <w:sz w:val="20"/>
                <w:szCs w:val="20"/>
                <w:lang w:eastAsia="en-US"/>
              </w:rPr>
              <w:t>é</w:t>
            </w:r>
            <w:r>
              <w:rPr>
                <w:rFonts w:eastAsia="Calibri"/>
                <w:sz w:val="20"/>
                <w:szCs w:val="20"/>
                <w:lang w:eastAsia="en-US"/>
              </w:rPr>
              <w:t xml:space="preserve"> </w:t>
            </w:r>
            <w:r w:rsidR="008D0F8F">
              <w:rPr>
                <w:rFonts w:eastAsia="Calibri"/>
                <w:sz w:val="20"/>
                <w:szCs w:val="20"/>
                <w:lang w:eastAsia="en-US"/>
              </w:rPr>
              <w:t>varianty</w:t>
            </w:r>
            <w:r w:rsidR="001778BF">
              <w:rPr>
                <w:rFonts w:eastAsia="Calibri"/>
                <w:sz w:val="20"/>
                <w:szCs w:val="20"/>
                <w:lang w:eastAsia="en-US"/>
              </w:rPr>
              <w:t xml:space="preserve">, pričom pri výpočte sa vychádzalo z predpokladu, že </w:t>
            </w:r>
            <w:r w:rsidR="001778BF" w:rsidRPr="001778BF">
              <w:rPr>
                <w:rFonts w:eastAsia="Calibri"/>
                <w:sz w:val="20"/>
                <w:szCs w:val="20"/>
              </w:rPr>
              <w:t>priblíženie a</w:t>
            </w:r>
            <w:r w:rsidR="001778BF">
              <w:rPr>
                <w:rFonts w:eastAsia="Calibri"/>
                <w:sz w:val="20"/>
                <w:szCs w:val="20"/>
              </w:rPr>
              <w:t> </w:t>
            </w:r>
            <w:r w:rsidR="001778BF" w:rsidRPr="001778BF">
              <w:rPr>
                <w:rFonts w:eastAsia="Calibri"/>
                <w:sz w:val="20"/>
                <w:szCs w:val="20"/>
              </w:rPr>
              <w:t>odlet</w:t>
            </w:r>
            <w:r w:rsidR="001778BF">
              <w:rPr>
                <w:rFonts w:eastAsia="Calibri"/>
                <w:sz w:val="20"/>
                <w:szCs w:val="20"/>
              </w:rPr>
              <w:t xml:space="preserve"> sa považujú za jeden let a p</w:t>
            </w:r>
            <w:r w:rsidR="001778BF" w:rsidRPr="001778BF">
              <w:rPr>
                <w:rFonts w:eastAsia="Calibri"/>
                <w:sz w:val="20"/>
                <w:szCs w:val="20"/>
                <w:lang w:eastAsia="en-US"/>
              </w:rPr>
              <w:t>očítanou jednotkou je let pri prílete.</w:t>
            </w:r>
            <w:r w:rsidR="007D468D">
              <w:rPr>
                <w:rFonts w:eastAsia="Calibri"/>
                <w:sz w:val="20"/>
                <w:szCs w:val="20"/>
                <w:lang w:eastAsia="en-US"/>
              </w:rPr>
              <w:t xml:space="preserve"> </w:t>
            </w:r>
          </w:p>
          <w:p w:rsidR="002851F3" w:rsidRDefault="002851F3" w:rsidP="001778BF">
            <w:pPr>
              <w:autoSpaceDE w:val="0"/>
              <w:autoSpaceDN w:val="0"/>
              <w:adjustRightInd w:val="0"/>
              <w:jc w:val="both"/>
              <w:rPr>
                <w:rFonts w:eastAsia="Calibri"/>
                <w:sz w:val="20"/>
                <w:szCs w:val="20"/>
                <w:lang w:eastAsia="en-US"/>
              </w:rPr>
            </w:pPr>
          </w:p>
          <w:p w:rsidR="00A16467" w:rsidRDefault="00A16467" w:rsidP="00E23BB3">
            <w:pPr>
              <w:autoSpaceDE w:val="0"/>
              <w:autoSpaceDN w:val="0"/>
              <w:adjustRightInd w:val="0"/>
              <w:jc w:val="both"/>
              <w:rPr>
                <w:rFonts w:eastAsia="Calibri"/>
                <w:sz w:val="20"/>
                <w:szCs w:val="20"/>
                <w:lang w:eastAsia="en-US"/>
              </w:rPr>
            </w:pPr>
          </w:p>
          <w:tbl>
            <w:tblPr>
              <w:tblStyle w:val="Mriekatabuky"/>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134"/>
              <w:gridCol w:w="8222"/>
            </w:tblGrid>
            <w:tr w:rsidR="00D719FF" w:rsidRPr="00D719FF" w:rsidTr="007D636A">
              <w:trPr>
                <w:jc w:val="center"/>
              </w:trPr>
              <w:tc>
                <w:tcPr>
                  <w:tcW w:w="1134" w:type="dxa"/>
                  <w:vAlign w:val="center"/>
                </w:tcPr>
                <w:p w:rsidR="00D719FF" w:rsidRPr="00D719FF" w:rsidRDefault="008D0F8F" w:rsidP="00E23BB3">
                  <w:pPr>
                    <w:autoSpaceDE w:val="0"/>
                    <w:autoSpaceDN w:val="0"/>
                    <w:adjustRightInd w:val="0"/>
                    <w:jc w:val="center"/>
                    <w:rPr>
                      <w:rFonts w:ascii="Times New Roman" w:eastAsia="Calibri" w:hAnsi="Times New Roman"/>
                      <w:b/>
                      <w:sz w:val="20"/>
                      <w:szCs w:val="20"/>
                    </w:rPr>
                  </w:pPr>
                  <w:r>
                    <w:rPr>
                      <w:rFonts w:ascii="Times New Roman" w:eastAsia="Calibri" w:hAnsi="Times New Roman"/>
                      <w:b/>
                      <w:sz w:val="20"/>
                      <w:szCs w:val="20"/>
                    </w:rPr>
                    <w:t>variant</w:t>
                  </w:r>
                </w:p>
              </w:tc>
              <w:tc>
                <w:tcPr>
                  <w:tcW w:w="8222" w:type="dxa"/>
                  <w:vAlign w:val="center"/>
                </w:tcPr>
                <w:p w:rsidR="00D719FF" w:rsidRPr="00D719FF" w:rsidRDefault="00A45AAA" w:rsidP="00E23BB3">
                  <w:pPr>
                    <w:keepNext/>
                    <w:jc w:val="center"/>
                    <w:rPr>
                      <w:rFonts w:ascii="Times New Roman" w:eastAsia="Calibri" w:hAnsi="Times New Roman"/>
                      <w:b/>
                      <w:sz w:val="20"/>
                      <w:szCs w:val="20"/>
                    </w:rPr>
                  </w:pPr>
                  <w:r>
                    <w:rPr>
                      <w:rFonts w:ascii="Times New Roman" w:eastAsia="Calibri" w:hAnsi="Times New Roman"/>
                      <w:b/>
                      <w:sz w:val="20"/>
                      <w:szCs w:val="20"/>
                    </w:rPr>
                    <w:t>určenie</w:t>
                  </w:r>
                  <w:r w:rsidR="00D719FF" w:rsidRPr="00D719FF">
                    <w:rPr>
                      <w:rFonts w:ascii="Times New Roman" w:eastAsia="Calibri" w:hAnsi="Times New Roman"/>
                      <w:b/>
                      <w:sz w:val="20"/>
                      <w:szCs w:val="20"/>
                    </w:rPr>
                    <w:t xml:space="preserve"> terminál</w:t>
                  </w:r>
                  <w:r w:rsidR="00770FFA">
                    <w:rPr>
                      <w:rFonts w:ascii="Times New Roman" w:eastAsia="Calibri" w:hAnsi="Times New Roman"/>
                      <w:b/>
                      <w:sz w:val="20"/>
                      <w:szCs w:val="20"/>
                    </w:rPr>
                    <w:t>nej jednotkovej sadzby a výpočet</w:t>
                  </w:r>
                  <w:r w:rsidR="00D719FF" w:rsidRPr="00D719FF">
                    <w:rPr>
                      <w:rFonts w:ascii="Times New Roman" w:eastAsia="Calibri" w:hAnsi="Times New Roman"/>
                      <w:b/>
                      <w:sz w:val="20"/>
                      <w:szCs w:val="20"/>
                    </w:rPr>
                    <w:t xml:space="preserve"> terminálnej odplaty</w:t>
                  </w:r>
                </w:p>
              </w:tc>
            </w:tr>
            <w:tr w:rsidR="00D719FF" w:rsidRPr="00D719FF" w:rsidTr="007D636A">
              <w:trPr>
                <w:jc w:val="center"/>
              </w:trPr>
              <w:tc>
                <w:tcPr>
                  <w:tcW w:w="1134" w:type="dxa"/>
                  <w:vAlign w:val="center"/>
                </w:tcPr>
                <w:p w:rsidR="00D719FF" w:rsidRPr="00D719FF" w:rsidRDefault="00D719FF" w:rsidP="00E23BB3">
                  <w:pPr>
                    <w:autoSpaceDE w:val="0"/>
                    <w:autoSpaceDN w:val="0"/>
                    <w:adjustRightInd w:val="0"/>
                    <w:jc w:val="center"/>
                    <w:rPr>
                      <w:rFonts w:ascii="Times New Roman" w:eastAsia="Calibri" w:hAnsi="Times New Roman"/>
                      <w:sz w:val="20"/>
                      <w:szCs w:val="20"/>
                    </w:rPr>
                  </w:pPr>
                  <w:r w:rsidRPr="00D719FF">
                    <w:rPr>
                      <w:rFonts w:ascii="Times New Roman" w:eastAsia="Calibri" w:hAnsi="Times New Roman"/>
                      <w:sz w:val="20"/>
                      <w:szCs w:val="20"/>
                    </w:rPr>
                    <w:t>1</w:t>
                  </w:r>
                </w:p>
              </w:tc>
              <w:tc>
                <w:tcPr>
                  <w:tcW w:w="8222" w:type="dxa"/>
                </w:tcPr>
                <w:p w:rsidR="00D719FF" w:rsidRPr="00E421B5" w:rsidRDefault="00D719FF" w:rsidP="00E23BB3">
                  <w:pPr>
                    <w:keepNext/>
                    <w:rPr>
                      <w:rFonts w:ascii="Times New Roman" w:hAnsi="Times New Roman"/>
                      <w:sz w:val="16"/>
                      <w:szCs w:val="16"/>
                      <w:lang w:eastAsia="sk-SK"/>
                    </w:rPr>
                  </w:pPr>
                  <m:oMathPara>
                    <m:oMathParaPr>
                      <m:jc m:val="center"/>
                    </m:oMathParaPr>
                    <m:oMath>
                      <m:r>
                        <m:rPr>
                          <m:sty m:val="p"/>
                        </m:rPr>
                        <w:rPr>
                          <w:rFonts w:ascii="Cambria Math" w:hAnsi="Cambria Math"/>
                          <w:color w:val="244061"/>
                          <w:sz w:val="16"/>
                          <w:szCs w:val="16"/>
                          <w:lang w:eastAsia="sk-SK"/>
                        </w:rPr>
                        <m:t xml:space="preserve">terminálna odplata =terminálna jednotková sadzba [€/let]× </m:t>
                      </m:r>
                      <m:nary>
                        <m:naryPr>
                          <m:chr m:val="∑"/>
                          <m:limLoc m:val="undOvr"/>
                          <m:subHide m:val="1"/>
                          <m:supHide m:val="1"/>
                          <m:ctrlPr>
                            <w:rPr>
                              <w:rFonts w:ascii="Cambria Math" w:hAnsi="Cambria Math"/>
                              <w:color w:val="244061"/>
                              <w:sz w:val="16"/>
                              <w:szCs w:val="16"/>
                              <w:lang w:eastAsia="sk-SK"/>
                            </w:rPr>
                          </m:ctrlPr>
                        </m:naryPr>
                        <m:sub/>
                        <m:sup/>
                        <m:e>
                          <m:r>
                            <m:rPr>
                              <m:sty m:val="p"/>
                            </m:rPr>
                            <w:rPr>
                              <w:rFonts w:ascii="Cambria Math" w:hAnsi="Cambria Math"/>
                              <w:color w:val="244061"/>
                              <w:sz w:val="16"/>
                              <w:szCs w:val="16"/>
                              <w:lang w:eastAsia="sk-SK"/>
                            </w:rPr>
                            <m:t>letov</m:t>
                          </m:r>
                        </m:e>
                      </m:nary>
                    </m:oMath>
                  </m:oMathPara>
                </w:p>
                <w:p w:rsidR="00D719FF" w:rsidRPr="004C2B59" w:rsidRDefault="00D719FF" w:rsidP="00E23BB3">
                  <w:pPr>
                    <w:keepNext/>
                    <w:jc w:val="both"/>
                    <w:rPr>
                      <w:rFonts w:ascii="Times New Roman" w:hAnsi="Times New Roman"/>
                      <w:sz w:val="20"/>
                      <w:szCs w:val="20"/>
                    </w:rPr>
                  </w:pPr>
                </w:p>
                <w:p w:rsidR="00D719FF" w:rsidRPr="001778BF" w:rsidRDefault="00D719FF" w:rsidP="007D468D">
                  <w:pPr>
                    <w:keepNext/>
                    <w:jc w:val="both"/>
                    <w:rPr>
                      <w:rFonts w:ascii="Times New Roman" w:hAnsi="Times New Roman"/>
                      <w:sz w:val="20"/>
                      <w:szCs w:val="20"/>
                      <w:lang w:eastAsia="sk-SK"/>
                    </w:rPr>
                  </w:pPr>
                  <w:r w:rsidRPr="00835AB0">
                    <w:rPr>
                      <w:rFonts w:ascii="Times New Roman" w:hAnsi="Times New Roman"/>
                      <w:sz w:val="20"/>
                      <w:szCs w:val="20"/>
                      <w:lang w:eastAsia="sk-SK"/>
                    </w:rPr>
                    <w:t xml:space="preserve">Terminálna odplata za konkrétny let v konkrétnej terminálnej zóne spoplatňovania sa rovná súčinu </w:t>
                  </w:r>
                  <w:r w:rsidR="00451618">
                    <w:rPr>
                      <w:rFonts w:ascii="Times New Roman" w:hAnsi="Times New Roman"/>
                      <w:sz w:val="20"/>
                      <w:szCs w:val="20"/>
                      <w:lang w:eastAsia="sk-SK"/>
                    </w:rPr>
                    <w:t xml:space="preserve">terminálnej </w:t>
                  </w:r>
                  <w:r w:rsidRPr="00835AB0">
                    <w:rPr>
                      <w:rFonts w:ascii="Times New Roman" w:hAnsi="Times New Roman"/>
                      <w:sz w:val="20"/>
                      <w:szCs w:val="20"/>
                      <w:lang w:eastAsia="sk-SK"/>
                    </w:rPr>
                    <w:t xml:space="preserve">jednotkovej sadzby </w:t>
                  </w:r>
                  <w:r w:rsidR="009E3E41">
                    <w:rPr>
                      <w:rFonts w:ascii="Times New Roman" w:hAnsi="Times New Roman"/>
                      <w:sz w:val="20"/>
                      <w:szCs w:val="20"/>
                      <w:lang w:eastAsia="sk-SK"/>
                    </w:rPr>
                    <w:t>určenej</w:t>
                  </w:r>
                  <w:r w:rsidRPr="00835AB0">
                    <w:rPr>
                      <w:rFonts w:ascii="Times New Roman" w:hAnsi="Times New Roman"/>
                      <w:sz w:val="20"/>
                      <w:szCs w:val="20"/>
                      <w:lang w:eastAsia="sk-SK"/>
                    </w:rPr>
                    <w:t xml:space="preserve"> pre </w:t>
                  </w:r>
                  <w:r w:rsidR="007D468D">
                    <w:rPr>
                      <w:rFonts w:ascii="Times New Roman" w:hAnsi="Times New Roman"/>
                      <w:sz w:val="20"/>
                      <w:szCs w:val="20"/>
                      <w:lang w:eastAsia="sk-SK"/>
                    </w:rPr>
                    <w:t>túto</w:t>
                  </w:r>
                  <w:r w:rsidR="007D468D" w:rsidRPr="00835AB0">
                    <w:rPr>
                      <w:rFonts w:ascii="Times New Roman" w:hAnsi="Times New Roman"/>
                      <w:sz w:val="20"/>
                      <w:szCs w:val="20"/>
                      <w:lang w:eastAsia="sk-SK"/>
                    </w:rPr>
                    <w:t xml:space="preserve"> </w:t>
                  </w:r>
                  <w:r w:rsidRPr="00835AB0">
                    <w:rPr>
                      <w:rFonts w:ascii="Times New Roman" w:hAnsi="Times New Roman"/>
                      <w:sz w:val="20"/>
                      <w:szCs w:val="20"/>
                      <w:lang w:eastAsia="sk-SK"/>
                    </w:rPr>
                    <w:t xml:space="preserve">terminálnu zónu spoplatňovania a počtu letov. </w:t>
                  </w:r>
                </w:p>
              </w:tc>
            </w:tr>
            <w:tr w:rsidR="00D719FF" w:rsidRPr="00D719FF" w:rsidTr="007D636A">
              <w:trPr>
                <w:jc w:val="center"/>
              </w:trPr>
              <w:tc>
                <w:tcPr>
                  <w:tcW w:w="1134" w:type="dxa"/>
                  <w:vAlign w:val="center"/>
                </w:tcPr>
                <w:p w:rsidR="00D719FF" w:rsidRPr="00D719FF" w:rsidRDefault="00D719FF" w:rsidP="00E23BB3">
                  <w:pPr>
                    <w:autoSpaceDE w:val="0"/>
                    <w:autoSpaceDN w:val="0"/>
                    <w:adjustRightInd w:val="0"/>
                    <w:jc w:val="center"/>
                    <w:rPr>
                      <w:rFonts w:ascii="Times New Roman" w:eastAsia="Calibri" w:hAnsi="Times New Roman"/>
                      <w:sz w:val="20"/>
                      <w:szCs w:val="20"/>
                    </w:rPr>
                  </w:pPr>
                  <w:r w:rsidRPr="00D719FF">
                    <w:rPr>
                      <w:rFonts w:ascii="Times New Roman" w:eastAsia="Calibri" w:hAnsi="Times New Roman"/>
                      <w:sz w:val="20"/>
                      <w:szCs w:val="20"/>
                    </w:rPr>
                    <w:t>2</w:t>
                  </w:r>
                </w:p>
              </w:tc>
              <w:tc>
                <w:tcPr>
                  <w:tcW w:w="8222" w:type="dxa"/>
                </w:tcPr>
                <w:p w:rsidR="00D719FF" w:rsidRPr="00835AB0" w:rsidRDefault="00D719FF" w:rsidP="00E23BB3">
                  <w:pPr>
                    <w:keepNext/>
                    <w:rPr>
                      <w:rFonts w:ascii="Times New Roman" w:hAnsi="Times New Roman"/>
                      <w:sz w:val="18"/>
                      <w:szCs w:val="18"/>
                      <w:lang w:eastAsia="sk-SK"/>
                    </w:rPr>
                  </w:pPr>
                  <m:oMathPara>
                    <m:oMathParaPr>
                      <m:jc m:val="center"/>
                    </m:oMathParaPr>
                    <m:oMath>
                      <m:r>
                        <m:rPr>
                          <m:sty m:val="p"/>
                        </m:rPr>
                        <w:rPr>
                          <w:rFonts w:ascii="Cambria Math" w:hAnsi="Cambria Math"/>
                          <w:color w:val="244061"/>
                          <w:sz w:val="16"/>
                          <w:szCs w:val="16"/>
                          <w:lang w:eastAsia="sk-SK"/>
                        </w:rPr>
                        <m:t>terminálna odplata =terminálna jednotková sadzba [€/t]× MTOW [t]</m:t>
                      </m:r>
                    </m:oMath>
                  </m:oMathPara>
                </w:p>
                <w:p w:rsidR="00D719FF" w:rsidRPr="00D719FF" w:rsidRDefault="00D719FF" w:rsidP="00E23BB3">
                  <w:pPr>
                    <w:jc w:val="both"/>
                    <w:rPr>
                      <w:rFonts w:ascii="Times New Roman" w:hAnsi="Times New Roman"/>
                      <w:sz w:val="20"/>
                      <w:szCs w:val="20"/>
                    </w:rPr>
                  </w:pPr>
                </w:p>
                <w:p w:rsidR="00D719FF" w:rsidRPr="00D719FF" w:rsidRDefault="00D719FF" w:rsidP="007D468D">
                  <w:pPr>
                    <w:jc w:val="both"/>
                    <w:rPr>
                      <w:rFonts w:ascii="Times New Roman" w:eastAsia="Calibri" w:hAnsi="Times New Roman"/>
                      <w:sz w:val="20"/>
                      <w:szCs w:val="20"/>
                    </w:rPr>
                  </w:pPr>
                  <w:r w:rsidRPr="00835AB0">
                    <w:rPr>
                      <w:rFonts w:ascii="Times New Roman" w:hAnsi="Times New Roman"/>
                      <w:sz w:val="20"/>
                      <w:szCs w:val="20"/>
                      <w:lang w:eastAsia="sk-SK"/>
                    </w:rPr>
                    <w:t xml:space="preserve">Terminálna odplata za konkrétny let v konkrétnej terminálnej zóne spoplatňovania sa rovná súčinu </w:t>
                  </w:r>
                  <w:r w:rsidR="00451618">
                    <w:rPr>
                      <w:rFonts w:ascii="Times New Roman" w:hAnsi="Times New Roman"/>
                      <w:sz w:val="20"/>
                      <w:szCs w:val="20"/>
                      <w:lang w:eastAsia="sk-SK"/>
                    </w:rPr>
                    <w:t>terminálnej</w:t>
                  </w:r>
                  <w:r w:rsidR="00451618" w:rsidRPr="00835AB0">
                    <w:rPr>
                      <w:rFonts w:ascii="Times New Roman" w:hAnsi="Times New Roman"/>
                      <w:sz w:val="20"/>
                      <w:szCs w:val="20"/>
                      <w:lang w:eastAsia="sk-SK"/>
                    </w:rPr>
                    <w:t xml:space="preserve"> </w:t>
                  </w:r>
                  <w:r w:rsidRPr="00835AB0">
                    <w:rPr>
                      <w:rFonts w:ascii="Times New Roman" w:hAnsi="Times New Roman"/>
                      <w:sz w:val="20"/>
                      <w:szCs w:val="20"/>
                      <w:lang w:eastAsia="sk-SK"/>
                    </w:rPr>
                    <w:t xml:space="preserve">jednotkovej sadzby </w:t>
                  </w:r>
                  <w:r w:rsidR="006A582C">
                    <w:rPr>
                      <w:rFonts w:ascii="Times New Roman" w:hAnsi="Times New Roman"/>
                      <w:sz w:val="20"/>
                      <w:szCs w:val="20"/>
                      <w:lang w:eastAsia="sk-SK"/>
                    </w:rPr>
                    <w:t>určenej</w:t>
                  </w:r>
                  <w:r w:rsidRPr="00835AB0">
                    <w:rPr>
                      <w:rFonts w:ascii="Times New Roman" w:hAnsi="Times New Roman"/>
                      <w:sz w:val="20"/>
                      <w:szCs w:val="20"/>
                      <w:lang w:eastAsia="sk-SK"/>
                    </w:rPr>
                    <w:t xml:space="preserve"> pre </w:t>
                  </w:r>
                  <w:r w:rsidR="007D468D">
                    <w:rPr>
                      <w:rFonts w:ascii="Times New Roman" w:hAnsi="Times New Roman"/>
                      <w:sz w:val="20"/>
                      <w:szCs w:val="20"/>
                      <w:lang w:eastAsia="sk-SK"/>
                    </w:rPr>
                    <w:t>túto</w:t>
                  </w:r>
                  <w:r w:rsidR="007D468D" w:rsidRPr="00835AB0">
                    <w:rPr>
                      <w:rFonts w:ascii="Times New Roman" w:hAnsi="Times New Roman"/>
                      <w:sz w:val="20"/>
                      <w:szCs w:val="20"/>
                      <w:lang w:eastAsia="sk-SK"/>
                    </w:rPr>
                    <w:t xml:space="preserve"> </w:t>
                  </w:r>
                  <w:r w:rsidRPr="00835AB0">
                    <w:rPr>
                      <w:rFonts w:ascii="Times New Roman" w:hAnsi="Times New Roman"/>
                      <w:sz w:val="20"/>
                      <w:szCs w:val="20"/>
                      <w:lang w:eastAsia="sk-SK"/>
                    </w:rPr>
                    <w:t xml:space="preserve">terminálnu zónu spoplatňovania a počtu metrických ton najvyššej maximálnej </w:t>
                  </w:r>
                  <w:r w:rsidRPr="00D719FF">
                    <w:rPr>
                      <w:rFonts w:ascii="Times New Roman" w:hAnsi="Times New Roman"/>
                      <w:sz w:val="20"/>
                      <w:szCs w:val="20"/>
                    </w:rPr>
                    <w:t>osvedčenej</w:t>
                  </w:r>
                  <w:r w:rsidRPr="00835AB0">
                    <w:rPr>
                      <w:rFonts w:ascii="Times New Roman" w:hAnsi="Times New Roman"/>
                      <w:sz w:val="20"/>
                      <w:szCs w:val="20"/>
                      <w:lang w:eastAsia="sk-SK"/>
                    </w:rPr>
                    <w:t xml:space="preserve"> vzletovej hmotnosti lietadla (</w:t>
                  </w:r>
                  <w:r w:rsidR="00DF1277">
                    <w:rPr>
                      <w:rFonts w:ascii="Times New Roman" w:hAnsi="Times New Roman"/>
                      <w:sz w:val="20"/>
                      <w:szCs w:val="20"/>
                      <w:lang w:eastAsia="sk-SK"/>
                    </w:rPr>
                    <w:t>ďalej len „</w:t>
                  </w:r>
                  <w:r w:rsidRPr="00835AB0">
                    <w:rPr>
                      <w:rFonts w:ascii="Times New Roman" w:hAnsi="Times New Roman"/>
                      <w:sz w:val="20"/>
                      <w:szCs w:val="20"/>
                      <w:lang w:eastAsia="sk-SK"/>
                    </w:rPr>
                    <w:t>MTOW</w:t>
                  </w:r>
                  <w:r w:rsidR="00DF1277">
                    <w:rPr>
                      <w:rFonts w:ascii="Times New Roman" w:hAnsi="Times New Roman"/>
                      <w:sz w:val="20"/>
                      <w:szCs w:val="20"/>
                      <w:lang w:eastAsia="sk-SK"/>
                    </w:rPr>
                    <w:t>“</w:t>
                  </w:r>
                  <w:r w:rsidRPr="00835AB0">
                    <w:rPr>
                      <w:rFonts w:ascii="Times New Roman" w:hAnsi="Times New Roman"/>
                      <w:sz w:val="20"/>
                      <w:szCs w:val="20"/>
                      <w:lang w:eastAsia="sk-SK"/>
                    </w:rPr>
                    <w:t>)</w:t>
                  </w:r>
                  <w:r w:rsidRPr="00D719FF">
                    <w:rPr>
                      <w:rFonts w:ascii="Times New Roman" w:eastAsia="Calibri" w:hAnsi="Times New Roman"/>
                      <w:sz w:val="20"/>
                      <w:szCs w:val="20"/>
                    </w:rPr>
                    <w:t>.</w:t>
                  </w:r>
                </w:p>
              </w:tc>
            </w:tr>
            <w:tr w:rsidR="00D719FF" w:rsidRPr="00D719FF" w:rsidTr="007D636A">
              <w:trPr>
                <w:jc w:val="center"/>
              </w:trPr>
              <w:tc>
                <w:tcPr>
                  <w:tcW w:w="1134" w:type="dxa"/>
                  <w:vAlign w:val="center"/>
                </w:tcPr>
                <w:p w:rsidR="00D719FF" w:rsidRPr="00D719FF" w:rsidRDefault="00D719FF" w:rsidP="00E23BB3">
                  <w:pPr>
                    <w:autoSpaceDE w:val="0"/>
                    <w:autoSpaceDN w:val="0"/>
                    <w:adjustRightInd w:val="0"/>
                    <w:jc w:val="center"/>
                    <w:rPr>
                      <w:rFonts w:ascii="Times New Roman" w:eastAsia="Calibri" w:hAnsi="Times New Roman"/>
                      <w:sz w:val="20"/>
                      <w:szCs w:val="20"/>
                    </w:rPr>
                  </w:pPr>
                  <w:r w:rsidRPr="00D719FF">
                    <w:rPr>
                      <w:rFonts w:ascii="Times New Roman" w:eastAsia="Calibri" w:hAnsi="Times New Roman"/>
                      <w:sz w:val="20"/>
                      <w:szCs w:val="20"/>
                    </w:rPr>
                    <w:t>3</w:t>
                  </w:r>
                </w:p>
              </w:tc>
              <w:tc>
                <w:tcPr>
                  <w:tcW w:w="8222" w:type="dxa"/>
                </w:tcPr>
                <w:p w:rsidR="00D719FF" w:rsidRPr="00835AB0" w:rsidRDefault="00D719FF" w:rsidP="00E23BB3">
                  <w:pPr>
                    <w:keepNext/>
                    <w:rPr>
                      <w:rFonts w:ascii="Times New Roman" w:hAnsi="Times New Roman"/>
                      <w:sz w:val="18"/>
                      <w:szCs w:val="18"/>
                      <w:lang w:eastAsia="sk-SK"/>
                    </w:rPr>
                  </w:pPr>
                  <m:oMathPara>
                    <m:oMathParaPr>
                      <m:jc m:val="center"/>
                    </m:oMathParaPr>
                    <m:oMath>
                      <m:r>
                        <m:rPr>
                          <m:sty m:val="p"/>
                        </m:rPr>
                        <w:rPr>
                          <w:rFonts w:ascii="Cambria Math" w:hAnsi="Cambria Math"/>
                          <w:color w:val="244061"/>
                          <w:sz w:val="16"/>
                          <w:szCs w:val="16"/>
                          <w:lang w:eastAsia="sk-SK"/>
                        </w:rPr>
                        <m:t xml:space="preserve">terminálna odplata =terminálna jednotková sadzba [€/terminálnu jednotku služieb] × </m:t>
                      </m:r>
                      <m:sSup>
                        <m:sSupPr>
                          <m:ctrlPr>
                            <w:rPr>
                              <w:rFonts w:ascii="Cambria Math" w:hAnsi="Cambria Math"/>
                              <w:color w:val="244061"/>
                              <w:sz w:val="16"/>
                              <w:szCs w:val="16"/>
                              <w:lang w:eastAsia="sk-SK"/>
                            </w:rPr>
                          </m:ctrlPr>
                        </m:sSupPr>
                        <m:e>
                          <m:d>
                            <m:dPr>
                              <m:ctrlPr>
                                <w:rPr>
                                  <w:rFonts w:ascii="Cambria Math" w:hAnsi="Cambria Math"/>
                                  <w:color w:val="244061"/>
                                  <w:sz w:val="16"/>
                                  <w:szCs w:val="16"/>
                                  <w:lang w:eastAsia="sk-SK"/>
                                </w:rPr>
                              </m:ctrlPr>
                            </m:dPr>
                            <m:e>
                              <m:f>
                                <m:fPr>
                                  <m:ctrlPr>
                                    <w:rPr>
                                      <w:rFonts w:ascii="Cambria Math" w:hAnsi="Cambria Math"/>
                                      <w:color w:val="244061"/>
                                      <w:sz w:val="16"/>
                                      <w:szCs w:val="16"/>
                                      <w:lang w:eastAsia="sk-SK"/>
                                    </w:rPr>
                                  </m:ctrlPr>
                                </m:fPr>
                                <m:num>
                                  <m:r>
                                    <m:rPr>
                                      <m:sty m:val="p"/>
                                    </m:rPr>
                                    <w:rPr>
                                      <w:rFonts w:ascii="Cambria Math" w:hAnsi="Cambria Math"/>
                                      <w:color w:val="244061"/>
                                      <w:sz w:val="16"/>
                                      <w:szCs w:val="16"/>
                                      <w:lang w:eastAsia="sk-SK"/>
                                    </w:rPr>
                                    <m:t>MTOW [t]</m:t>
                                  </m:r>
                                </m:num>
                                <m:den>
                                  <m:r>
                                    <m:rPr>
                                      <m:sty m:val="p"/>
                                    </m:rPr>
                                    <w:rPr>
                                      <w:rFonts w:ascii="Cambria Math" w:hAnsi="Cambria Math"/>
                                      <w:color w:val="244061"/>
                                      <w:sz w:val="16"/>
                                      <w:szCs w:val="16"/>
                                      <w:lang w:eastAsia="sk-SK"/>
                                    </w:rPr>
                                    <m:t>50</m:t>
                                  </m:r>
                                </m:den>
                              </m:f>
                            </m:e>
                          </m:d>
                        </m:e>
                        <m:sup>
                          <m:r>
                            <m:rPr>
                              <m:sty m:val="p"/>
                            </m:rPr>
                            <w:rPr>
                              <w:rFonts w:ascii="Cambria Math" w:hAnsi="Cambria Math"/>
                              <w:color w:val="244061"/>
                              <w:sz w:val="16"/>
                              <w:szCs w:val="16"/>
                              <w:lang w:eastAsia="sk-SK"/>
                            </w:rPr>
                            <m:t>0,5</m:t>
                          </m:r>
                        </m:sup>
                      </m:sSup>
                    </m:oMath>
                  </m:oMathPara>
                </w:p>
                <w:p w:rsidR="00D719FF" w:rsidRPr="00D719FF" w:rsidRDefault="00D719FF" w:rsidP="00E23BB3">
                  <w:pPr>
                    <w:keepNext/>
                    <w:jc w:val="both"/>
                    <w:rPr>
                      <w:rFonts w:ascii="Times New Roman" w:hAnsi="Times New Roman"/>
                      <w:sz w:val="20"/>
                      <w:szCs w:val="20"/>
                    </w:rPr>
                  </w:pPr>
                </w:p>
                <w:p w:rsidR="00D719FF" w:rsidRPr="00835AB0" w:rsidRDefault="00D719FF" w:rsidP="00E23BB3">
                  <w:pPr>
                    <w:jc w:val="both"/>
                    <w:rPr>
                      <w:rFonts w:ascii="Times New Roman" w:hAnsi="Times New Roman"/>
                      <w:sz w:val="20"/>
                      <w:szCs w:val="20"/>
                      <w:lang w:eastAsia="sk-SK"/>
                    </w:rPr>
                  </w:pPr>
                  <w:r w:rsidRPr="00835AB0">
                    <w:rPr>
                      <w:rFonts w:ascii="Times New Roman" w:hAnsi="Times New Roman"/>
                      <w:sz w:val="20"/>
                      <w:szCs w:val="20"/>
                      <w:lang w:eastAsia="sk-SK"/>
                    </w:rPr>
                    <w:t xml:space="preserve">Terminálna odplata za konkrétny let v konkrétnej terminálnej zóne spoplatňovania sa rovná súčinu </w:t>
                  </w:r>
                  <w:r w:rsidR="00451618">
                    <w:rPr>
                      <w:rFonts w:ascii="Times New Roman" w:hAnsi="Times New Roman"/>
                      <w:sz w:val="20"/>
                      <w:szCs w:val="20"/>
                      <w:lang w:eastAsia="sk-SK"/>
                    </w:rPr>
                    <w:t>terminálnej</w:t>
                  </w:r>
                  <w:r w:rsidR="00451618" w:rsidRPr="00835AB0">
                    <w:rPr>
                      <w:rFonts w:ascii="Times New Roman" w:hAnsi="Times New Roman"/>
                      <w:sz w:val="20"/>
                      <w:szCs w:val="20"/>
                      <w:lang w:eastAsia="sk-SK"/>
                    </w:rPr>
                    <w:t xml:space="preserve"> </w:t>
                  </w:r>
                  <w:r w:rsidRPr="00835AB0">
                    <w:rPr>
                      <w:rFonts w:ascii="Times New Roman" w:hAnsi="Times New Roman"/>
                      <w:sz w:val="20"/>
                      <w:szCs w:val="20"/>
                      <w:lang w:eastAsia="sk-SK"/>
                    </w:rPr>
                    <w:t xml:space="preserve">jednotkovej sadzby </w:t>
                  </w:r>
                  <w:r w:rsidR="006A582C">
                    <w:rPr>
                      <w:rFonts w:ascii="Times New Roman" w:hAnsi="Times New Roman"/>
                      <w:sz w:val="20"/>
                      <w:szCs w:val="20"/>
                      <w:lang w:eastAsia="sk-SK"/>
                    </w:rPr>
                    <w:t>určenej</w:t>
                  </w:r>
                  <w:r w:rsidRPr="00835AB0">
                    <w:rPr>
                      <w:rFonts w:ascii="Times New Roman" w:hAnsi="Times New Roman"/>
                      <w:sz w:val="20"/>
                      <w:szCs w:val="20"/>
                      <w:lang w:eastAsia="sk-SK"/>
                    </w:rPr>
                    <w:t xml:space="preserve"> pre </w:t>
                  </w:r>
                  <w:r w:rsidR="0099679A">
                    <w:rPr>
                      <w:rFonts w:ascii="Times New Roman" w:hAnsi="Times New Roman"/>
                      <w:sz w:val="20"/>
                      <w:szCs w:val="20"/>
                      <w:lang w:eastAsia="sk-SK"/>
                    </w:rPr>
                    <w:t>túto</w:t>
                  </w:r>
                  <w:r w:rsidR="0099679A" w:rsidRPr="00835AB0">
                    <w:rPr>
                      <w:rFonts w:ascii="Times New Roman" w:hAnsi="Times New Roman"/>
                      <w:sz w:val="20"/>
                      <w:szCs w:val="20"/>
                      <w:lang w:eastAsia="sk-SK"/>
                    </w:rPr>
                    <w:t xml:space="preserve"> </w:t>
                  </w:r>
                  <w:r w:rsidRPr="00835AB0">
                    <w:rPr>
                      <w:rFonts w:ascii="Times New Roman" w:hAnsi="Times New Roman"/>
                      <w:sz w:val="20"/>
                      <w:szCs w:val="20"/>
                      <w:lang w:eastAsia="sk-SK"/>
                    </w:rPr>
                    <w:t xml:space="preserve">terminálnu zónu spoplatňovania a terminálnych jednotiek služieb za </w:t>
                  </w:r>
                  <w:r w:rsidR="0099679A">
                    <w:rPr>
                      <w:rFonts w:ascii="Times New Roman" w:hAnsi="Times New Roman"/>
                      <w:sz w:val="20"/>
                      <w:szCs w:val="20"/>
                      <w:lang w:eastAsia="sk-SK"/>
                    </w:rPr>
                    <w:t>tento</w:t>
                  </w:r>
                  <w:r w:rsidR="0099679A" w:rsidRPr="00835AB0">
                    <w:rPr>
                      <w:rFonts w:ascii="Times New Roman" w:hAnsi="Times New Roman"/>
                      <w:sz w:val="20"/>
                      <w:szCs w:val="20"/>
                      <w:lang w:eastAsia="sk-SK"/>
                    </w:rPr>
                    <w:t xml:space="preserve"> </w:t>
                  </w:r>
                  <w:r w:rsidRPr="00835AB0">
                    <w:rPr>
                      <w:rFonts w:ascii="Times New Roman" w:hAnsi="Times New Roman"/>
                      <w:sz w:val="20"/>
                      <w:szCs w:val="20"/>
                      <w:lang w:eastAsia="sk-SK"/>
                    </w:rPr>
                    <w:t xml:space="preserve">let. </w:t>
                  </w:r>
                </w:p>
                <w:p w:rsidR="00D719FF" w:rsidRPr="00835AB0" w:rsidRDefault="00D719FF" w:rsidP="00E23BB3">
                  <w:pPr>
                    <w:jc w:val="both"/>
                    <w:rPr>
                      <w:rFonts w:ascii="Times New Roman" w:hAnsi="Times New Roman"/>
                      <w:sz w:val="20"/>
                      <w:szCs w:val="20"/>
                      <w:lang w:eastAsia="sk-SK"/>
                    </w:rPr>
                  </w:pPr>
                  <w:r w:rsidRPr="00835AB0">
                    <w:rPr>
                      <w:rFonts w:ascii="Times New Roman" w:hAnsi="Times New Roman"/>
                      <w:sz w:val="20"/>
                      <w:szCs w:val="20"/>
                      <w:lang w:eastAsia="sk-SK"/>
                    </w:rPr>
                    <w:t>Terminálna jednotka služieb sa rovná činiteľu hmotnosti príslušných lietadiel (</w:t>
                  </w:r>
                  <w:proofErr w:type="spellStart"/>
                  <w:r w:rsidRPr="00835AB0">
                    <w:rPr>
                      <w:rFonts w:ascii="Times New Roman" w:hAnsi="Times New Roman"/>
                      <w:sz w:val="20"/>
                      <w:szCs w:val="20"/>
                      <w:lang w:eastAsia="sk-SK"/>
                    </w:rPr>
                    <w:t>W</w:t>
                  </w:r>
                  <w:r w:rsidRPr="00835AB0">
                    <w:rPr>
                      <w:rFonts w:ascii="Times New Roman" w:hAnsi="Times New Roman"/>
                      <w:sz w:val="20"/>
                      <w:szCs w:val="20"/>
                      <w:vertAlign w:val="subscript"/>
                      <w:lang w:eastAsia="sk-SK"/>
                    </w:rPr>
                    <w:t>f</w:t>
                  </w:r>
                  <w:proofErr w:type="spellEnd"/>
                  <w:r w:rsidRPr="00835AB0">
                    <w:rPr>
                      <w:rFonts w:ascii="Times New Roman" w:hAnsi="Times New Roman"/>
                      <w:sz w:val="20"/>
                      <w:szCs w:val="20"/>
                      <w:lang w:eastAsia="sk-SK"/>
                    </w:rPr>
                    <w:t xml:space="preserve">). </w:t>
                  </w:r>
                </w:p>
                <w:p w:rsidR="00D719FF" w:rsidRPr="001778BF" w:rsidRDefault="00D719FF" w:rsidP="007D468D">
                  <w:pPr>
                    <w:jc w:val="both"/>
                    <w:rPr>
                      <w:rFonts w:ascii="Times New Roman" w:hAnsi="Times New Roman"/>
                      <w:sz w:val="20"/>
                      <w:szCs w:val="20"/>
                      <w:lang w:eastAsia="sk-SK"/>
                    </w:rPr>
                  </w:pPr>
                  <w:r w:rsidRPr="00835AB0">
                    <w:rPr>
                      <w:rFonts w:ascii="Times New Roman" w:hAnsi="Times New Roman"/>
                      <w:sz w:val="20"/>
                      <w:szCs w:val="20"/>
                      <w:lang w:eastAsia="sk-SK"/>
                    </w:rPr>
                    <w:t>Činiteľ hmotnosti (</w:t>
                  </w:r>
                  <w:proofErr w:type="spellStart"/>
                  <w:r w:rsidRPr="00835AB0">
                    <w:rPr>
                      <w:rFonts w:ascii="Times New Roman" w:hAnsi="Times New Roman"/>
                      <w:sz w:val="20"/>
                      <w:szCs w:val="20"/>
                      <w:lang w:eastAsia="sk-SK"/>
                    </w:rPr>
                    <w:t>W</w:t>
                  </w:r>
                  <w:r w:rsidRPr="00835AB0">
                    <w:rPr>
                      <w:rFonts w:ascii="Times New Roman" w:hAnsi="Times New Roman"/>
                      <w:sz w:val="20"/>
                      <w:szCs w:val="20"/>
                      <w:vertAlign w:val="subscript"/>
                      <w:lang w:eastAsia="sk-SK"/>
                    </w:rPr>
                    <w:t>f</w:t>
                  </w:r>
                  <w:proofErr w:type="spellEnd"/>
                  <w:r w:rsidRPr="00835AB0">
                    <w:rPr>
                      <w:rFonts w:ascii="Times New Roman" w:hAnsi="Times New Roman"/>
                      <w:sz w:val="20"/>
                      <w:szCs w:val="20"/>
                      <w:lang w:eastAsia="sk-SK"/>
                    </w:rPr>
                    <w:t>) je podiel počtu metrických ton MTOW</w:t>
                  </w:r>
                  <w:r w:rsidR="007D468D">
                    <w:rPr>
                      <w:rFonts w:ascii="Times New Roman" w:hAnsi="Times New Roman"/>
                      <w:sz w:val="20"/>
                      <w:szCs w:val="20"/>
                      <w:lang w:eastAsia="sk-SK"/>
                    </w:rPr>
                    <w:t xml:space="preserve"> a</w:t>
                  </w:r>
                  <w:r w:rsidRPr="00835AB0">
                    <w:rPr>
                      <w:rFonts w:ascii="Times New Roman" w:hAnsi="Times New Roman"/>
                      <w:sz w:val="20"/>
                      <w:szCs w:val="20"/>
                      <w:lang w:eastAsia="sk-SK"/>
                    </w:rPr>
                    <w:t xml:space="preserve"> </w:t>
                  </w:r>
                  <w:r w:rsidR="007D468D" w:rsidRPr="00835AB0">
                    <w:rPr>
                      <w:rFonts w:ascii="Times New Roman" w:hAnsi="Times New Roman"/>
                      <w:sz w:val="20"/>
                      <w:szCs w:val="20"/>
                      <w:lang w:eastAsia="sk-SK"/>
                    </w:rPr>
                    <w:t>čísl</w:t>
                  </w:r>
                  <w:r w:rsidR="007D468D">
                    <w:rPr>
                      <w:rFonts w:ascii="Times New Roman" w:hAnsi="Times New Roman"/>
                      <w:sz w:val="20"/>
                      <w:szCs w:val="20"/>
                      <w:lang w:eastAsia="sk-SK"/>
                    </w:rPr>
                    <w:t>a</w:t>
                  </w:r>
                  <w:r w:rsidR="007D468D" w:rsidRPr="00835AB0">
                    <w:rPr>
                      <w:rFonts w:ascii="Times New Roman" w:hAnsi="Times New Roman"/>
                      <w:sz w:val="20"/>
                      <w:szCs w:val="20"/>
                      <w:lang w:eastAsia="sk-SK"/>
                    </w:rPr>
                    <w:t xml:space="preserve"> </w:t>
                  </w:r>
                  <w:r w:rsidR="007D468D">
                    <w:rPr>
                      <w:rFonts w:ascii="Times New Roman" w:hAnsi="Times New Roman"/>
                      <w:sz w:val="20"/>
                      <w:szCs w:val="20"/>
                      <w:lang w:eastAsia="sk-SK"/>
                    </w:rPr>
                    <w:t>50</w:t>
                  </w:r>
                  <w:r w:rsidRPr="00835AB0">
                    <w:rPr>
                      <w:rFonts w:ascii="Times New Roman" w:hAnsi="Times New Roman"/>
                      <w:sz w:val="20"/>
                      <w:szCs w:val="20"/>
                      <w:lang w:eastAsia="sk-SK"/>
                    </w:rPr>
                    <w:t>, umocnený na 0,5</w:t>
                  </w:r>
                  <w:r w:rsidR="007D468D">
                    <w:rPr>
                      <w:rFonts w:ascii="Times New Roman" w:hAnsi="Times New Roman"/>
                      <w:sz w:val="20"/>
                      <w:szCs w:val="20"/>
                      <w:lang w:eastAsia="sk-SK"/>
                    </w:rPr>
                    <w:t xml:space="preserve"> a zaokrúhlený na dve desatinné miesta</w:t>
                  </w:r>
                  <w:r w:rsidRPr="00835AB0">
                    <w:rPr>
                      <w:rFonts w:ascii="Times New Roman" w:hAnsi="Times New Roman"/>
                      <w:sz w:val="20"/>
                      <w:szCs w:val="20"/>
                      <w:lang w:eastAsia="sk-SK"/>
                    </w:rPr>
                    <w:t>.</w:t>
                  </w:r>
                </w:p>
              </w:tc>
            </w:tr>
            <w:tr w:rsidR="00D719FF" w:rsidRPr="00D719FF" w:rsidTr="007D636A">
              <w:trPr>
                <w:jc w:val="center"/>
              </w:trPr>
              <w:tc>
                <w:tcPr>
                  <w:tcW w:w="1134" w:type="dxa"/>
                  <w:vAlign w:val="center"/>
                </w:tcPr>
                <w:p w:rsidR="00D719FF" w:rsidRPr="00D719FF" w:rsidRDefault="00D719FF" w:rsidP="00E23BB3">
                  <w:pPr>
                    <w:autoSpaceDE w:val="0"/>
                    <w:autoSpaceDN w:val="0"/>
                    <w:adjustRightInd w:val="0"/>
                    <w:jc w:val="center"/>
                    <w:rPr>
                      <w:rFonts w:ascii="Times New Roman" w:eastAsia="Calibri" w:hAnsi="Times New Roman"/>
                      <w:sz w:val="20"/>
                      <w:szCs w:val="20"/>
                    </w:rPr>
                  </w:pPr>
                  <w:r w:rsidRPr="00D719FF">
                    <w:rPr>
                      <w:rFonts w:ascii="Times New Roman" w:eastAsia="Calibri" w:hAnsi="Times New Roman"/>
                      <w:sz w:val="20"/>
                      <w:szCs w:val="20"/>
                    </w:rPr>
                    <w:t>4</w:t>
                  </w:r>
                </w:p>
              </w:tc>
              <w:tc>
                <w:tcPr>
                  <w:tcW w:w="8222" w:type="dxa"/>
                </w:tcPr>
                <w:p w:rsidR="00D719FF" w:rsidRPr="00E5198E" w:rsidRDefault="00D719FF" w:rsidP="00E23BB3">
                  <w:pPr>
                    <w:autoSpaceDE w:val="0"/>
                    <w:autoSpaceDN w:val="0"/>
                    <w:adjustRightInd w:val="0"/>
                    <w:jc w:val="both"/>
                    <w:rPr>
                      <w:rFonts w:ascii="Times New Roman" w:eastAsia="Calibri" w:hAnsi="Times New Roman"/>
                      <w:sz w:val="20"/>
                      <w:szCs w:val="20"/>
                    </w:rPr>
                  </w:pPr>
                  <w:r w:rsidRPr="00E5198E">
                    <w:rPr>
                      <w:rFonts w:ascii="Times New Roman" w:eastAsia="Calibri" w:hAnsi="Times New Roman"/>
                      <w:sz w:val="20"/>
                      <w:szCs w:val="20"/>
                    </w:rPr>
                    <w:t>Výpočet</w:t>
                  </w:r>
                  <w:r w:rsidR="0099679A">
                    <w:rPr>
                      <w:rFonts w:ascii="Times New Roman" w:eastAsia="Calibri" w:hAnsi="Times New Roman"/>
                      <w:sz w:val="20"/>
                      <w:szCs w:val="20"/>
                    </w:rPr>
                    <w:t xml:space="preserve"> nižšie uvedenej</w:t>
                  </w:r>
                  <w:r w:rsidRPr="00E5198E">
                    <w:rPr>
                      <w:rFonts w:ascii="Times New Roman" w:eastAsia="Calibri" w:hAnsi="Times New Roman"/>
                      <w:sz w:val="20"/>
                      <w:szCs w:val="20"/>
                    </w:rPr>
                    <w:t xml:space="preserve"> terminálnej jednotkovej sadzby a následne terminálnej odplaty </w:t>
                  </w:r>
                  <w:r w:rsidR="001778BF">
                    <w:rPr>
                      <w:rFonts w:ascii="Times New Roman" w:eastAsia="Calibri" w:hAnsi="Times New Roman"/>
                      <w:sz w:val="20"/>
                      <w:szCs w:val="20"/>
                    </w:rPr>
                    <w:t xml:space="preserve">zodpovedajúci výpočtu podľa </w:t>
                  </w:r>
                  <w:r w:rsidRPr="000D603A">
                    <w:rPr>
                      <w:rFonts w:ascii="Times New Roman" w:eastAsia="Calibri" w:hAnsi="Times New Roman"/>
                      <w:sz w:val="20"/>
                      <w:szCs w:val="20"/>
                    </w:rPr>
                    <w:t>vykonávacie</w:t>
                  </w:r>
                  <w:r w:rsidRPr="00E5198E">
                    <w:rPr>
                      <w:rFonts w:ascii="Times New Roman" w:eastAsia="Calibri" w:hAnsi="Times New Roman"/>
                      <w:sz w:val="20"/>
                      <w:szCs w:val="20"/>
                    </w:rPr>
                    <w:t>ho</w:t>
                  </w:r>
                  <w:r w:rsidRPr="000D603A">
                    <w:rPr>
                      <w:rFonts w:ascii="Times New Roman" w:eastAsia="Calibri" w:hAnsi="Times New Roman"/>
                      <w:sz w:val="20"/>
                      <w:szCs w:val="20"/>
                    </w:rPr>
                    <w:t xml:space="preserve"> nariadeni</w:t>
                  </w:r>
                  <w:r w:rsidRPr="00E5198E">
                    <w:rPr>
                      <w:rFonts w:ascii="Times New Roman" w:eastAsia="Calibri" w:hAnsi="Times New Roman"/>
                      <w:sz w:val="20"/>
                      <w:szCs w:val="20"/>
                    </w:rPr>
                    <w:t>a</w:t>
                  </w:r>
                  <w:r w:rsidRPr="000D603A">
                    <w:rPr>
                      <w:rFonts w:ascii="Times New Roman" w:eastAsia="Calibri" w:hAnsi="Times New Roman"/>
                      <w:sz w:val="20"/>
                      <w:szCs w:val="20"/>
                    </w:rPr>
                    <w:t xml:space="preserve"> (EÚ) 2019/317</w:t>
                  </w:r>
                  <w:r w:rsidRPr="00E5198E">
                    <w:rPr>
                      <w:rFonts w:ascii="Times New Roman" w:eastAsia="Calibri" w:hAnsi="Times New Roman"/>
                      <w:sz w:val="20"/>
                      <w:szCs w:val="20"/>
                    </w:rPr>
                    <w:t>.</w:t>
                  </w:r>
                </w:p>
                <w:p w:rsidR="00B97520" w:rsidRPr="007E0C31" w:rsidRDefault="00B97520" w:rsidP="00B97520">
                  <w:pPr>
                    <w:keepNext/>
                    <w:rPr>
                      <w:rFonts w:ascii="Times New Roman" w:hAnsi="Times New Roman"/>
                      <w:sz w:val="16"/>
                      <w:szCs w:val="16"/>
                      <w:lang w:eastAsia="sk-SK"/>
                    </w:rPr>
                  </w:pPr>
                  <m:oMathPara>
                    <m:oMathParaPr>
                      <m:jc m:val="center"/>
                    </m:oMathParaPr>
                    <m:oMath>
                      <m:r>
                        <m:rPr>
                          <m:sty m:val="p"/>
                        </m:rPr>
                        <w:rPr>
                          <w:rFonts w:ascii="Cambria Math" w:hAnsi="Cambria Math"/>
                          <w:color w:val="244061"/>
                          <w:sz w:val="16"/>
                          <w:szCs w:val="16"/>
                          <w:lang w:eastAsia="sk-SK"/>
                        </w:rPr>
                        <m:t xml:space="preserve">terminálna odplata =terminálna jednotková sadzba [€/terminálnu jednotku služieb] × </m:t>
                      </m:r>
                      <m:sSup>
                        <m:sSupPr>
                          <m:ctrlPr>
                            <w:rPr>
                              <w:rFonts w:ascii="Cambria Math" w:hAnsi="Cambria Math"/>
                              <w:color w:val="244061"/>
                              <w:sz w:val="16"/>
                              <w:szCs w:val="16"/>
                              <w:lang w:eastAsia="sk-SK"/>
                            </w:rPr>
                          </m:ctrlPr>
                        </m:sSupPr>
                        <m:e>
                          <m:d>
                            <m:dPr>
                              <m:ctrlPr>
                                <w:rPr>
                                  <w:rFonts w:ascii="Cambria Math" w:hAnsi="Cambria Math"/>
                                  <w:color w:val="244061"/>
                                  <w:sz w:val="16"/>
                                  <w:szCs w:val="16"/>
                                  <w:lang w:eastAsia="sk-SK"/>
                                </w:rPr>
                              </m:ctrlPr>
                            </m:dPr>
                            <m:e>
                              <m:f>
                                <m:fPr>
                                  <m:ctrlPr>
                                    <w:rPr>
                                      <w:rFonts w:ascii="Cambria Math" w:hAnsi="Cambria Math"/>
                                      <w:color w:val="244061"/>
                                      <w:sz w:val="16"/>
                                      <w:szCs w:val="16"/>
                                      <w:lang w:eastAsia="sk-SK"/>
                                    </w:rPr>
                                  </m:ctrlPr>
                                </m:fPr>
                                <m:num>
                                  <m:r>
                                    <m:rPr>
                                      <m:sty m:val="p"/>
                                    </m:rPr>
                                    <w:rPr>
                                      <w:rFonts w:ascii="Cambria Math" w:hAnsi="Cambria Math"/>
                                      <w:color w:val="244061"/>
                                      <w:sz w:val="16"/>
                                      <w:szCs w:val="16"/>
                                      <w:lang w:eastAsia="sk-SK"/>
                                    </w:rPr>
                                    <m:t>MTOW [t]</m:t>
                                  </m:r>
                                </m:num>
                                <m:den>
                                  <m:r>
                                    <m:rPr>
                                      <m:sty m:val="p"/>
                                    </m:rPr>
                                    <w:rPr>
                                      <w:rFonts w:ascii="Cambria Math" w:hAnsi="Cambria Math"/>
                                      <w:color w:val="244061"/>
                                      <w:sz w:val="16"/>
                                      <w:szCs w:val="16"/>
                                      <w:lang w:eastAsia="sk-SK"/>
                                    </w:rPr>
                                    <m:t>50</m:t>
                                  </m:r>
                                </m:den>
                              </m:f>
                            </m:e>
                          </m:d>
                        </m:e>
                        <m:sup>
                          <m:r>
                            <m:rPr>
                              <m:sty m:val="p"/>
                            </m:rPr>
                            <w:rPr>
                              <w:rFonts w:ascii="Cambria Math" w:hAnsi="Cambria Math"/>
                              <w:color w:val="244061"/>
                              <w:sz w:val="16"/>
                              <w:szCs w:val="16"/>
                              <w:lang w:eastAsia="sk-SK"/>
                            </w:rPr>
                            <m:t>0,7</m:t>
                          </m:r>
                        </m:sup>
                      </m:sSup>
                    </m:oMath>
                  </m:oMathPara>
                </w:p>
                <w:p w:rsidR="00B97520" w:rsidRPr="00D719FF" w:rsidRDefault="00B97520" w:rsidP="00B97520">
                  <w:pPr>
                    <w:keepNext/>
                    <w:jc w:val="both"/>
                    <w:rPr>
                      <w:rFonts w:ascii="Times New Roman" w:hAnsi="Times New Roman"/>
                      <w:sz w:val="20"/>
                      <w:szCs w:val="20"/>
                    </w:rPr>
                  </w:pPr>
                </w:p>
                <w:p w:rsidR="00B97520" w:rsidRPr="00835AB0" w:rsidRDefault="00B97520" w:rsidP="00B97520">
                  <w:pPr>
                    <w:jc w:val="both"/>
                    <w:rPr>
                      <w:rFonts w:ascii="Times New Roman" w:hAnsi="Times New Roman"/>
                      <w:sz w:val="20"/>
                      <w:szCs w:val="20"/>
                      <w:lang w:eastAsia="sk-SK"/>
                    </w:rPr>
                  </w:pPr>
                  <w:r w:rsidRPr="00835AB0">
                    <w:rPr>
                      <w:rFonts w:ascii="Times New Roman" w:hAnsi="Times New Roman"/>
                      <w:sz w:val="20"/>
                      <w:szCs w:val="20"/>
                      <w:lang w:eastAsia="sk-SK"/>
                    </w:rPr>
                    <w:t xml:space="preserve">Terminálna odplata za konkrétny let v konkrétnej terminálnej zóne spoplatňovania sa rovná súčinu </w:t>
                  </w:r>
                  <w:r>
                    <w:rPr>
                      <w:rFonts w:ascii="Times New Roman" w:hAnsi="Times New Roman"/>
                      <w:sz w:val="20"/>
                      <w:szCs w:val="20"/>
                      <w:lang w:eastAsia="sk-SK"/>
                    </w:rPr>
                    <w:t>terminálnej</w:t>
                  </w:r>
                  <w:r w:rsidRPr="00835AB0">
                    <w:rPr>
                      <w:rFonts w:ascii="Times New Roman" w:hAnsi="Times New Roman"/>
                      <w:sz w:val="20"/>
                      <w:szCs w:val="20"/>
                      <w:lang w:eastAsia="sk-SK"/>
                    </w:rPr>
                    <w:t xml:space="preserve"> jednotkovej sadzby </w:t>
                  </w:r>
                  <w:r w:rsidR="006A582C">
                    <w:rPr>
                      <w:rFonts w:ascii="Times New Roman" w:hAnsi="Times New Roman"/>
                      <w:sz w:val="20"/>
                      <w:szCs w:val="20"/>
                      <w:lang w:eastAsia="sk-SK"/>
                    </w:rPr>
                    <w:t>určenej</w:t>
                  </w:r>
                  <w:r w:rsidRPr="00835AB0">
                    <w:rPr>
                      <w:rFonts w:ascii="Times New Roman" w:hAnsi="Times New Roman"/>
                      <w:sz w:val="20"/>
                      <w:szCs w:val="20"/>
                      <w:lang w:eastAsia="sk-SK"/>
                    </w:rPr>
                    <w:t xml:space="preserve"> pre </w:t>
                  </w:r>
                  <w:r w:rsidR="0099679A">
                    <w:rPr>
                      <w:rFonts w:ascii="Times New Roman" w:hAnsi="Times New Roman"/>
                      <w:sz w:val="20"/>
                      <w:szCs w:val="20"/>
                      <w:lang w:eastAsia="sk-SK"/>
                    </w:rPr>
                    <w:t>túto</w:t>
                  </w:r>
                  <w:r w:rsidR="0099679A" w:rsidRPr="00835AB0">
                    <w:rPr>
                      <w:rFonts w:ascii="Times New Roman" w:hAnsi="Times New Roman"/>
                      <w:sz w:val="20"/>
                      <w:szCs w:val="20"/>
                      <w:lang w:eastAsia="sk-SK"/>
                    </w:rPr>
                    <w:t xml:space="preserve"> </w:t>
                  </w:r>
                  <w:r w:rsidRPr="00835AB0">
                    <w:rPr>
                      <w:rFonts w:ascii="Times New Roman" w:hAnsi="Times New Roman"/>
                      <w:sz w:val="20"/>
                      <w:szCs w:val="20"/>
                      <w:lang w:eastAsia="sk-SK"/>
                    </w:rPr>
                    <w:t xml:space="preserve">terminálnu zónu spoplatňovania a terminálnych jednotiek služieb za </w:t>
                  </w:r>
                  <w:r w:rsidR="0099679A">
                    <w:rPr>
                      <w:rFonts w:ascii="Times New Roman" w:hAnsi="Times New Roman"/>
                      <w:sz w:val="20"/>
                      <w:szCs w:val="20"/>
                      <w:lang w:eastAsia="sk-SK"/>
                    </w:rPr>
                    <w:t>tento</w:t>
                  </w:r>
                  <w:r w:rsidR="0099679A" w:rsidRPr="00835AB0">
                    <w:rPr>
                      <w:rFonts w:ascii="Times New Roman" w:hAnsi="Times New Roman"/>
                      <w:sz w:val="20"/>
                      <w:szCs w:val="20"/>
                      <w:lang w:eastAsia="sk-SK"/>
                    </w:rPr>
                    <w:t xml:space="preserve"> </w:t>
                  </w:r>
                  <w:r w:rsidRPr="00835AB0">
                    <w:rPr>
                      <w:rFonts w:ascii="Times New Roman" w:hAnsi="Times New Roman"/>
                      <w:sz w:val="20"/>
                      <w:szCs w:val="20"/>
                      <w:lang w:eastAsia="sk-SK"/>
                    </w:rPr>
                    <w:t xml:space="preserve">let. </w:t>
                  </w:r>
                </w:p>
                <w:p w:rsidR="00B97520" w:rsidRPr="00835AB0" w:rsidRDefault="00B97520" w:rsidP="00B97520">
                  <w:pPr>
                    <w:jc w:val="both"/>
                    <w:rPr>
                      <w:rFonts w:ascii="Times New Roman" w:hAnsi="Times New Roman"/>
                      <w:sz w:val="20"/>
                      <w:szCs w:val="20"/>
                      <w:lang w:eastAsia="sk-SK"/>
                    </w:rPr>
                  </w:pPr>
                  <w:r w:rsidRPr="00835AB0">
                    <w:rPr>
                      <w:rFonts w:ascii="Times New Roman" w:hAnsi="Times New Roman"/>
                      <w:sz w:val="20"/>
                      <w:szCs w:val="20"/>
                      <w:lang w:eastAsia="sk-SK"/>
                    </w:rPr>
                    <w:t>Terminálna jednotka služieb sa rovná činiteľu hmotnosti príslušných lietadiel (</w:t>
                  </w:r>
                  <w:proofErr w:type="spellStart"/>
                  <w:r w:rsidRPr="00835AB0">
                    <w:rPr>
                      <w:rFonts w:ascii="Times New Roman" w:hAnsi="Times New Roman"/>
                      <w:sz w:val="20"/>
                      <w:szCs w:val="20"/>
                      <w:lang w:eastAsia="sk-SK"/>
                    </w:rPr>
                    <w:t>W</w:t>
                  </w:r>
                  <w:r w:rsidRPr="00835AB0">
                    <w:rPr>
                      <w:rFonts w:ascii="Times New Roman" w:hAnsi="Times New Roman"/>
                      <w:sz w:val="20"/>
                      <w:szCs w:val="20"/>
                      <w:vertAlign w:val="subscript"/>
                      <w:lang w:eastAsia="sk-SK"/>
                    </w:rPr>
                    <w:t>f</w:t>
                  </w:r>
                  <w:proofErr w:type="spellEnd"/>
                  <w:r w:rsidRPr="00835AB0">
                    <w:rPr>
                      <w:rFonts w:ascii="Times New Roman" w:hAnsi="Times New Roman"/>
                      <w:sz w:val="20"/>
                      <w:szCs w:val="20"/>
                      <w:lang w:eastAsia="sk-SK"/>
                    </w:rPr>
                    <w:t xml:space="preserve">). </w:t>
                  </w:r>
                </w:p>
                <w:p w:rsidR="00BC49DA" w:rsidRPr="00BC49DA" w:rsidRDefault="00B97520" w:rsidP="0099679A">
                  <w:pPr>
                    <w:autoSpaceDE w:val="0"/>
                    <w:autoSpaceDN w:val="0"/>
                    <w:adjustRightInd w:val="0"/>
                    <w:jc w:val="both"/>
                    <w:rPr>
                      <w:rFonts w:ascii="Times New Roman" w:eastAsia="Calibri" w:hAnsi="Times New Roman"/>
                      <w:sz w:val="20"/>
                      <w:szCs w:val="20"/>
                    </w:rPr>
                  </w:pPr>
                  <w:r w:rsidRPr="00835AB0">
                    <w:rPr>
                      <w:rFonts w:ascii="Times New Roman" w:hAnsi="Times New Roman"/>
                      <w:sz w:val="20"/>
                      <w:szCs w:val="20"/>
                      <w:lang w:eastAsia="sk-SK"/>
                    </w:rPr>
                    <w:t>Činiteľ hmotnosti (</w:t>
                  </w:r>
                  <w:proofErr w:type="spellStart"/>
                  <w:r w:rsidRPr="00835AB0">
                    <w:rPr>
                      <w:rFonts w:ascii="Times New Roman" w:hAnsi="Times New Roman"/>
                      <w:sz w:val="20"/>
                      <w:szCs w:val="20"/>
                      <w:lang w:eastAsia="sk-SK"/>
                    </w:rPr>
                    <w:t>W</w:t>
                  </w:r>
                  <w:r w:rsidRPr="00835AB0">
                    <w:rPr>
                      <w:rFonts w:ascii="Times New Roman" w:hAnsi="Times New Roman"/>
                      <w:sz w:val="20"/>
                      <w:szCs w:val="20"/>
                      <w:vertAlign w:val="subscript"/>
                      <w:lang w:eastAsia="sk-SK"/>
                    </w:rPr>
                    <w:t>f</w:t>
                  </w:r>
                  <w:proofErr w:type="spellEnd"/>
                  <w:r w:rsidRPr="00835AB0">
                    <w:rPr>
                      <w:rFonts w:ascii="Times New Roman" w:hAnsi="Times New Roman"/>
                      <w:sz w:val="20"/>
                      <w:szCs w:val="20"/>
                      <w:lang w:eastAsia="sk-SK"/>
                    </w:rPr>
                    <w:t xml:space="preserve">) je podiel počtu metrických ton MTOW </w:t>
                  </w:r>
                  <w:r w:rsidR="0099679A">
                    <w:rPr>
                      <w:rFonts w:ascii="Times New Roman" w:hAnsi="Times New Roman"/>
                      <w:sz w:val="20"/>
                      <w:szCs w:val="20"/>
                      <w:lang w:eastAsia="sk-SK"/>
                    </w:rPr>
                    <w:t xml:space="preserve">a </w:t>
                  </w:r>
                  <w:r w:rsidR="0099679A" w:rsidRPr="00835AB0">
                    <w:rPr>
                      <w:rFonts w:ascii="Times New Roman" w:hAnsi="Times New Roman"/>
                      <w:sz w:val="20"/>
                      <w:szCs w:val="20"/>
                      <w:lang w:eastAsia="sk-SK"/>
                    </w:rPr>
                    <w:t>čísl</w:t>
                  </w:r>
                  <w:r w:rsidR="0099679A">
                    <w:rPr>
                      <w:rFonts w:ascii="Times New Roman" w:hAnsi="Times New Roman"/>
                      <w:sz w:val="20"/>
                      <w:szCs w:val="20"/>
                      <w:lang w:eastAsia="sk-SK"/>
                    </w:rPr>
                    <w:t>a</w:t>
                  </w:r>
                  <w:r w:rsidR="0099679A" w:rsidRPr="00835AB0">
                    <w:rPr>
                      <w:rFonts w:ascii="Times New Roman" w:hAnsi="Times New Roman"/>
                      <w:sz w:val="20"/>
                      <w:szCs w:val="20"/>
                      <w:lang w:eastAsia="sk-SK"/>
                    </w:rPr>
                    <w:t xml:space="preserve"> </w:t>
                  </w:r>
                  <w:r w:rsidR="0099679A">
                    <w:rPr>
                      <w:rFonts w:ascii="Times New Roman" w:hAnsi="Times New Roman"/>
                      <w:sz w:val="20"/>
                      <w:szCs w:val="20"/>
                      <w:lang w:eastAsia="sk-SK"/>
                    </w:rPr>
                    <w:t>50</w:t>
                  </w:r>
                  <w:r w:rsidRPr="00835AB0">
                    <w:rPr>
                      <w:rFonts w:ascii="Times New Roman" w:hAnsi="Times New Roman"/>
                      <w:sz w:val="20"/>
                      <w:szCs w:val="20"/>
                      <w:lang w:eastAsia="sk-SK"/>
                    </w:rPr>
                    <w:t>, umocnený na 0,</w:t>
                  </w:r>
                  <w:r w:rsidR="00E15EAE">
                    <w:rPr>
                      <w:rFonts w:ascii="Times New Roman" w:hAnsi="Times New Roman"/>
                      <w:sz w:val="20"/>
                      <w:szCs w:val="20"/>
                      <w:lang w:eastAsia="sk-SK"/>
                    </w:rPr>
                    <w:t>7</w:t>
                  </w:r>
                  <w:r w:rsidR="0099679A">
                    <w:rPr>
                      <w:rFonts w:ascii="Times New Roman" w:hAnsi="Times New Roman"/>
                      <w:sz w:val="20"/>
                      <w:szCs w:val="20"/>
                      <w:lang w:eastAsia="sk-SK"/>
                    </w:rPr>
                    <w:t xml:space="preserve"> a zaokrúhlený na dve desatinné miesta</w:t>
                  </w:r>
                  <w:r w:rsidRPr="00835AB0">
                    <w:rPr>
                      <w:rFonts w:ascii="Times New Roman" w:hAnsi="Times New Roman"/>
                      <w:sz w:val="20"/>
                      <w:szCs w:val="20"/>
                      <w:lang w:eastAsia="sk-SK"/>
                    </w:rPr>
                    <w:t>.</w:t>
                  </w:r>
                </w:p>
              </w:tc>
            </w:tr>
            <w:tr w:rsidR="00D719FF" w:rsidRPr="00D719FF" w:rsidTr="007D636A">
              <w:trPr>
                <w:jc w:val="center"/>
              </w:trPr>
              <w:tc>
                <w:tcPr>
                  <w:tcW w:w="1134" w:type="dxa"/>
                  <w:vAlign w:val="center"/>
                </w:tcPr>
                <w:p w:rsidR="00D719FF" w:rsidRPr="00D719FF" w:rsidRDefault="00D719FF" w:rsidP="00E23BB3">
                  <w:pPr>
                    <w:autoSpaceDE w:val="0"/>
                    <w:autoSpaceDN w:val="0"/>
                    <w:adjustRightInd w:val="0"/>
                    <w:jc w:val="center"/>
                    <w:rPr>
                      <w:rFonts w:ascii="Times New Roman" w:eastAsia="Calibri" w:hAnsi="Times New Roman"/>
                      <w:sz w:val="20"/>
                      <w:szCs w:val="20"/>
                    </w:rPr>
                  </w:pPr>
                  <w:r w:rsidRPr="00D719FF">
                    <w:rPr>
                      <w:rFonts w:ascii="Times New Roman" w:eastAsia="Calibri" w:hAnsi="Times New Roman"/>
                      <w:sz w:val="20"/>
                      <w:szCs w:val="20"/>
                    </w:rPr>
                    <w:lastRenderedPageBreak/>
                    <w:t>5</w:t>
                  </w:r>
                </w:p>
              </w:tc>
              <w:tc>
                <w:tcPr>
                  <w:tcW w:w="8222" w:type="dxa"/>
                </w:tcPr>
                <w:p w:rsidR="007D636A" w:rsidRPr="007D636A" w:rsidRDefault="007D636A" w:rsidP="00E23BB3">
                  <w:pPr>
                    <w:keepNext/>
                    <w:rPr>
                      <w:rFonts w:ascii="Times New Roman" w:hAnsi="Times New Roman"/>
                      <w:sz w:val="18"/>
                      <w:szCs w:val="18"/>
                    </w:rPr>
                  </w:pPr>
                  <m:oMathPara>
                    <m:oMathParaPr>
                      <m:jc m:val="center"/>
                    </m:oMathParaPr>
                    <m:oMath>
                      <m:r>
                        <m:rPr>
                          <m:sty m:val="p"/>
                        </m:rPr>
                        <w:rPr>
                          <w:rFonts w:ascii="Cambria Math" w:hAnsi="Cambria Math"/>
                          <w:color w:val="244061"/>
                          <w:sz w:val="16"/>
                          <w:szCs w:val="16"/>
                        </w:rPr>
                        <m:t xml:space="preserve">terminálna odplata =terminálna jednotková sadzba </m:t>
                      </m:r>
                      <m:r>
                        <m:rPr>
                          <m:sty m:val="p"/>
                        </m:rPr>
                        <w:rPr>
                          <w:rFonts w:ascii="Cambria Math" w:hAnsi="Cambria Math"/>
                          <w:color w:val="244061"/>
                          <w:sz w:val="16"/>
                          <w:szCs w:val="16"/>
                          <w:lang w:eastAsia="sk-SK"/>
                        </w:rPr>
                        <m:t>[€/terminálnu jednotku služieb]</m:t>
                      </m:r>
                      <m:r>
                        <m:rPr>
                          <m:sty m:val="p"/>
                        </m:rPr>
                        <w:rPr>
                          <w:rFonts w:ascii="Cambria Math" w:hAnsi="Cambria Math"/>
                          <w:color w:val="244061"/>
                          <w:sz w:val="16"/>
                          <w:szCs w:val="16"/>
                        </w:rPr>
                        <m:t xml:space="preserve"> × </m:t>
                      </m:r>
                      <m:sSup>
                        <m:sSupPr>
                          <m:ctrlPr>
                            <w:rPr>
                              <w:rFonts w:ascii="Cambria Math" w:hAnsi="Cambria Math"/>
                              <w:color w:val="244061"/>
                              <w:sz w:val="16"/>
                              <w:szCs w:val="16"/>
                            </w:rPr>
                          </m:ctrlPr>
                        </m:sSupPr>
                        <m:e>
                          <m:d>
                            <m:dPr>
                              <m:ctrlPr>
                                <w:rPr>
                                  <w:rFonts w:ascii="Cambria Math" w:hAnsi="Cambria Math"/>
                                  <w:color w:val="244061"/>
                                  <w:sz w:val="16"/>
                                  <w:szCs w:val="16"/>
                                </w:rPr>
                              </m:ctrlPr>
                            </m:dPr>
                            <m:e>
                              <m:f>
                                <m:fPr>
                                  <m:ctrlPr>
                                    <w:rPr>
                                      <w:rFonts w:ascii="Cambria Math" w:hAnsi="Cambria Math"/>
                                      <w:color w:val="244061"/>
                                      <w:sz w:val="16"/>
                                      <w:szCs w:val="16"/>
                                    </w:rPr>
                                  </m:ctrlPr>
                                </m:fPr>
                                <m:num>
                                  <m:r>
                                    <m:rPr>
                                      <m:sty m:val="p"/>
                                    </m:rPr>
                                    <w:rPr>
                                      <w:rFonts w:ascii="Cambria Math" w:hAnsi="Cambria Math"/>
                                      <w:color w:val="244061"/>
                                      <w:sz w:val="16"/>
                                      <w:szCs w:val="16"/>
                                    </w:rPr>
                                    <m:t>MTOW [t]</m:t>
                                  </m:r>
                                </m:num>
                                <m:den>
                                  <m:r>
                                    <m:rPr>
                                      <m:sty m:val="p"/>
                                    </m:rPr>
                                    <w:rPr>
                                      <w:rFonts w:ascii="Cambria Math" w:hAnsi="Cambria Math"/>
                                      <w:color w:val="244061"/>
                                      <w:sz w:val="16"/>
                                      <w:szCs w:val="16"/>
                                    </w:rPr>
                                    <m:t>50</m:t>
                                  </m:r>
                                </m:den>
                              </m:f>
                            </m:e>
                          </m:d>
                        </m:e>
                        <m:sup>
                          <m:r>
                            <m:rPr>
                              <m:sty m:val="p"/>
                            </m:rPr>
                            <w:rPr>
                              <w:rFonts w:ascii="Cambria Math" w:hAnsi="Cambria Math"/>
                              <w:color w:val="244061"/>
                              <w:sz w:val="16"/>
                              <w:szCs w:val="16"/>
                            </w:rPr>
                            <m:t>0,9</m:t>
                          </m:r>
                        </m:sup>
                      </m:sSup>
                    </m:oMath>
                  </m:oMathPara>
                </w:p>
                <w:p w:rsidR="007D636A" w:rsidRPr="007D636A" w:rsidRDefault="007D636A" w:rsidP="00E23BB3">
                  <w:pPr>
                    <w:keepNext/>
                    <w:rPr>
                      <w:rFonts w:ascii="Times New Roman" w:hAnsi="Times New Roman"/>
                      <w:sz w:val="20"/>
                      <w:szCs w:val="20"/>
                    </w:rPr>
                  </w:pPr>
                </w:p>
                <w:p w:rsidR="007D636A" w:rsidRPr="007D636A" w:rsidRDefault="007D636A" w:rsidP="00E23BB3">
                  <w:pPr>
                    <w:keepNext/>
                    <w:jc w:val="both"/>
                    <w:rPr>
                      <w:rFonts w:ascii="Times New Roman" w:hAnsi="Times New Roman"/>
                      <w:sz w:val="20"/>
                      <w:szCs w:val="20"/>
                    </w:rPr>
                  </w:pPr>
                  <w:r w:rsidRPr="007D636A">
                    <w:rPr>
                      <w:rFonts w:ascii="Times New Roman" w:hAnsi="Times New Roman"/>
                      <w:sz w:val="20"/>
                      <w:szCs w:val="20"/>
                    </w:rPr>
                    <w:t xml:space="preserve">Terminálna odplata za konkrétny let v konkrétnej terminálnej zóne spoplatňovania sa rovná súčinu </w:t>
                  </w:r>
                  <w:r w:rsidR="00451618">
                    <w:rPr>
                      <w:rFonts w:ascii="Times New Roman" w:hAnsi="Times New Roman"/>
                      <w:sz w:val="20"/>
                      <w:szCs w:val="20"/>
                      <w:lang w:eastAsia="sk-SK"/>
                    </w:rPr>
                    <w:t>terminálnej</w:t>
                  </w:r>
                  <w:r w:rsidR="00451618" w:rsidRPr="007D636A">
                    <w:rPr>
                      <w:rFonts w:ascii="Times New Roman" w:hAnsi="Times New Roman"/>
                      <w:sz w:val="20"/>
                      <w:szCs w:val="20"/>
                    </w:rPr>
                    <w:t xml:space="preserve"> </w:t>
                  </w:r>
                  <w:r w:rsidRPr="007D636A">
                    <w:rPr>
                      <w:rFonts w:ascii="Times New Roman" w:hAnsi="Times New Roman"/>
                      <w:sz w:val="20"/>
                      <w:szCs w:val="20"/>
                    </w:rPr>
                    <w:t xml:space="preserve">jednotkovej sadzby </w:t>
                  </w:r>
                  <w:r w:rsidR="006A582C">
                    <w:rPr>
                      <w:rFonts w:ascii="Times New Roman" w:hAnsi="Times New Roman"/>
                      <w:sz w:val="20"/>
                      <w:szCs w:val="20"/>
                      <w:lang w:eastAsia="sk-SK"/>
                    </w:rPr>
                    <w:t>určenej</w:t>
                  </w:r>
                  <w:r w:rsidRPr="007D636A">
                    <w:rPr>
                      <w:rFonts w:ascii="Times New Roman" w:hAnsi="Times New Roman"/>
                      <w:sz w:val="20"/>
                      <w:szCs w:val="20"/>
                    </w:rPr>
                    <w:t xml:space="preserve"> pre </w:t>
                  </w:r>
                  <w:r w:rsidR="0099679A">
                    <w:rPr>
                      <w:rFonts w:ascii="Times New Roman" w:hAnsi="Times New Roman"/>
                      <w:sz w:val="20"/>
                      <w:szCs w:val="20"/>
                    </w:rPr>
                    <w:t>túto</w:t>
                  </w:r>
                  <w:r w:rsidR="0099679A" w:rsidRPr="007D636A">
                    <w:rPr>
                      <w:rFonts w:ascii="Times New Roman" w:hAnsi="Times New Roman"/>
                      <w:sz w:val="20"/>
                      <w:szCs w:val="20"/>
                    </w:rPr>
                    <w:t xml:space="preserve"> </w:t>
                  </w:r>
                  <w:r w:rsidRPr="007D636A">
                    <w:rPr>
                      <w:rFonts w:ascii="Times New Roman" w:hAnsi="Times New Roman"/>
                      <w:sz w:val="20"/>
                      <w:szCs w:val="20"/>
                    </w:rPr>
                    <w:t xml:space="preserve">terminálnu zónu spoplatňovania a terminálnych jednotiek služieb za </w:t>
                  </w:r>
                  <w:r w:rsidR="0099679A">
                    <w:rPr>
                      <w:rFonts w:ascii="Times New Roman" w:hAnsi="Times New Roman"/>
                      <w:sz w:val="20"/>
                      <w:szCs w:val="20"/>
                    </w:rPr>
                    <w:t>tento</w:t>
                  </w:r>
                  <w:r w:rsidR="0099679A" w:rsidRPr="007D636A">
                    <w:rPr>
                      <w:rFonts w:ascii="Times New Roman" w:hAnsi="Times New Roman"/>
                      <w:sz w:val="20"/>
                      <w:szCs w:val="20"/>
                    </w:rPr>
                    <w:t xml:space="preserve"> </w:t>
                  </w:r>
                  <w:r w:rsidRPr="007D636A">
                    <w:rPr>
                      <w:rFonts w:ascii="Times New Roman" w:hAnsi="Times New Roman"/>
                      <w:sz w:val="20"/>
                      <w:szCs w:val="20"/>
                    </w:rPr>
                    <w:t xml:space="preserve">let. </w:t>
                  </w:r>
                </w:p>
                <w:p w:rsidR="007D636A" w:rsidRPr="007D636A" w:rsidRDefault="007D636A" w:rsidP="00E23BB3">
                  <w:pPr>
                    <w:keepNext/>
                    <w:jc w:val="both"/>
                    <w:rPr>
                      <w:rFonts w:ascii="Times New Roman" w:hAnsi="Times New Roman"/>
                      <w:sz w:val="20"/>
                      <w:szCs w:val="20"/>
                    </w:rPr>
                  </w:pPr>
                  <w:r w:rsidRPr="007D636A">
                    <w:rPr>
                      <w:rFonts w:ascii="Times New Roman" w:hAnsi="Times New Roman"/>
                      <w:sz w:val="20"/>
                      <w:szCs w:val="20"/>
                    </w:rPr>
                    <w:t>Terminálna jednotka služieb sa rovná činiteľu hmotnosti príslušných lietadiel (</w:t>
                  </w:r>
                  <w:proofErr w:type="spellStart"/>
                  <w:r w:rsidRPr="007D636A">
                    <w:rPr>
                      <w:rFonts w:ascii="Times New Roman" w:hAnsi="Times New Roman"/>
                      <w:sz w:val="20"/>
                      <w:szCs w:val="20"/>
                    </w:rPr>
                    <w:t>W</w:t>
                  </w:r>
                  <w:r w:rsidRPr="007D636A">
                    <w:rPr>
                      <w:rFonts w:ascii="Times New Roman" w:hAnsi="Times New Roman"/>
                      <w:sz w:val="20"/>
                      <w:szCs w:val="20"/>
                      <w:vertAlign w:val="subscript"/>
                    </w:rPr>
                    <w:t>f</w:t>
                  </w:r>
                  <w:proofErr w:type="spellEnd"/>
                  <w:r w:rsidRPr="007D636A">
                    <w:rPr>
                      <w:rFonts w:ascii="Times New Roman" w:hAnsi="Times New Roman"/>
                      <w:sz w:val="20"/>
                      <w:szCs w:val="20"/>
                    </w:rPr>
                    <w:t xml:space="preserve">). </w:t>
                  </w:r>
                </w:p>
                <w:p w:rsidR="00D719FF" w:rsidRPr="001778BF" w:rsidRDefault="007D636A" w:rsidP="0099679A">
                  <w:pPr>
                    <w:keepNext/>
                    <w:jc w:val="both"/>
                    <w:rPr>
                      <w:rFonts w:ascii="Times New Roman" w:hAnsi="Times New Roman"/>
                      <w:sz w:val="20"/>
                      <w:szCs w:val="20"/>
                    </w:rPr>
                  </w:pPr>
                  <w:r w:rsidRPr="007D636A">
                    <w:rPr>
                      <w:rFonts w:ascii="Times New Roman" w:hAnsi="Times New Roman"/>
                      <w:sz w:val="20"/>
                      <w:szCs w:val="20"/>
                    </w:rPr>
                    <w:t>Činiteľ hmotnosti (</w:t>
                  </w:r>
                  <w:proofErr w:type="spellStart"/>
                  <w:r w:rsidRPr="007D636A">
                    <w:rPr>
                      <w:rFonts w:ascii="Times New Roman" w:hAnsi="Times New Roman"/>
                      <w:sz w:val="20"/>
                      <w:szCs w:val="20"/>
                    </w:rPr>
                    <w:t>W</w:t>
                  </w:r>
                  <w:r w:rsidRPr="007D636A">
                    <w:rPr>
                      <w:rFonts w:ascii="Times New Roman" w:hAnsi="Times New Roman"/>
                      <w:sz w:val="20"/>
                      <w:szCs w:val="20"/>
                      <w:vertAlign w:val="subscript"/>
                    </w:rPr>
                    <w:t>f</w:t>
                  </w:r>
                  <w:proofErr w:type="spellEnd"/>
                  <w:r w:rsidRPr="007D636A">
                    <w:rPr>
                      <w:rFonts w:ascii="Times New Roman" w:hAnsi="Times New Roman"/>
                      <w:sz w:val="20"/>
                      <w:szCs w:val="20"/>
                    </w:rPr>
                    <w:t xml:space="preserve">) je podiel počtu metrických ton MTOW </w:t>
                  </w:r>
                  <w:r w:rsidR="0099679A">
                    <w:rPr>
                      <w:rFonts w:ascii="Times New Roman" w:hAnsi="Times New Roman"/>
                      <w:sz w:val="20"/>
                      <w:szCs w:val="20"/>
                    </w:rPr>
                    <w:t xml:space="preserve">a </w:t>
                  </w:r>
                  <w:r w:rsidR="0099679A" w:rsidRPr="007D636A">
                    <w:rPr>
                      <w:rFonts w:ascii="Times New Roman" w:hAnsi="Times New Roman"/>
                      <w:sz w:val="20"/>
                      <w:szCs w:val="20"/>
                    </w:rPr>
                    <w:t>čísl</w:t>
                  </w:r>
                  <w:r w:rsidR="0099679A">
                    <w:rPr>
                      <w:rFonts w:ascii="Times New Roman" w:hAnsi="Times New Roman"/>
                      <w:sz w:val="20"/>
                      <w:szCs w:val="20"/>
                    </w:rPr>
                    <w:t>a</w:t>
                  </w:r>
                  <w:r w:rsidR="0099679A" w:rsidRPr="007D636A">
                    <w:rPr>
                      <w:rFonts w:ascii="Times New Roman" w:hAnsi="Times New Roman"/>
                      <w:sz w:val="20"/>
                      <w:szCs w:val="20"/>
                    </w:rPr>
                    <w:t xml:space="preserve"> </w:t>
                  </w:r>
                  <w:r w:rsidR="0099679A">
                    <w:rPr>
                      <w:rFonts w:ascii="Times New Roman" w:hAnsi="Times New Roman"/>
                      <w:sz w:val="20"/>
                      <w:szCs w:val="20"/>
                    </w:rPr>
                    <w:t>50</w:t>
                  </w:r>
                  <w:r w:rsidRPr="007D636A">
                    <w:rPr>
                      <w:rFonts w:ascii="Times New Roman" w:hAnsi="Times New Roman"/>
                      <w:sz w:val="20"/>
                      <w:szCs w:val="20"/>
                    </w:rPr>
                    <w:t>, umocnený na 0,9</w:t>
                  </w:r>
                  <w:r w:rsidR="0099679A">
                    <w:rPr>
                      <w:rFonts w:ascii="Times New Roman" w:hAnsi="Times New Roman"/>
                      <w:sz w:val="20"/>
                      <w:szCs w:val="20"/>
                      <w:lang w:eastAsia="sk-SK"/>
                    </w:rPr>
                    <w:t xml:space="preserve"> a zaokrúhlený na dve desatinné miesta</w:t>
                  </w:r>
                  <w:r w:rsidRPr="007D636A">
                    <w:rPr>
                      <w:rFonts w:ascii="Times New Roman" w:hAnsi="Times New Roman"/>
                      <w:sz w:val="20"/>
                      <w:szCs w:val="20"/>
                    </w:rPr>
                    <w:t>.</w:t>
                  </w:r>
                </w:p>
              </w:tc>
            </w:tr>
          </w:tbl>
          <w:p w:rsidR="00385F5D" w:rsidRPr="00D719FF" w:rsidRDefault="00385F5D" w:rsidP="00E23BB3">
            <w:pPr>
              <w:autoSpaceDE w:val="0"/>
              <w:autoSpaceDN w:val="0"/>
              <w:adjustRightInd w:val="0"/>
              <w:jc w:val="both"/>
              <w:rPr>
                <w:rFonts w:eastAsia="Calibri"/>
                <w:sz w:val="20"/>
                <w:szCs w:val="20"/>
                <w:lang w:eastAsia="en-US"/>
              </w:rPr>
            </w:pPr>
          </w:p>
          <w:p w:rsidR="00A16467" w:rsidRDefault="00A16467" w:rsidP="00E23BB3">
            <w:pPr>
              <w:autoSpaceDE w:val="0"/>
              <w:autoSpaceDN w:val="0"/>
              <w:adjustRightInd w:val="0"/>
              <w:jc w:val="both"/>
              <w:rPr>
                <w:rFonts w:eastAsia="Calibri"/>
                <w:sz w:val="20"/>
                <w:szCs w:val="20"/>
                <w:lang w:eastAsia="en-US"/>
              </w:rPr>
            </w:pPr>
            <w:r w:rsidRPr="000D603A">
              <w:rPr>
                <w:rFonts w:eastAsia="Calibri"/>
                <w:sz w:val="20"/>
                <w:szCs w:val="20"/>
                <w:lang w:eastAsia="en-US"/>
              </w:rPr>
              <w:t xml:space="preserve">Pri riešení systému predkladateľ </w:t>
            </w:r>
            <w:r>
              <w:rPr>
                <w:rFonts w:eastAsia="Calibri"/>
                <w:sz w:val="20"/>
                <w:szCs w:val="20"/>
                <w:lang w:eastAsia="en-US"/>
              </w:rPr>
              <w:t>posudzoval aj rôzne varianty terminálnych zón spoplatňovania.</w:t>
            </w:r>
          </w:p>
          <w:p w:rsidR="00A16467" w:rsidRDefault="00A16467" w:rsidP="00E23BB3">
            <w:pPr>
              <w:autoSpaceDE w:val="0"/>
              <w:autoSpaceDN w:val="0"/>
              <w:adjustRightInd w:val="0"/>
              <w:jc w:val="both"/>
              <w:rPr>
                <w:rFonts w:eastAsia="Calibri"/>
                <w:sz w:val="20"/>
                <w:szCs w:val="20"/>
                <w:lang w:eastAsia="en-US"/>
              </w:rPr>
            </w:pPr>
          </w:p>
          <w:tbl>
            <w:tblPr>
              <w:tblStyle w:val="Mriekatabuky"/>
              <w:tblW w:w="935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853"/>
              <w:gridCol w:w="2547"/>
              <w:gridCol w:w="5956"/>
            </w:tblGrid>
            <w:tr w:rsidR="00D719FF" w:rsidRPr="00112DA4" w:rsidTr="00D719FF">
              <w:trPr>
                <w:trHeight w:val="340"/>
                <w:jc w:val="center"/>
              </w:trPr>
              <w:tc>
                <w:tcPr>
                  <w:tcW w:w="877" w:type="dxa"/>
                  <w:vAlign w:val="center"/>
                </w:tcPr>
                <w:p w:rsidR="00D719FF" w:rsidRPr="00112DA4" w:rsidRDefault="00D719FF" w:rsidP="00E23BB3">
                  <w:pPr>
                    <w:keepNext/>
                    <w:jc w:val="center"/>
                    <w:rPr>
                      <w:rFonts w:ascii="Times New Roman" w:hAnsi="Times New Roman"/>
                      <w:b/>
                      <w:sz w:val="20"/>
                      <w:szCs w:val="20"/>
                      <w:lang w:eastAsia="sk-SK"/>
                    </w:rPr>
                  </w:pPr>
                  <w:r w:rsidRPr="00112DA4">
                    <w:rPr>
                      <w:rFonts w:ascii="Times New Roman" w:hAnsi="Times New Roman"/>
                      <w:b/>
                      <w:sz w:val="20"/>
                      <w:szCs w:val="20"/>
                      <w:lang w:eastAsia="sk-SK"/>
                    </w:rPr>
                    <w:t>variant</w:t>
                  </w:r>
                </w:p>
              </w:tc>
              <w:tc>
                <w:tcPr>
                  <w:tcW w:w="2624" w:type="dxa"/>
                  <w:vAlign w:val="center"/>
                </w:tcPr>
                <w:p w:rsidR="00D719FF" w:rsidRPr="00112DA4" w:rsidRDefault="00D719FF" w:rsidP="00E23BB3">
                  <w:pPr>
                    <w:keepNext/>
                    <w:jc w:val="center"/>
                    <w:rPr>
                      <w:rFonts w:ascii="Times New Roman" w:hAnsi="Times New Roman"/>
                      <w:b/>
                      <w:sz w:val="20"/>
                      <w:szCs w:val="20"/>
                      <w:lang w:eastAsia="sk-SK"/>
                    </w:rPr>
                  </w:pPr>
                  <w:r w:rsidRPr="00112DA4">
                    <w:rPr>
                      <w:rFonts w:ascii="Times New Roman" w:hAnsi="Times New Roman"/>
                      <w:b/>
                      <w:sz w:val="20"/>
                      <w:szCs w:val="20"/>
                      <w:lang w:eastAsia="sk-SK"/>
                    </w:rPr>
                    <w:t>označenie terminálnej zóny</w:t>
                  </w:r>
                </w:p>
              </w:tc>
              <w:tc>
                <w:tcPr>
                  <w:tcW w:w="6138" w:type="dxa"/>
                  <w:vAlign w:val="center"/>
                </w:tcPr>
                <w:p w:rsidR="00D719FF" w:rsidRPr="00112DA4" w:rsidRDefault="001778BF" w:rsidP="00E23BB3">
                  <w:pPr>
                    <w:keepNext/>
                    <w:jc w:val="center"/>
                    <w:rPr>
                      <w:rFonts w:ascii="Times New Roman" w:hAnsi="Times New Roman"/>
                      <w:b/>
                      <w:sz w:val="20"/>
                      <w:szCs w:val="20"/>
                      <w:lang w:eastAsia="sk-SK"/>
                    </w:rPr>
                  </w:pPr>
                  <w:r>
                    <w:rPr>
                      <w:rFonts w:ascii="Times New Roman" w:hAnsi="Times New Roman"/>
                      <w:b/>
                      <w:sz w:val="20"/>
                      <w:szCs w:val="20"/>
                      <w:lang w:eastAsia="sk-SK"/>
                    </w:rPr>
                    <w:t>l</w:t>
                  </w:r>
                  <w:r w:rsidR="00D719FF">
                    <w:rPr>
                      <w:rFonts w:ascii="Times New Roman" w:hAnsi="Times New Roman"/>
                      <w:b/>
                      <w:sz w:val="20"/>
                      <w:szCs w:val="20"/>
                      <w:lang w:eastAsia="sk-SK"/>
                    </w:rPr>
                    <w:t xml:space="preserve">etisko prevádzkované letiskovou spoločnosťou </w:t>
                  </w:r>
                  <w:r w:rsidR="00D719FF" w:rsidRPr="00112DA4">
                    <w:rPr>
                      <w:rFonts w:ascii="Times New Roman" w:hAnsi="Times New Roman"/>
                      <w:b/>
                      <w:sz w:val="20"/>
                      <w:szCs w:val="20"/>
                      <w:lang w:eastAsia="sk-SK"/>
                    </w:rPr>
                    <w:t>patriace do príslušnej terminálnej zóny</w:t>
                  </w:r>
                </w:p>
              </w:tc>
            </w:tr>
            <w:tr w:rsidR="00D719FF" w:rsidRPr="00112DA4" w:rsidTr="005A16C6">
              <w:trPr>
                <w:jc w:val="center"/>
              </w:trPr>
              <w:tc>
                <w:tcPr>
                  <w:tcW w:w="877" w:type="dxa"/>
                  <w:vMerge w:val="restart"/>
                  <w:vAlign w:val="center"/>
                </w:tcPr>
                <w:p w:rsidR="00D719FF" w:rsidRPr="00112DA4" w:rsidRDefault="00D719FF" w:rsidP="00E23BB3">
                  <w:pPr>
                    <w:keepNext/>
                    <w:jc w:val="center"/>
                    <w:rPr>
                      <w:rFonts w:ascii="Times New Roman" w:hAnsi="Times New Roman"/>
                      <w:sz w:val="20"/>
                      <w:szCs w:val="20"/>
                      <w:lang w:eastAsia="sk-SK"/>
                    </w:rPr>
                  </w:pPr>
                  <w:r w:rsidRPr="00112DA4">
                    <w:rPr>
                      <w:rFonts w:ascii="Times New Roman" w:hAnsi="Times New Roman"/>
                      <w:sz w:val="20"/>
                      <w:szCs w:val="20"/>
                      <w:lang w:eastAsia="sk-SK"/>
                    </w:rPr>
                    <w:t>1</w:t>
                  </w:r>
                </w:p>
              </w:tc>
              <w:tc>
                <w:tcPr>
                  <w:tcW w:w="2624" w:type="dxa"/>
                  <w:tcBorders>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1</w:t>
                  </w:r>
                </w:p>
              </w:tc>
              <w:tc>
                <w:tcPr>
                  <w:tcW w:w="6138" w:type="dxa"/>
                  <w:tcBorders>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Letisko M. R. Štefánika Bratislava</w:t>
                  </w:r>
                </w:p>
              </w:tc>
            </w:tr>
            <w:tr w:rsidR="00D719FF" w:rsidRPr="00112DA4" w:rsidTr="005A16C6">
              <w:trPr>
                <w:jc w:val="center"/>
              </w:trPr>
              <w:tc>
                <w:tcPr>
                  <w:tcW w:w="877" w:type="dxa"/>
                  <w:vMerge/>
                  <w:vAlign w:val="center"/>
                </w:tcPr>
                <w:p w:rsidR="00D719FF" w:rsidRPr="00112DA4" w:rsidRDefault="00D719FF" w:rsidP="00E23BB3">
                  <w:pPr>
                    <w:keepNext/>
                    <w:jc w:val="center"/>
                    <w:rPr>
                      <w:rFonts w:ascii="Times New Roman" w:hAnsi="Times New Roman"/>
                      <w:sz w:val="20"/>
                      <w:szCs w:val="20"/>
                      <w:lang w:eastAsia="sk-SK"/>
                    </w:rPr>
                  </w:pPr>
                </w:p>
              </w:tc>
              <w:tc>
                <w:tcPr>
                  <w:tcW w:w="2624" w:type="dxa"/>
                  <w:tcBorders>
                    <w:top w:val="dashed" w:sz="4" w:space="0" w:color="A6A6A6" w:themeColor="background1" w:themeShade="A6"/>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2</w:t>
                  </w:r>
                </w:p>
              </w:tc>
              <w:tc>
                <w:tcPr>
                  <w:tcW w:w="6138" w:type="dxa"/>
                  <w:tcBorders>
                    <w:top w:val="dashed" w:sz="4" w:space="0" w:color="A6A6A6" w:themeColor="background1" w:themeShade="A6"/>
                    <w:bottom w:val="dashed" w:sz="4" w:space="0" w:color="A6A6A6" w:themeColor="background1" w:themeShade="A6"/>
                  </w:tcBorders>
                </w:tcPr>
                <w:p w:rsidR="00D719FF" w:rsidRPr="00112DA4" w:rsidRDefault="00D719FF" w:rsidP="000E3405">
                  <w:pPr>
                    <w:keepNext/>
                    <w:rPr>
                      <w:rFonts w:ascii="Times New Roman" w:hAnsi="Times New Roman"/>
                      <w:sz w:val="20"/>
                      <w:szCs w:val="20"/>
                      <w:lang w:eastAsia="sk-SK"/>
                    </w:rPr>
                  </w:pPr>
                  <w:r w:rsidRPr="00112DA4">
                    <w:rPr>
                      <w:rFonts w:ascii="Times New Roman" w:hAnsi="Times New Roman"/>
                      <w:sz w:val="20"/>
                      <w:szCs w:val="20"/>
                      <w:lang w:eastAsia="sk-SK"/>
                    </w:rPr>
                    <w:t>Letisko Košice, Letisko Piešťany, Letisko Poprad </w:t>
                  </w:r>
                  <w:r w:rsidR="000E3405">
                    <w:rPr>
                      <w:rFonts w:ascii="Times New Roman" w:hAnsi="Times New Roman"/>
                      <w:sz w:val="20"/>
                      <w:szCs w:val="20"/>
                      <w:lang w:eastAsia="sk-SK"/>
                    </w:rPr>
                    <w:t>-</w:t>
                  </w:r>
                  <w:r w:rsidRPr="00112DA4">
                    <w:rPr>
                      <w:rFonts w:ascii="Times New Roman" w:hAnsi="Times New Roman"/>
                      <w:sz w:val="20"/>
                      <w:szCs w:val="20"/>
                      <w:lang w:eastAsia="sk-SK"/>
                    </w:rPr>
                    <w:t> Tatry, Letisko Žilina</w:t>
                  </w:r>
                </w:p>
              </w:tc>
            </w:tr>
            <w:tr w:rsidR="00D719FF" w:rsidRPr="00112DA4" w:rsidTr="005A16C6">
              <w:trPr>
                <w:jc w:val="center"/>
              </w:trPr>
              <w:tc>
                <w:tcPr>
                  <w:tcW w:w="877" w:type="dxa"/>
                  <w:vMerge/>
                  <w:vAlign w:val="center"/>
                </w:tcPr>
                <w:p w:rsidR="00D719FF" w:rsidRPr="00112DA4" w:rsidRDefault="00D719FF" w:rsidP="00E23BB3">
                  <w:pPr>
                    <w:keepNext/>
                    <w:jc w:val="center"/>
                    <w:rPr>
                      <w:rFonts w:ascii="Times New Roman" w:hAnsi="Times New Roman"/>
                      <w:sz w:val="20"/>
                      <w:szCs w:val="20"/>
                      <w:lang w:eastAsia="sk-SK"/>
                    </w:rPr>
                  </w:pPr>
                </w:p>
              </w:tc>
              <w:tc>
                <w:tcPr>
                  <w:tcW w:w="2624" w:type="dxa"/>
                  <w:tcBorders>
                    <w:top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3</w:t>
                  </w:r>
                </w:p>
              </w:tc>
              <w:tc>
                <w:tcPr>
                  <w:tcW w:w="6138" w:type="dxa"/>
                  <w:tcBorders>
                    <w:top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Letisko Sliač</w:t>
                  </w:r>
                </w:p>
              </w:tc>
            </w:tr>
            <w:tr w:rsidR="00D719FF" w:rsidRPr="00112DA4" w:rsidTr="005A16C6">
              <w:trPr>
                <w:jc w:val="center"/>
              </w:trPr>
              <w:tc>
                <w:tcPr>
                  <w:tcW w:w="877" w:type="dxa"/>
                  <w:vMerge w:val="restart"/>
                  <w:vAlign w:val="center"/>
                </w:tcPr>
                <w:p w:rsidR="00D719FF" w:rsidRPr="00112DA4" w:rsidRDefault="00D719FF" w:rsidP="00E23BB3">
                  <w:pPr>
                    <w:keepNext/>
                    <w:jc w:val="center"/>
                    <w:rPr>
                      <w:rFonts w:ascii="Times New Roman" w:hAnsi="Times New Roman"/>
                      <w:sz w:val="20"/>
                      <w:szCs w:val="20"/>
                      <w:lang w:eastAsia="sk-SK"/>
                    </w:rPr>
                  </w:pPr>
                  <w:r w:rsidRPr="00112DA4">
                    <w:rPr>
                      <w:rFonts w:ascii="Times New Roman" w:hAnsi="Times New Roman"/>
                      <w:sz w:val="20"/>
                      <w:szCs w:val="20"/>
                      <w:lang w:eastAsia="sk-SK"/>
                    </w:rPr>
                    <w:t>2</w:t>
                  </w:r>
                </w:p>
              </w:tc>
              <w:tc>
                <w:tcPr>
                  <w:tcW w:w="2624" w:type="dxa"/>
                  <w:tcBorders>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1</w:t>
                  </w:r>
                </w:p>
              </w:tc>
              <w:tc>
                <w:tcPr>
                  <w:tcW w:w="6138" w:type="dxa"/>
                  <w:tcBorders>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Letisko M. R. Štefánika Bratislava, Letisko Košice</w:t>
                  </w:r>
                </w:p>
              </w:tc>
            </w:tr>
            <w:tr w:rsidR="00D719FF" w:rsidRPr="00112DA4" w:rsidTr="005A16C6">
              <w:trPr>
                <w:jc w:val="center"/>
              </w:trPr>
              <w:tc>
                <w:tcPr>
                  <w:tcW w:w="877" w:type="dxa"/>
                  <w:vMerge/>
                  <w:vAlign w:val="center"/>
                </w:tcPr>
                <w:p w:rsidR="00D719FF" w:rsidRPr="00112DA4" w:rsidRDefault="00D719FF" w:rsidP="00E23BB3">
                  <w:pPr>
                    <w:keepNext/>
                    <w:jc w:val="center"/>
                    <w:rPr>
                      <w:rFonts w:ascii="Times New Roman" w:hAnsi="Times New Roman"/>
                      <w:sz w:val="20"/>
                      <w:szCs w:val="20"/>
                      <w:lang w:eastAsia="sk-SK"/>
                    </w:rPr>
                  </w:pPr>
                </w:p>
              </w:tc>
              <w:tc>
                <w:tcPr>
                  <w:tcW w:w="2624" w:type="dxa"/>
                  <w:tcBorders>
                    <w:top w:val="dashed" w:sz="4" w:space="0" w:color="A6A6A6" w:themeColor="background1" w:themeShade="A6"/>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2</w:t>
                  </w:r>
                </w:p>
              </w:tc>
              <w:tc>
                <w:tcPr>
                  <w:tcW w:w="6138" w:type="dxa"/>
                  <w:tcBorders>
                    <w:top w:val="dashed" w:sz="4" w:space="0" w:color="A6A6A6" w:themeColor="background1" w:themeShade="A6"/>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Letisko Piešťany, Letisko Poprad - Tatry a Letisko Žilina</w:t>
                  </w:r>
                </w:p>
              </w:tc>
            </w:tr>
            <w:tr w:rsidR="00D719FF" w:rsidRPr="00112DA4" w:rsidTr="005A16C6">
              <w:trPr>
                <w:jc w:val="center"/>
              </w:trPr>
              <w:tc>
                <w:tcPr>
                  <w:tcW w:w="877" w:type="dxa"/>
                  <w:vMerge/>
                  <w:vAlign w:val="center"/>
                </w:tcPr>
                <w:p w:rsidR="00D719FF" w:rsidRPr="00112DA4" w:rsidRDefault="00D719FF" w:rsidP="00E23BB3">
                  <w:pPr>
                    <w:keepNext/>
                    <w:jc w:val="center"/>
                    <w:rPr>
                      <w:rFonts w:ascii="Times New Roman" w:hAnsi="Times New Roman"/>
                      <w:sz w:val="20"/>
                      <w:szCs w:val="20"/>
                      <w:lang w:eastAsia="sk-SK"/>
                    </w:rPr>
                  </w:pPr>
                </w:p>
              </w:tc>
              <w:tc>
                <w:tcPr>
                  <w:tcW w:w="2624" w:type="dxa"/>
                  <w:tcBorders>
                    <w:top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3</w:t>
                  </w:r>
                </w:p>
              </w:tc>
              <w:tc>
                <w:tcPr>
                  <w:tcW w:w="6138" w:type="dxa"/>
                  <w:tcBorders>
                    <w:top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Letisko Sliač</w:t>
                  </w:r>
                </w:p>
              </w:tc>
            </w:tr>
            <w:tr w:rsidR="00D719FF" w:rsidRPr="00112DA4" w:rsidTr="005A16C6">
              <w:trPr>
                <w:jc w:val="center"/>
              </w:trPr>
              <w:tc>
                <w:tcPr>
                  <w:tcW w:w="877" w:type="dxa"/>
                  <w:vMerge w:val="restart"/>
                  <w:vAlign w:val="center"/>
                </w:tcPr>
                <w:p w:rsidR="00D719FF" w:rsidRPr="00112DA4" w:rsidRDefault="00D719FF" w:rsidP="00E23BB3">
                  <w:pPr>
                    <w:keepNext/>
                    <w:jc w:val="center"/>
                    <w:rPr>
                      <w:rFonts w:ascii="Times New Roman" w:hAnsi="Times New Roman"/>
                      <w:sz w:val="20"/>
                      <w:szCs w:val="20"/>
                      <w:lang w:eastAsia="sk-SK"/>
                    </w:rPr>
                  </w:pPr>
                  <w:r w:rsidRPr="00112DA4">
                    <w:rPr>
                      <w:rFonts w:ascii="Times New Roman" w:hAnsi="Times New Roman"/>
                      <w:sz w:val="20"/>
                      <w:szCs w:val="20"/>
                      <w:lang w:eastAsia="sk-SK"/>
                    </w:rPr>
                    <w:t>3</w:t>
                  </w:r>
                </w:p>
              </w:tc>
              <w:tc>
                <w:tcPr>
                  <w:tcW w:w="2624" w:type="dxa"/>
                  <w:tcBorders>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1</w:t>
                  </w:r>
                </w:p>
              </w:tc>
              <w:tc>
                <w:tcPr>
                  <w:tcW w:w="6138" w:type="dxa"/>
                  <w:tcBorders>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Letisko M. R. Štefánika Bratislava, Letisko Košice, Letisko Poprad - Tatry</w:t>
                  </w:r>
                </w:p>
              </w:tc>
            </w:tr>
            <w:tr w:rsidR="00D719FF" w:rsidRPr="00112DA4" w:rsidTr="005A16C6">
              <w:trPr>
                <w:jc w:val="center"/>
              </w:trPr>
              <w:tc>
                <w:tcPr>
                  <w:tcW w:w="877" w:type="dxa"/>
                  <w:vMerge/>
                  <w:vAlign w:val="center"/>
                </w:tcPr>
                <w:p w:rsidR="00D719FF" w:rsidRPr="00112DA4" w:rsidRDefault="00D719FF" w:rsidP="00E23BB3">
                  <w:pPr>
                    <w:keepNext/>
                    <w:jc w:val="center"/>
                    <w:rPr>
                      <w:rFonts w:ascii="Times New Roman" w:hAnsi="Times New Roman"/>
                      <w:sz w:val="20"/>
                      <w:szCs w:val="20"/>
                      <w:lang w:eastAsia="sk-SK"/>
                    </w:rPr>
                  </w:pPr>
                </w:p>
              </w:tc>
              <w:tc>
                <w:tcPr>
                  <w:tcW w:w="2624" w:type="dxa"/>
                  <w:tcBorders>
                    <w:top w:val="dashed" w:sz="4" w:space="0" w:color="A6A6A6" w:themeColor="background1" w:themeShade="A6"/>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2</w:t>
                  </w:r>
                </w:p>
              </w:tc>
              <w:tc>
                <w:tcPr>
                  <w:tcW w:w="6138" w:type="dxa"/>
                  <w:tcBorders>
                    <w:top w:val="dashed" w:sz="4" w:space="0" w:color="A6A6A6" w:themeColor="background1" w:themeShade="A6"/>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Letisko Piešťany, a Letisko Žilina</w:t>
                  </w:r>
                </w:p>
              </w:tc>
            </w:tr>
            <w:tr w:rsidR="00D719FF" w:rsidRPr="00112DA4" w:rsidTr="005A16C6">
              <w:trPr>
                <w:jc w:val="center"/>
              </w:trPr>
              <w:tc>
                <w:tcPr>
                  <w:tcW w:w="877" w:type="dxa"/>
                  <w:vMerge/>
                  <w:vAlign w:val="center"/>
                </w:tcPr>
                <w:p w:rsidR="00D719FF" w:rsidRPr="00112DA4" w:rsidRDefault="00D719FF" w:rsidP="00E23BB3">
                  <w:pPr>
                    <w:keepNext/>
                    <w:jc w:val="center"/>
                    <w:rPr>
                      <w:rFonts w:ascii="Times New Roman" w:hAnsi="Times New Roman"/>
                      <w:sz w:val="20"/>
                      <w:szCs w:val="20"/>
                      <w:lang w:eastAsia="sk-SK"/>
                    </w:rPr>
                  </w:pPr>
                </w:p>
              </w:tc>
              <w:tc>
                <w:tcPr>
                  <w:tcW w:w="2624" w:type="dxa"/>
                  <w:tcBorders>
                    <w:top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3</w:t>
                  </w:r>
                </w:p>
              </w:tc>
              <w:tc>
                <w:tcPr>
                  <w:tcW w:w="6138" w:type="dxa"/>
                  <w:tcBorders>
                    <w:top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Letisko Sliač</w:t>
                  </w:r>
                </w:p>
              </w:tc>
            </w:tr>
            <w:tr w:rsidR="00D719FF" w:rsidRPr="00112DA4" w:rsidTr="005A16C6">
              <w:trPr>
                <w:jc w:val="center"/>
              </w:trPr>
              <w:tc>
                <w:tcPr>
                  <w:tcW w:w="877" w:type="dxa"/>
                  <w:vMerge w:val="restart"/>
                  <w:vAlign w:val="center"/>
                </w:tcPr>
                <w:p w:rsidR="00D719FF" w:rsidRPr="00112DA4" w:rsidRDefault="00D719FF" w:rsidP="00E23BB3">
                  <w:pPr>
                    <w:keepNext/>
                    <w:jc w:val="center"/>
                    <w:rPr>
                      <w:rFonts w:ascii="Times New Roman" w:hAnsi="Times New Roman"/>
                      <w:sz w:val="20"/>
                      <w:szCs w:val="20"/>
                      <w:lang w:eastAsia="sk-SK"/>
                    </w:rPr>
                  </w:pPr>
                  <w:r w:rsidRPr="00112DA4">
                    <w:rPr>
                      <w:rFonts w:ascii="Times New Roman" w:hAnsi="Times New Roman"/>
                      <w:sz w:val="20"/>
                      <w:szCs w:val="20"/>
                      <w:lang w:eastAsia="sk-SK"/>
                    </w:rPr>
                    <w:t>4</w:t>
                  </w:r>
                </w:p>
              </w:tc>
              <w:tc>
                <w:tcPr>
                  <w:tcW w:w="2624" w:type="dxa"/>
                  <w:tcBorders>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1</w:t>
                  </w:r>
                </w:p>
              </w:tc>
              <w:tc>
                <w:tcPr>
                  <w:tcW w:w="6138" w:type="dxa"/>
                  <w:tcBorders>
                    <w:bottom w:val="dashed" w:sz="4" w:space="0" w:color="A6A6A6" w:themeColor="background1" w:themeShade="A6"/>
                  </w:tcBorders>
                </w:tcPr>
                <w:p w:rsidR="00D719FF" w:rsidRPr="00112DA4" w:rsidRDefault="00D719FF" w:rsidP="000E3405">
                  <w:pPr>
                    <w:keepNext/>
                    <w:rPr>
                      <w:rFonts w:ascii="Times New Roman" w:hAnsi="Times New Roman"/>
                      <w:sz w:val="20"/>
                      <w:szCs w:val="20"/>
                      <w:lang w:eastAsia="sk-SK"/>
                    </w:rPr>
                  </w:pPr>
                  <w:r w:rsidRPr="00112DA4">
                    <w:rPr>
                      <w:rFonts w:ascii="Times New Roman" w:hAnsi="Times New Roman"/>
                      <w:sz w:val="20"/>
                      <w:szCs w:val="20"/>
                      <w:lang w:eastAsia="sk-SK"/>
                    </w:rPr>
                    <w:t>Letisko M. R. Štefánika Bratislava, Letisko Košice, Letisko Piešťany, Letisko Poprad </w:t>
                  </w:r>
                  <w:r w:rsidR="000E3405">
                    <w:rPr>
                      <w:rFonts w:ascii="Times New Roman" w:hAnsi="Times New Roman"/>
                      <w:sz w:val="20"/>
                      <w:szCs w:val="20"/>
                      <w:lang w:eastAsia="sk-SK"/>
                    </w:rPr>
                    <w:t>-</w:t>
                  </w:r>
                  <w:r w:rsidR="000E3405" w:rsidRPr="00112DA4">
                    <w:rPr>
                      <w:rFonts w:ascii="Times New Roman" w:hAnsi="Times New Roman"/>
                      <w:sz w:val="20"/>
                      <w:szCs w:val="20"/>
                      <w:lang w:eastAsia="sk-SK"/>
                    </w:rPr>
                    <w:t> </w:t>
                  </w:r>
                  <w:r w:rsidRPr="00112DA4">
                    <w:rPr>
                      <w:rFonts w:ascii="Times New Roman" w:hAnsi="Times New Roman"/>
                      <w:sz w:val="20"/>
                      <w:szCs w:val="20"/>
                      <w:lang w:eastAsia="sk-SK"/>
                    </w:rPr>
                    <w:t>Tatry, Letisko Žilina</w:t>
                  </w:r>
                </w:p>
              </w:tc>
            </w:tr>
            <w:tr w:rsidR="00D719FF" w:rsidRPr="00112DA4" w:rsidTr="005A16C6">
              <w:trPr>
                <w:jc w:val="center"/>
              </w:trPr>
              <w:tc>
                <w:tcPr>
                  <w:tcW w:w="877" w:type="dxa"/>
                  <w:vMerge/>
                  <w:vAlign w:val="center"/>
                </w:tcPr>
                <w:p w:rsidR="00D719FF" w:rsidRPr="00112DA4" w:rsidRDefault="00D719FF" w:rsidP="00E23BB3">
                  <w:pPr>
                    <w:jc w:val="center"/>
                    <w:rPr>
                      <w:rFonts w:ascii="Times New Roman" w:hAnsi="Times New Roman"/>
                      <w:sz w:val="20"/>
                      <w:szCs w:val="20"/>
                      <w:lang w:eastAsia="sk-SK"/>
                    </w:rPr>
                  </w:pPr>
                </w:p>
              </w:tc>
              <w:tc>
                <w:tcPr>
                  <w:tcW w:w="2624" w:type="dxa"/>
                  <w:tcBorders>
                    <w:top w:val="dashed" w:sz="4" w:space="0" w:color="A6A6A6" w:themeColor="background1" w:themeShade="A6"/>
                  </w:tcBorders>
                </w:tcPr>
                <w:p w:rsidR="00D719FF" w:rsidRPr="00112DA4" w:rsidRDefault="00D719FF" w:rsidP="00E23BB3">
                  <w:pPr>
                    <w:rPr>
                      <w:rFonts w:ascii="Times New Roman" w:hAnsi="Times New Roman"/>
                      <w:sz w:val="20"/>
                      <w:szCs w:val="20"/>
                      <w:lang w:eastAsia="sk-SK"/>
                    </w:rPr>
                  </w:pPr>
                  <w:r w:rsidRPr="00112DA4">
                    <w:rPr>
                      <w:rFonts w:ascii="Times New Roman" w:hAnsi="Times New Roman"/>
                      <w:sz w:val="20"/>
                      <w:szCs w:val="20"/>
                      <w:lang w:eastAsia="sk-SK"/>
                    </w:rPr>
                    <w:t>terminálna zóna č. 2</w:t>
                  </w:r>
                </w:p>
              </w:tc>
              <w:tc>
                <w:tcPr>
                  <w:tcW w:w="6138" w:type="dxa"/>
                  <w:tcBorders>
                    <w:top w:val="dashed" w:sz="4" w:space="0" w:color="A6A6A6" w:themeColor="background1" w:themeShade="A6"/>
                  </w:tcBorders>
                </w:tcPr>
                <w:p w:rsidR="00D719FF" w:rsidRPr="00112DA4" w:rsidRDefault="00D719FF" w:rsidP="00E23BB3">
                  <w:pPr>
                    <w:rPr>
                      <w:rFonts w:ascii="Times New Roman" w:hAnsi="Times New Roman"/>
                      <w:sz w:val="20"/>
                      <w:szCs w:val="20"/>
                      <w:lang w:eastAsia="sk-SK"/>
                    </w:rPr>
                  </w:pPr>
                  <w:r w:rsidRPr="00112DA4">
                    <w:rPr>
                      <w:rFonts w:ascii="Times New Roman" w:hAnsi="Times New Roman"/>
                      <w:sz w:val="20"/>
                      <w:szCs w:val="20"/>
                      <w:lang w:eastAsia="sk-SK"/>
                    </w:rPr>
                    <w:t>Letisko Sliač</w:t>
                  </w:r>
                </w:p>
              </w:tc>
            </w:tr>
            <w:tr w:rsidR="00D719FF" w:rsidRPr="00112DA4" w:rsidTr="005A16C6">
              <w:trPr>
                <w:jc w:val="center"/>
              </w:trPr>
              <w:tc>
                <w:tcPr>
                  <w:tcW w:w="877" w:type="dxa"/>
                  <w:vMerge w:val="restart"/>
                  <w:vAlign w:val="center"/>
                </w:tcPr>
                <w:p w:rsidR="00D719FF" w:rsidRPr="00112DA4" w:rsidRDefault="00D719FF" w:rsidP="00E23BB3">
                  <w:pPr>
                    <w:jc w:val="center"/>
                    <w:rPr>
                      <w:rFonts w:ascii="Times New Roman" w:hAnsi="Times New Roman"/>
                      <w:sz w:val="20"/>
                      <w:szCs w:val="20"/>
                      <w:lang w:eastAsia="sk-SK"/>
                    </w:rPr>
                  </w:pPr>
                  <w:r w:rsidRPr="00112DA4">
                    <w:rPr>
                      <w:rFonts w:ascii="Times New Roman" w:hAnsi="Times New Roman"/>
                      <w:sz w:val="20"/>
                      <w:szCs w:val="20"/>
                      <w:lang w:eastAsia="sk-SK"/>
                    </w:rPr>
                    <w:t>5</w:t>
                  </w:r>
                </w:p>
              </w:tc>
              <w:tc>
                <w:tcPr>
                  <w:tcW w:w="2624" w:type="dxa"/>
                  <w:tcBorders>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1</w:t>
                  </w:r>
                </w:p>
              </w:tc>
              <w:tc>
                <w:tcPr>
                  <w:tcW w:w="6138" w:type="dxa"/>
                  <w:tcBorders>
                    <w:bottom w:val="dashed" w:sz="4" w:space="0" w:color="A6A6A6" w:themeColor="background1" w:themeShade="A6"/>
                  </w:tcBorders>
                </w:tcPr>
                <w:p w:rsidR="00D719FF" w:rsidRPr="00112DA4" w:rsidRDefault="00D719FF" w:rsidP="00E23BB3">
                  <w:pPr>
                    <w:rPr>
                      <w:rFonts w:ascii="Times New Roman" w:hAnsi="Times New Roman"/>
                      <w:sz w:val="20"/>
                      <w:szCs w:val="20"/>
                      <w:lang w:eastAsia="sk-SK"/>
                    </w:rPr>
                  </w:pPr>
                  <w:r w:rsidRPr="00112DA4">
                    <w:rPr>
                      <w:rFonts w:ascii="Times New Roman" w:hAnsi="Times New Roman"/>
                      <w:sz w:val="20"/>
                      <w:szCs w:val="20"/>
                      <w:lang w:eastAsia="sk-SK"/>
                    </w:rPr>
                    <w:t>Letisko M. R. Štefánika Bratislava</w:t>
                  </w:r>
                </w:p>
              </w:tc>
            </w:tr>
            <w:tr w:rsidR="00D719FF" w:rsidRPr="00112DA4" w:rsidTr="005A16C6">
              <w:trPr>
                <w:jc w:val="center"/>
              </w:trPr>
              <w:tc>
                <w:tcPr>
                  <w:tcW w:w="877" w:type="dxa"/>
                  <w:vMerge/>
                </w:tcPr>
                <w:p w:rsidR="00D719FF" w:rsidRPr="00112DA4" w:rsidRDefault="00D719FF" w:rsidP="00E23BB3">
                  <w:pPr>
                    <w:rPr>
                      <w:rFonts w:ascii="Times New Roman" w:hAnsi="Times New Roman"/>
                      <w:sz w:val="20"/>
                      <w:szCs w:val="20"/>
                      <w:lang w:eastAsia="sk-SK"/>
                    </w:rPr>
                  </w:pPr>
                </w:p>
              </w:tc>
              <w:tc>
                <w:tcPr>
                  <w:tcW w:w="2624" w:type="dxa"/>
                  <w:tcBorders>
                    <w:top w:val="dashed" w:sz="4" w:space="0" w:color="A6A6A6" w:themeColor="background1" w:themeShade="A6"/>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2</w:t>
                  </w:r>
                </w:p>
              </w:tc>
              <w:tc>
                <w:tcPr>
                  <w:tcW w:w="6138" w:type="dxa"/>
                  <w:tcBorders>
                    <w:top w:val="dashed" w:sz="4" w:space="0" w:color="A6A6A6" w:themeColor="background1" w:themeShade="A6"/>
                    <w:bottom w:val="dashed" w:sz="4" w:space="0" w:color="A6A6A6" w:themeColor="background1" w:themeShade="A6"/>
                  </w:tcBorders>
                </w:tcPr>
                <w:p w:rsidR="00D719FF" w:rsidRPr="00112DA4" w:rsidRDefault="00D719FF" w:rsidP="00E23BB3">
                  <w:pPr>
                    <w:rPr>
                      <w:rFonts w:ascii="Times New Roman" w:hAnsi="Times New Roman"/>
                      <w:sz w:val="20"/>
                      <w:szCs w:val="20"/>
                      <w:lang w:eastAsia="sk-SK"/>
                    </w:rPr>
                  </w:pPr>
                  <w:r w:rsidRPr="00112DA4">
                    <w:rPr>
                      <w:rFonts w:ascii="Times New Roman" w:hAnsi="Times New Roman"/>
                      <w:sz w:val="20"/>
                      <w:szCs w:val="20"/>
                      <w:lang w:eastAsia="sk-SK"/>
                    </w:rPr>
                    <w:t>Letisko Košice</w:t>
                  </w:r>
                </w:p>
              </w:tc>
            </w:tr>
            <w:tr w:rsidR="00D719FF" w:rsidRPr="00112DA4" w:rsidTr="005A16C6">
              <w:trPr>
                <w:jc w:val="center"/>
              </w:trPr>
              <w:tc>
                <w:tcPr>
                  <w:tcW w:w="877" w:type="dxa"/>
                  <w:vMerge/>
                </w:tcPr>
                <w:p w:rsidR="00D719FF" w:rsidRPr="00112DA4" w:rsidRDefault="00D719FF" w:rsidP="00E23BB3">
                  <w:pPr>
                    <w:rPr>
                      <w:rFonts w:ascii="Times New Roman" w:hAnsi="Times New Roman"/>
                      <w:sz w:val="20"/>
                      <w:szCs w:val="20"/>
                      <w:lang w:eastAsia="sk-SK"/>
                    </w:rPr>
                  </w:pPr>
                </w:p>
              </w:tc>
              <w:tc>
                <w:tcPr>
                  <w:tcW w:w="2624" w:type="dxa"/>
                  <w:tcBorders>
                    <w:top w:val="dashed" w:sz="4" w:space="0" w:color="A6A6A6" w:themeColor="background1" w:themeShade="A6"/>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3</w:t>
                  </w:r>
                </w:p>
              </w:tc>
              <w:tc>
                <w:tcPr>
                  <w:tcW w:w="6138" w:type="dxa"/>
                  <w:tcBorders>
                    <w:top w:val="dashed" w:sz="4" w:space="0" w:color="A6A6A6" w:themeColor="background1" w:themeShade="A6"/>
                    <w:bottom w:val="dashed" w:sz="4" w:space="0" w:color="A6A6A6" w:themeColor="background1" w:themeShade="A6"/>
                  </w:tcBorders>
                </w:tcPr>
                <w:p w:rsidR="00D719FF" w:rsidRPr="00112DA4" w:rsidRDefault="00D719FF" w:rsidP="00E23BB3">
                  <w:pPr>
                    <w:rPr>
                      <w:rFonts w:ascii="Times New Roman" w:hAnsi="Times New Roman"/>
                      <w:sz w:val="20"/>
                      <w:szCs w:val="20"/>
                      <w:lang w:eastAsia="sk-SK"/>
                    </w:rPr>
                  </w:pPr>
                  <w:r w:rsidRPr="00112DA4">
                    <w:rPr>
                      <w:rFonts w:ascii="Times New Roman" w:hAnsi="Times New Roman"/>
                      <w:sz w:val="20"/>
                      <w:szCs w:val="20"/>
                      <w:lang w:eastAsia="sk-SK"/>
                    </w:rPr>
                    <w:t>Letisko Piešťany</w:t>
                  </w:r>
                </w:p>
              </w:tc>
            </w:tr>
            <w:tr w:rsidR="00D719FF" w:rsidRPr="00112DA4" w:rsidTr="005A16C6">
              <w:trPr>
                <w:jc w:val="center"/>
              </w:trPr>
              <w:tc>
                <w:tcPr>
                  <w:tcW w:w="877" w:type="dxa"/>
                  <w:vMerge/>
                </w:tcPr>
                <w:p w:rsidR="00D719FF" w:rsidRPr="00112DA4" w:rsidRDefault="00D719FF" w:rsidP="00E23BB3">
                  <w:pPr>
                    <w:rPr>
                      <w:rFonts w:ascii="Times New Roman" w:hAnsi="Times New Roman"/>
                      <w:sz w:val="20"/>
                      <w:szCs w:val="20"/>
                      <w:lang w:eastAsia="sk-SK"/>
                    </w:rPr>
                  </w:pPr>
                </w:p>
              </w:tc>
              <w:tc>
                <w:tcPr>
                  <w:tcW w:w="2624" w:type="dxa"/>
                  <w:tcBorders>
                    <w:top w:val="dashed" w:sz="4" w:space="0" w:color="A6A6A6" w:themeColor="background1" w:themeShade="A6"/>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4</w:t>
                  </w:r>
                </w:p>
              </w:tc>
              <w:tc>
                <w:tcPr>
                  <w:tcW w:w="6138" w:type="dxa"/>
                  <w:tcBorders>
                    <w:top w:val="dashed" w:sz="4" w:space="0" w:color="A6A6A6" w:themeColor="background1" w:themeShade="A6"/>
                    <w:bottom w:val="dashed" w:sz="4" w:space="0" w:color="A6A6A6" w:themeColor="background1" w:themeShade="A6"/>
                  </w:tcBorders>
                </w:tcPr>
                <w:p w:rsidR="00D719FF" w:rsidRPr="00112DA4" w:rsidRDefault="00D719FF" w:rsidP="001F75A2">
                  <w:pPr>
                    <w:rPr>
                      <w:rFonts w:ascii="Times New Roman" w:hAnsi="Times New Roman"/>
                      <w:sz w:val="20"/>
                      <w:szCs w:val="20"/>
                      <w:lang w:eastAsia="sk-SK"/>
                    </w:rPr>
                  </w:pPr>
                  <w:r w:rsidRPr="00112DA4">
                    <w:rPr>
                      <w:rFonts w:ascii="Times New Roman" w:hAnsi="Times New Roman"/>
                      <w:sz w:val="20"/>
                      <w:szCs w:val="20"/>
                      <w:lang w:eastAsia="sk-SK"/>
                    </w:rPr>
                    <w:t>Letisko Poprad </w:t>
                  </w:r>
                  <w:r w:rsidR="001F75A2">
                    <w:rPr>
                      <w:rFonts w:ascii="Times New Roman" w:hAnsi="Times New Roman"/>
                      <w:sz w:val="20"/>
                      <w:szCs w:val="20"/>
                      <w:lang w:eastAsia="sk-SK"/>
                    </w:rPr>
                    <w:t>-</w:t>
                  </w:r>
                  <w:r w:rsidR="001F75A2" w:rsidRPr="00112DA4">
                    <w:rPr>
                      <w:rFonts w:ascii="Times New Roman" w:hAnsi="Times New Roman"/>
                      <w:sz w:val="20"/>
                      <w:szCs w:val="20"/>
                      <w:lang w:eastAsia="sk-SK"/>
                    </w:rPr>
                    <w:t> </w:t>
                  </w:r>
                  <w:r w:rsidRPr="00112DA4">
                    <w:rPr>
                      <w:rFonts w:ascii="Times New Roman" w:hAnsi="Times New Roman"/>
                      <w:sz w:val="20"/>
                      <w:szCs w:val="20"/>
                      <w:lang w:eastAsia="sk-SK"/>
                    </w:rPr>
                    <w:t>Tatry</w:t>
                  </w:r>
                </w:p>
              </w:tc>
            </w:tr>
            <w:tr w:rsidR="00D719FF" w:rsidRPr="00112DA4" w:rsidTr="005A16C6">
              <w:trPr>
                <w:jc w:val="center"/>
              </w:trPr>
              <w:tc>
                <w:tcPr>
                  <w:tcW w:w="877" w:type="dxa"/>
                  <w:vMerge/>
                </w:tcPr>
                <w:p w:rsidR="00D719FF" w:rsidRPr="00112DA4" w:rsidRDefault="00D719FF" w:rsidP="00E23BB3">
                  <w:pPr>
                    <w:rPr>
                      <w:rFonts w:ascii="Times New Roman" w:hAnsi="Times New Roman"/>
                      <w:sz w:val="20"/>
                      <w:szCs w:val="20"/>
                      <w:lang w:eastAsia="sk-SK"/>
                    </w:rPr>
                  </w:pPr>
                </w:p>
              </w:tc>
              <w:tc>
                <w:tcPr>
                  <w:tcW w:w="2624" w:type="dxa"/>
                  <w:tcBorders>
                    <w:top w:val="dashed" w:sz="4" w:space="0" w:color="A6A6A6" w:themeColor="background1" w:themeShade="A6"/>
                    <w:bottom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5</w:t>
                  </w:r>
                </w:p>
              </w:tc>
              <w:tc>
                <w:tcPr>
                  <w:tcW w:w="6138" w:type="dxa"/>
                  <w:tcBorders>
                    <w:top w:val="dashed" w:sz="4" w:space="0" w:color="A6A6A6" w:themeColor="background1" w:themeShade="A6"/>
                    <w:bottom w:val="dashed" w:sz="4" w:space="0" w:color="A6A6A6" w:themeColor="background1" w:themeShade="A6"/>
                  </w:tcBorders>
                </w:tcPr>
                <w:p w:rsidR="00D719FF" w:rsidRPr="00112DA4" w:rsidRDefault="00D719FF" w:rsidP="00E23BB3">
                  <w:pPr>
                    <w:rPr>
                      <w:rFonts w:ascii="Times New Roman" w:hAnsi="Times New Roman"/>
                      <w:sz w:val="20"/>
                      <w:szCs w:val="20"/>
                      <w:lang w:eastAsia="sk-SK"/>
                    </w:rPr>
                  </w:pPr>
                  <w:r w:rsidRPr="00112DA4">
                    <w:rPr>
                      <w:rFonts w:ascii="Times New Roman" w:hAnsi="Times New Roman"/>
                      <w:sz w:val="20"/>
                      <w:szCs w:val="20"/>
                      <w:lang w:eastAsia="sk-SK"/>
                    </w:rPr>
                    <w:t>Letisko Žilina</w:t>
                  </w:r>
                </w:p>
              </w:tc>
            </w:tr>
            <w:tr w:rsidR="00D719FF" w:rsidRPr="00112DA4" w:rsidTr="005A16C6">
              <w:trPr>
                <w:jc w:val="center"/>
              </w:trPr>
              <w:tc>
                <w:tcPr>
                  <w:tcW w:w="877" w:type="dxa"/>
                  <w:vMerge/>
                </w:tcPr>
                <w:p w:rsidR="00D719FF" w:rsidRPr="00112DA4" w:rsidRDefault="00D719FF" w:rsidP="00E23BB3">
                  <w:pPr>
                    <w:rPr>
                      <w:rFonts w:ascii="Times New Roman" w:hAnsi="Times New Roman"/>
                      <w:sz w:val="20"/>
                      <w:szCs w:val="20"/>
                      <w:lang w:eastAsia="sk-SK"/>
                    </w:rPr>
                  </w:pPr>
                </w:p>
              </w:tc>
              <w:tc>
                <w:tcPr>
                  <w:tcW w:w="2624" w:type="dxa"/>
                  <w:tcBorders>
                    <w:top w:val="dashed" w:sz="4" w:space="0" w:color="A6A6A6" w:themeColor="background1" w:themeShade="A6"/>
                  </w:tcBorders>
                </w:tcPr>
                <w:p w:rsidR="00D719FF" w:rsidRPr="00112DA4" w:rsidRDefault="00D719FF" w:rsidP="00E23BB3">
                  <w:pPr>
                    <w:keepNext/>
                    <w:rPr>
                      <w:rFonts w:ascii="Times New Roman" w:hAnsi="Times New Roman"/>
                      <w:sz w:val="20"/>
                      <w:szCs w:val="20"/>
                      <w:lang w:eastAsia="sk-SK"/>
                    </w:rPr>
                  </w:pPr>
                  <w:r w:rsidRPr="00112DA4">
                    <w:rPr>
                      <w:rFonts w:ascii="Times New Roman" w:hAnsi="Times New Roman"/>
                      <w:sz w:val="20"/>
                      <w:szCs w:val="20"/>
                      <w:lang w:eastAsia="sk-SK"/>
                    </w:rPr>
                    <w:t>terminálna zóna č. 6</w:t>
                  </w:r>
                </w:p>
              </w:tc>
              <w:tc>
                <w:tcPr>
                  <w:tcW w:w="6138" w:type="dxa"/>
                  <w:tcBorders>
                    <w:top w:val="dashed" w:sz="4" w:space="0" w:color="A6A6A6" w:themeColor="background1" w:themeShade="A6"/>
                  </w:tcBorders>
                </w:tcPr>
                <w:p w:rsidR="00D719FF" w:rsidRPr="00112DA4" w:rsidRDefault="00D719FF" w:rsidP="00E23BB3">
                  <w:pPr>
                    <w:rPr>
                      <w:rFonts w:ascii="Times New Roman" w:hAnsi="Times New Roman"/>
                      <w:sz w:val="20"/>
                      <w:szCs w:val="20"/>
                      <w:lang w:eastAsia="sk-SK"/>
                    </w:rPr>
                  </w:pPr>
                  <w:r w:rsidRPr="00112DA4">
                    <w:rPr>
                      <w:rFonts w:ascii="Times New Roman" w:hAnsi="Times New Roman"/>
                      <w:sz w:val="20"/>
                      <w:szCs w:val="20"/>
                      <w:lang w:eastAsia="sk-SK"/>
                    </w:rPr>
                    <w:t>Letisko Sliač</w:t>
                  </w:r>
                </w:p>
              </w:tc>
            </w:tr>
          </w:tbl>
          <w:p w:rsidR="00A16467" w:rsidRDefault="00A16467" w:rsidP="00E23BB3">
            <w:pPr>
              <w:autoSpaceDE w:val="0"/>
              <w:autoSpaceDN w:val="0"/>
              <w:adjustRightInd w:val="0"/>
              <w:jc w:val="both"/>
              <w:rPr>
                <w:rFonts w:eastAsia="Calibri"/>
                <w:sz w:val="20"/>
                <w:szCs w:val="20"/>
                <w:lang w:eastAsia="en-US"/>
              </w:rPr>
            </w:pPr>
          </w:p>
          <w:p w:rsidR="00E65761" w:rsidRDefault="004E7580" w:rsidP="00E23BB3">
            <w:pPr>
              <w:autoSpaceDE w:val="0"/>
              <w:autoSpaceDN w:val="0"/>
              <w:adjustRightInd w:val="0"/>
              <w:jc w:val="both"/>
              <w:rPr>
                <w:rFonts w:eastAsia="Calibri"/>
                <w:sz w:val="20"/>
                <w:szCs w:val="20"/>
                <w:lang w:eastAsia="en-US"/>
              </w:rPr>
            </w:pPr>
            <w:r>
              <w:rPr>
                <w:rFonts w:eastAsia="Calibri"/>
                <w:sz w:val="20"/>
                <w:szCs w:val="20"/>
                <w:lang w:eastAsia="en-US"/>
              </w:rPr>
              <w:t xml:space="preserve">Pri posudzovaní jednotlivých </w:t>
            </w:r>
            <w:r w:rsidR="005A16C6">
              <w:rPr>
                <w:rFonts w:eastAsia="Calibri"/>
                <w:sz w:val="20"/>
                <w:szCs w:val="20"/>
                <w:lang w:eastAsia="en-US"/>
              </w:rPr>
              <w:t xml:space="preserve">variantov </w:t>
            </w:r>
            <w:r w:rsidR="0058799F">
              <w:rPr>
                <w:rFonts w:eastAsia="Calibri"/>
                <w:sz w:val="20"/>
                <w:szCs w:val="20"/>
                <w:lang w:eastAsia="en-US"/>
              </w:rPr>
              <w:t xml:space="preserve">predkladateľ </w:t>
            </w:r>
            <w:r>
              <w:rPr>
                <w:rFonts w:eastAsia="Calibri"/>
                <w:sz w:val="20"/>
                <w:szCs w:val="20"/>
                <w:lang w:eastAsia="en-US"/>
              </w:rPr>
              <w:t>spolupracoval s poskytovateľmi terminálnych leteckých navigačných služieb</w:t>
            </w:r>
            <w:r w:rsidR="00385F5D">
              <w:rPr>
                <w:rFonts w:eastAsia="Calibri"/>
                <w:sz w:val="20"/>
                <w:szCs w:val="20"/>
                <w:lang w:eastAsia="en-US"/>
              </w:rPr>
              <w:t>, Dopravným úradom</w:t>
            </w:r>
            <w:r w:rsidR="00576C9B">
              <w:rPr>
                <w:rFonts w:eastAsia="Calibri"/>
                <w:sz w:val="20"/>
                <w:szCs w:val="20"/>
                <w:lang w:eastAsia="en-US"/>
              </w:rPr>
              <w:t>,</w:t>
            </w:r>
            <w:r w:rsidR="00385F5D">
              <w:rPr>
                <w:rFonts w:eastAsia="Calibri"/>
                <w:sz w:val="20"/>
                <w:szCs w:val="20"/>
                <w:lang w:eastAsia="en-US"/>
              </w:rPr>
              <w:t xml:space="preserve"> ako národným dozorným orgánom v oblasti leteckých navigačných služieb, Slovenským hydrometeorologickým ústavom</w:t>
            </w:r>
            <w:r w:rsidR="00576C9B">
              <w:rPr>
                <w:rFonts w:eastAsia="Calibri"/>
                <w:sz w:val="20"/>
                <w:szCs w:val="20"/>
                <w:lang w:eastAsia="en-US"/>
              </w:rPr>
              <w:t>, ako poskytovateľom leteckej meteorologickej služby</w:t>
            </w:r>
            <w:r>
              <w:rPr>
                <w:rFonts w:eastAsia="Calibri"/>
                <w:sz w:val="20"/>
                <w:szCs w:val="20"/>
                <w:lang w:eastAsia="en-US"/>
              </w:rPr>
              <w:t xml:space="preserve"> a Európskou organizáciou pre bezpečnosť letovej prevádzky (</w:t>
            </w:r>
            <w:proofErr w:type="spellStart"/>
            <w:r>
              <w:rPr>
                <w:rFonts w:eastAsia="Calibri"/>
                <w:sz w:val="20"/>
                <w:szCs w:val="20"/>
                <w:lang w:eastAsia="en-US"/>
              </w:rPr>
              <w:t>Eurocontrol</w:t>
            </w:r>
            <w:proofErr w:type="spellEnd"/>
            <w:r>
              <w:rPr>
                <w:rFonts w:eastAsia="Calibri"/>
                <w:sz w:val="20"/>
                <w:szCs w:val="20"/>
                <w:lang w:eastAsia="en-US"/>
              </w:rPr>
              <w:t xml:space="preserve">). Poskytovatelia terminálnych leteckých navigačných služieb poskytli </w:t>
            </w:r>
            <w:r w:rsidR="00BC49DA">
              <w:rPr>
                <w:rFonts w:eastAsia="Calibri"/>
                <w:sz w:val="20"/>
                <w:szCs w:val="20"/>
                <w:lang w:eastAsia="en-US"/>
              </w:rPr>
              <w:t xml:space="preserve">predkladateľovi </w:t>
            </w:r>
            <w:r w:rsidR="00EB354A">
              <w:rPr>
                <w:rFonts w:eastAsia="Calibri"/>
                <w:sz w:val="20"/>
                <w:szCs w:val="20"/>
                <w:lang w:eastAsia="en-US"/>
              </w:rPr>
              <w:t>príslušné</w:t>
            </w:r>
            <w:r>
              <w:rPr>
                <w:rFonts w:eastAsia="Calibri"/>
                <w:sz w:val="20"/>
                <w:szCs w:val="20"/>
                <w:lang w:eastAsia="en-US"/>
              </w:rPr>
              <w:t xml:space="preserve"> štatistické údaje</w:t>
            </w:r>
            <w:r w:rsidR="0058799F">
              <w:rPr>
                <w:rFonts w:eastAsia="Calibri"/>
                <w:sz w:val="20"/>
                <w:szCs w:val="20"/>
                <w:lang w:eastAsia="en-US"/>
              </w:rPr>
              <w:t xml:space="preserve">, </w:t>
            </w:r>
            <w:r w:rsidR="0099679A">
              <w:rPr>
                <w:rFonts w:eastAsia="Calibri"/>
                <w:sz w:val="20"/>
                <w:szCs w:val="20"/>
                <w:lang w:eastAsia="en-US"/>
              </w:rPr>
              <w:t xml:space="preserve">návrh stanovených nákladov na rok 2020 </w:t>
            </w:r>
            <w:r>
              <w:rPr>
                <w:rFonts w:eastAsia="Calibri"/>
                <w:sz w:val="20"/>
                <w:szCs w:val="20"/>
                <w:lang w:eastAsia="en-US"/>
              </w:rPr>
              <w:t>a</w:t>
            </w:r>
            <w:r w:rsidR="00BC49DA">
              <w:rPr>
                <w:rFonts w:eastAsia="Calibri"/>
                <w:sz w:val="20"/>
                <w:szCs w:val="20"/>
                <w:lang w:eastAsia="en-US"/>
              </w:rPr>
              <w:t> ďalšie relevantné informácie</w:t>
            </w:r>
            <w:r w:rsidR="00EB354A">
              <w:rPr>
                <w:rFonts w:eastAsia="Calibri"/>
                <w:sz w:val="20"/>
                <w:szCs w:val="20"/>
                <w:lang w:eastAsia="en-US"/>
              </w:rPr>
              <w:t>.</w:t>
            </w:r>
          </w:p>
          <w:p w:rsidR="00D325F0" w:rsidRDefault="00D325F0" w:rsidP="00E23BB3">
            <w:pPr>
              <w:autoSpaceDE w:val="0"/>
              <w:autoSpaceDN w:val="0"/>
              <w:adjustRightInd w:val="0"/>
              <w:jc w:val="both"/>
              <w:rPr>
                <w:rFonts w:eastAsia="Calibri"/>
                <w:sz w:val="20"/>
                <w:szCs w:val="20"/>
                <w:lang w:eastAsia="en-US"/>
              </w:rPr>
            </w:pPr>
          </w:p>
          <w:p w:rsidR="004E7580" w:rsidRDefault="0058799F" w:rsidP="00E23BB3">
            <w:pPr>
              <w:autoSpaceDE w:val="0"/>
              <w:autoSpaceDN w:val="0"/>
              <w:adjustRightInd w:val="0"/>
              <w:jc w:val="both"/>
              <w:rPr>
                <w:rFonts w:eastAsia="Calibri"/>
                <w:sz w:val="20"/>
                <w:szCs w:val="20"/>
                <w:lang w:eastAsia="en-US"/>
              </w:rPr>
            </w:pPr>
            <w:r>
              <w:rPr>
                <w:rFonts w:eastAsia="Calibri"/>
                <w:sz w:val="20"/>
                <w:szCs w:val="20"/>
                <w:lang w:eastAsia="en-US"/>
              </w:rPr>
              <w:t xml:space="preserve">Pre každú kombináciu variantov </w:t>
            </w:r>
            <w:r w:rsidR="00BC49DA">
              <w:rPr>
                <w:rFonts w:eastAsia="Calibri"/>
                <w:sz w:val="20"/>
                <w:szCs w:val="20"/>
                <w:lang w:eastAsia="en-US"/>
              </w:rPr>
              <w:t>určenia</w:t>
            </w:r>
            <w:r>
              <w:rPr>
                <w:rFonts w:eastAsia="Calibri"/>
                <w:sz w:val="20"/>
                <w:szCs w:val="20"/>
                <w:lang w:eastAsia="en-US"/>
              </w:rPr>
              <w:t xml:space="preserve"> terminálnej jednotkovej sadzby a príslušnej terminálnej zóny spoplatňovania</w:t>
            </w:r>
            <w:r w:rsidR="004E7580">
              <w:rPr>
                <w:rFonts w:eastAsia="Calibri"/>
                <w:sz w:val="20"/>
                <w:szCs w:val="20"/>
                <w:lang w:eastAsia="en-US"/>
              </w:rPr>
              <w:t xml:space="preserve"> </w:t>
            </w:r>
            <w:r w:rsidR="00DF1277">
              <w:rPr>
                <w:rFonts w:eastAsia="Calibri"/>
                <w:sz w:val="20"/>
                <w:szCs w:val="20"/>
                <w:lang w:eastAsia="en-US"/>
              </w:rPr>
              <w:t xml:space="preserve">boli posudzované </w:t>
            </w:r>
            <w:r w:rsidR="004E7580">
              <w:rPr>
                <w:rFonts w:eastAsia="Calibri"/>
                <w:sz w:val="20"/>
                <w:szCs w:val="20"/>
                <w:lang w:eastAsia="en-US"/>
              </w:rPr>
              <w:t>rôzny typy lietadiel</w:t>
            </w:r>
            <w:r w:rsidR="00E65761">
              <w:rPr>
                <w:rFonts w:eastAsia="Calibri"/>
                <w:sz w:val="20"/>
                <w:szCs w:val="20"/>
                <w:lang w:eastAsia="en-US"/>
              </w:rPr>
              <w:t xml:space="preserve"> (lietadlo č. 1 s MTOW = 72 t, lietadlo č. 2 s MTOW = 22,5 t, lietadlo č. 3 s MTOW = 6,8 t a lietadlo č. 4 s MTOW = 1,9 t).</w:t>
            </w:r>
          </w:p>
          <w:p w:rsidR="004E7580" w:rsidRDefault="004E7580" w:rsidP="00E23BB3">
            <w:pPr>
              <w:autoSpaceDE w:val="0"/>
              <w:autoSpaceDN w:val="0"/>
              <w:adjustRightInd w:val="0"/>
              <w:jc w:val="both"/>
              <w:rPr>
                <w:rFonts w:eastAsia="Calibri"/>
                <w:sz w:val="20"/>
                <w:szCs w:val="20"/>
                <w:lang w:eastAsia="en-US"/>
              </w:rPr>
            </w:pPr>
          </w:p>
          <w:p w:rsidR="00170808" w:rsidRPr="00170808" w:rsidRDefault="00EB354A" w:rsidP="00E23BB3">
            <w:pPr>
              <w:autoSpaceDE w:val="0"/>
              <w:autoSpaceDN w:val="0"/>
              <w:adjustRightInd w:val="0"/>
              <w:jc w:val="both"/>
              <w:rPr>
                <w:rFonts w:eastAsia="Calibri"/>
                <w:sz w:val="20"/>
                <w:szCs w:val="20"/>
                <w:lang w:eastAsia="en-US"/>
              </w:rPr>
            </w:pPr>
            <w:r>
              <w:rPr>
                <w:rFonts w:eastAsia="Calibri"/>
                <w:sz w:val="20"/>
                <w:szCs w:val="20"/>
                <w:lang w:eastAsia="en-US"/>
              </w:rPr>
              <w:t>Pri posudzovaní celého systému terminálnych odplát boli predkladateľom zohľadňované aj osobitné predpisy</w:t>
            </w:r>
            <w:r w:rsidRPr="00EB354A">
              <w:rPr>
                <w:rFonts w:eastAsia="Calibri"/>
                <w:sz w:val="20"/>
                <w:szCs w:val="20"/>
                <w:lang w:eastAsia="en-US"/>
              </w:rPr>
              <w:t xml:space="preserve"> v oblasti štátnej pomoci</w:t>
            </w:r>
            <w:r>
              <w:rPr>
                <w:rFonts w:eastAsia="Calibri"/>
                <w:sz w:val="20"/>
                <w:szCs w:val="20"/>
                <w:lang w:eastAsia="en-US"/>
              </w:rPr>
              <w:t xml:space="preserve">, najmä </w:t>
            </w:r>
            <w:r w:rsidRPr="00EB354A">
              <w:rPr>
                <w:rFonts w:eastAsia="Calibri"/>
                <w:bCs/>
                <w:sz w:val="20"/>
                <w:szCs w:val="20"/>
                <w:lang w:eastAsia="en-US"/>
              </w:rPr>
              <w:t>Oznámenia Komisie - Usmernenia o štátnej pomoci pre letiská a letecké spoločnosti 2014/C 99/03</w:t>
            </w:r>
            <w:r>
              <w:rPr>
                <w:rFonts w:eastAsia="Calibri"/>
                <w:bCs/>
                <w:sz w:val="20"/>
                <w:szCs w:val="20"/>
                <w:lang w:eastAsia="en-US"/>
              </w:rPr>
              <w:t>(</w:t>
            </w:r>
            <w:r w:rsidRPr="00EB354A">
              <w:rPr>
                <w:rFonts w:eastAsia="Calibri"/>
                <w:bCs/>
                <w:sz w:val="20"/>
                <w:szCs w:val="20"/>
                <w:lang w:eastAsia="en-US"/>
              </w:rPr>
              <w:t>Ú. v. EÚ C 99, 4. 4. 2014) (ďalej len „Usmernenie o štátnej pomoci“</w:t>
            </w:r>
            <w:r>
              <w:rPr>
                <w:rFonts w:eastAsia="Calibri"/>
                <w:bCs/>
                <w:sz w:val="20"/>
                <w:szCs w:val="20"/>
                <w:lang w:eastAsia="en-US"/>
              </w:rPr>
              <w:t>)</w:t>
            </w:r>
            <w:r w:rsidR="00BC49DA">
              <w:rPr>
                <w:rFonts w:eastAsia="Calibri"/>
                <w:bCs/>
                <w:sz w:val="20"/>
                <w:szCs w:val="20"/>
                <w:lang w:eastAsia="en-US"/>
              </w:rPr>
              <w:t xml:space="preserve"> vo vzťahu k výpočtu výšky </w:t>
            </w:r>
            <w:r w:rsidR="00847BB5">
              <w:rPr>
                <w:rFonts w:eastAsia="Calibri"/>
                <w:bCs/>
                <w:sz w:val="20"/>
                <w:szCs w:val="20"/>
                <w:lang w:eastAsia="en-US"/>
              </w:rPr>
              <w:t>terminálnej</w:t>
            </w:r>
            <w:r w:rsidR="00BC49DA">
              <w:rPr>
                <w:rFonts w:eastAsia="Calibri"/>
                <w:bCs/>
                <w:sz w:val="20"/>
                <w:szCs w:val="20"/>
                <w:lang w:eastAsia="en-US"/>
              </w:rPr>
              <w:t xml:space="preserve"> odpl</w:t>
            </w:r>
            <w:r w:rsidR="00847BB5">
              <w:rPr>
                <w:rFonts w:eastAsia="Calibri"/>
                <w:bCs/>
                <w:sz w:val="20"/>
                <w:szCs w:val="20"/>
                <w:lang w:eastAsia="en-US"/>
              </w:rPr>
              <w:t>aty</w:t>
            </w:r>
            <w:r w:rsidR="00BC49DA">
              <w:rPr>
                <w:rFonts w:eastAsia="Calibri"/>
                <w:bCs/>
                <w:sz w:val="20"/>
                <w:szCs w:val="20"/>
                <w:lang w:eastAsia="en-US"/>
              </w:rPr>
              <w:t xml:space="preserve"> za let osloboden</w:t>
            </w:r>
            <w:r w:rsidR="00847BB5">
              <w:rPr>
                <w:rFonts w:eastAsia="Calibri"/>
                <w:bCs/>
                <w:sz w:val="20"/>
                <w:szCs w:val="20"/>
                <w:lang w:eastAsia="en-US"/>
              </w:rPr>
              <w:t>ý</w:t>
            </w:r>
            <w:r w:rsidR="00BC49DA">
              <w:rPr>
                <w:rFonts w:eastAsia="Calibri"/>
                <w:bCs/>
                <w:sz w:val="20"/>
                <w:szCs w:val="20"/>
                <w:lang w:eastAsia="en-US"/>
              </w:rPr>
              <w:t xml:space="preserve"> od odplát</w:t>
            </w:r>
            <w:r>
              <w:rPr>
                <w:rFonts w:eastAsia="Calibri"/>
                <w:bCs/>
                <w:sz w:val="20"/>
                <w:szCs w:val="20"/>
                <w:lang w:eastAsia="en-US"/>
              </w:rPr>
              <w:t>.</w:t>
            </w:r>
            <w:r w:rsidR="0058799F">
              <w:rPr>
                <w:rFonts w:eastAsia="Calibri"/>
                <w:bCs/>
                <w:sz w:val="20"/>
                <w:szCs w:val="20"/>
                <w:lang w:eastAsia="en-US"/>
              </w:rPr>
              <w:t xml:space="preserve"> </w:t>
            </w:r>
            <w:r w:rsidR="00170808" w:rsidRPr="00170808">
              <w:rPr>
                <w:rFonts w:eastAsia="Calibri"/>
                <w:sz w:val="20"/>
                <w:szCs w:val="20"/>
                <w:lang w:eastAsia="en-US"/>
              </w:rPr>
              <w:t xml:space="preserve">Podľa bodu 35 Usmernenia o štátnej pomoci </w:t>
            </w:r>
            <w:r w:rsidR="00170808" w:rsidRPr="00170808">
              <w:rPr>
                <w:rFonts w:eastAsia="Calibri"/>
                <w:i/>
                <w:sz w:val="20"/>
                <w:szCs w:val="20"/>
                <w:lang w:eastAsia="en-US"/>
              </w:rPr>
              <w:t>súdny dvor rozhodol, že činnosti, ktoré sú obvykle zodpovednosťou štátu pri vykonávaní jeho úradných právomocí ako verejného orgánu, nie sú hospodárskej povahy a vo všeobecnosti nepatria do rozsahu pravidiel štátnej pomoci. Na letisku sú činnosti ako kontrola letovej prevádzky, práca policajných, colných a protipožiarnych orgánov a</w:t>
            </w:r>
            <w:r w:rsidR="00BC49DA">
              <w:rPr>
                <w:rFonts w:eastAsia="Calibri"/>
                <w:i/>
                <w:sz w:val="20"/>
                <w:szCs w:val="20"/>
                <w:lang w:eastAsia="en-US"/>
              </w:rPr>
              <w:t> </w:t>
            </w:r>
            <w:r w:rsidR="00170808" w:rsidRPr="00170808">
              <w:rPr>
                <w:rFonts w:eastAsia="Calibri"/>
                <w:i/>
                <w:sz w:val="20"/>
                <w:szCs w:val="20"/>
                <w:lang w:eastAsia="en-US"/>
              </w:rPr>
              <w:t>činnosti potrebné na zabezpečenie civilného letectva pred protiprávnymi činmi a investície do infraštruktúry a</w:t>
            </w:r>
            <w:r w:rsidR="00BC49DA">
              <w:rPr>
                <w:rFonts w:eastAsia="Calibri"/>
                <w:i/>
                <w:sz w:val="20"/>
                <w:szCs w:val="20"/>
                <w:lang w:eastAsia="en-US"/>
              </w:rPr>
              <w:t> </w:t>
            </w:r>
            <w:r w:rsidR="00170808" w:rsidRPr="00170808">
              <w:rPr>
                <w:rFonts w:eastAsia="Calibri"/>
                <w:i/>
                <w:sz w:val="20"/>
                <w:szCs w:val="20"/>
                <w:lang w:eastAsia="en-US"/>
              </w:rPr>
              <w:t>vybavenia potrebných na vykonávanie týchto činností sú vo všeobecnosti považované za činnosti nehospodárskej povahy</w:t>
            </w:r>
            <w:r w:rsidR="00170808" w:rsidRPr="00170808">
              <w:rPr>
                <w:rFonts w:eastAsia="Calibri"/>
                <w:sz w:val="20"/>
                <w:szCs w:val="20"/>
                <w:lang w:eastAsia="en-US"/>
              </w:rPr>
              <w:t xml:space="preserve">. </w:t>
            </w:r>
            <w:r w:rsidR="003F4D67">
              <w:rPr>
                <w:rFonts w:eastAsia="Calibri"/>
                <w:sz w:val="20"/>
                <w:szCs w:val="20"/>
                <w:lang w:eastAsia="en-US"/>
              </w:rPr>
              <w:t>Avšak p</w:t>
            </w:r>
            <w:r w:rsidR="00170808" w:rsidRPr="00170808">
              <w:rPr>
                <w:rFonts w:eastAsia="Calibri"/>
                <w:sz w:val="20"/>
                <w:szCs w:val="20"/>
                <w:lang w:eastAsia="en-US"/>
              </w:rPr>
              <w:t xml:space="preserve">odľa bodu 36 Usmernenia o štátnej pomoci </w:t>
            </w:r>
            <w:r w:rsidR="00170808" w:rsidRPr="00170808">
              <w:rPr>
                <w:rFonts w:eastAsia="Calibri"/>
                <w:i/>
                <w:sz w:val="20"/>
                <w:szCs w:val="20"/>
                <w:lang w:eastAsia="en-US"/>
              </w:rPr>
              <w:t>verejné financovanie takýchto nehospodárskych činností nepredstavuje štátnu pomoc, ale malo by byť obmedzené výlučne na nahradenie vzniknutých nákladov a nesmie sa používať na financovanie iných činností. Akákoľvek možná nadmerná náhrada nákladov vzniknutých v súvislosti s nehospodárskymi činnosťami zo strany orgánov verejnej moci môže predstavovať štátnu pomoc.</w:t>
            </w:r>
          </w:p>
          <w:p w:rsidR="00C14ABA" w:rsidRDefault="00C14ABA" w:rsidP="00E23BB3">
            <w:pPr>
              <w:autoSpaceDE w:val="0"/>
              <w:autoSpaceDN w:val="0"/>
              <w:adjustRightInd w:val="0"/>
              <w:jc w:val="both"/>
              <w:rPr>
                <w:rFonts w:eastAsia="Calibri"/>
                <w:sz w:val="20"/>
                <w:szCs w:val="20"/>
                <w:lang w:eastAsia="en-US"/>
              </w:rPr>
            </w:pPr>
          </w:p>
          <w:p w:rsidR="0099679A" w:rsidRDefault="0099679A" w:rsidP="00E23BB3">
            <w:pPr>
              <w:autoSpaceDE w:val="0"/>
              <w:autoSpaceDN w:val="0"/>
              <w:adjustRightInd w:val="0"/>
              <w:jc w:val="both"/>
              <w:rPr>
                <w:rFonts w:eastAsia="Calibri"/>
                <w:sz w:val="20"/>
                <w:szCs w:val="20"/>
                <w:lang w:eastAsia="en-US"/>
              </w:rPr>
            </w:pPr>
            <w:r>
              <w:rPr>
                <w:rFonts w:eastAsia="Calibri"/>
                <w:sz w:val="20"/>
                <w:szCs w:val="20"/>
                <w:lang w:eastAsia="en-US"/>
              </w:rPr>
              <w:lastRenderedPageBreak/>
              <w:t>Zároveň p</w:t>
            </w:r>
            <w:r w:rsidRPr="007D468D">
              <w:rPr>
                <w:rFonts w:eastAsia="Calibri"/>
                <w:sz w:val="20"/>
                <w:szCs w:val="20"/>
                <w:lang w:eastAsia="en-US"/>
              </w:rPr>
              <w:t xml:space="preserve">ri posudzovaní jednotlivých návrhov terminálnych zón spoplatňovania boli zohľadňované nielen prevádzkové výkony letísk prevádzkovaných letiskovými spoločnosťami, prevládajúce typy lietadiel, ktoré vykonávajú vzlety a pristátia na týchto letiskách, ale aj druh obchodnej leteckej dopravy a obchodnej prevádzky vykonávanej z týchto letísk, t. j. či je z daného letiska vykonávaná </w:t>
            </w:r>
            <w:r>
              <w:rPr>
                <w:rFonts w:eastAsia="Calibri"/>
                <w:sz w:val="20"/>
                <w:szCs w:val="20"/>
                <w:lang w:eastAsia="en-US"/>
              </w:rPr>
              <w:t xml:space="preserve">napríklad </w:t>
            </w:r>
            <w:r w:rsidRPr="007D468D">
              <w:rPr>
                <w:rFonts w:eastAsia="Calibri"/>
                <w:sz w:val="20"/>
                <w:szCs w:val="20"/>
                <w:lang w:eastAsia="en-US"/>
              </w:rPr>
              <w:t>pravidelná obchodná letecká doprava alebo nepravidelná obchodná letecká doprava</w:t>
            </w:r>
            <w:r>
              <w:rPr>
                <w:rFonts w:eastAsia="Calibri"/>
                <w:sz w:val="20"/>
                <w:szCs w:val="20"/>
                <w:lang w:eastAsia="en-US"/>
              </w:rPr>
              <w:t>, letecké práce alebo špeciálna prevádzka, alebo je letisko využívané predovšetkým na vzlety a pristátia lietadiel všeobecného letectva</w:t>
            </w:r>
            <w:r w:rsidRPr="007D468D">
              <w:rPr>
                <w:rFonts w:eastAsia="Calibri"/>
                <w:sz w:val="20"/>
                <w:szCs w:val="20"/>
                <w:lang w:eastAsia="en-US"/>
              </w:rPr>
              <w:t xml:space="preserve">. Taktiež boli zohľadňované aj zaradenia letísk prevádzkovaných letiskovými spoločnosťami do základnej a súhrnnej </w:t>
            </w:r>
            <w:proofErr w:type="spellStart"/>
            <w:r w:rsidRPr="007D468D">
              <w:rPr>
                <w:rFonts w:eastAsia="Calibri"/>
                <w:sz w:val="20"/>
                <w:szCs w:val="20"/>
                <w:lang w:eastAsia="en-US"/>
              </w:rPr>
              <w:t>transeurópskej</w:t>
            </w:r>
            <w:proofErr w:type="spellEnd"/>
            <w:r w:rsidRPr="007D468D">
              <w:rPr>
                <w:rFonts w:eastAsia="Calibri"/>
                <w:sz w:val="20"/>
                <w:szCs w:val="20"/>
                <w:lang w:eastAsia="en-US"/>
              </w:rPr>
              <w:t xml:space="preserve"> dopravnej siete podľa nariadenia Európskeho parlamentu a Rady (EÚ) č. 1315/2013 z 11. decembra 2013 o usmerneniach Únie pre rozvoj </w:t>
            </w:r>
            <w:proofErr w:type="spellStart"/>
            <w:r w:rsidRPr="007D468D">
              <w:rPr>
                <w:rFonts w:eastAsia="Calibri"/>
                <w:sz w:val="20"/>
                <w:szCs w:val="20"/>
                <w:lang w:eastAsia="en-US"/>
              </w:rPr>
              <w:t>transeurópskej</w:t>
            </w:r>
            <w:proofErr w:type="spellEnd"/>
            <w:r w:rsidRPr="007D468D">
              <w:rPr>
                <w:rFonts w:eastAsia="Calibri"/>
                <w:sz w:val="20"/>
                <w:szCs w:val="20"/>
                <w:lang w:eastAsia="en-US"/>
              </w:rPr>
              <w:t xml:space="preserve"> dopravnej siete a o zrušení rozhodnutia č. 661/2010/EÚ (</w:t>
            </w:r>
            <w:r w:rsidRPr="007D468D">
              <w:rPr>
                <w:rFonts w:eastAsia="Calibri"/>
                <w:iCs/>
                <w:sz w:val="20"/>
                <w:szCs w:val="20"/>
                <w:lang w:eastAsia="en-US"/>
              </w:rPr>
              <w:t>Ú. v. EÚ L 348, 20. 12. 2013</w:t>
            </w:r>
            <w:r w:rsidRPr="007D468D">
              <w:rPr>
                <w:rFonts w:eastAsia="Calibri"/>
                <w:sz w:val="20"/>
                <w:szCs w:val="20"/>
                <w:lang w:eastAsia="en-US"/>
              </w:rPr>
              <w:t>) v platnom znení.</w:t>
            </w:r>
          </w:p>
          <w:p w:rsidR="0099679A" w:rsidRDefault="0099679A" w:rsidP="00E23BB3">
            <w:pPr>
              <w:autoSpaceDE w:val="0"/>
              <w:autoSpaceDN w:val="0"/>
              <w:adjustRightInd w:val="0"/>
              <w:jc w:val="both"/>
              <w:rPr>
                <w:rFonts w:eastAsia="Calibri"/>
                <w:sz w:val="20"/>
                <w:szCs w:val="20"/>
                <w:lang w:eastAsia="en-US"/>
              </w:rPr>
            </w:pPr>
          </w:p>
          <w:p w:rsidR="00351FAA" w:rsidRPr="0058799F" w:rsidRDefault="00C602E8" w:rsidP="00BD0705">
            <w:pPr>
              <w:autoSpaceDE w:val="0"/>
              <w:autoSpaceDN w:val="0"/>
              <w:adjustRightInd w:val="0"/>
              <w:jc w:val="both"/>
              <w:rPr>
                <w:rFonts w:eastAsia="Calibri"/>
                <w:sz w:val="20"/>
                <w:szCs w:val="20"/>
                <w:lang w:eastAsia="en-US"/>
              </w:rPr>
            </w:pPr>
            <w:r w:rsidRPr="00C602E8">
              <w:rPr>
                <w:rFonts w:eastAsia="Calibri"/>
                <w:sz w:val="20"/>
                <w:szCs w:val="20"/>
                <w:lang w:eastAsia="en-US"/>
              </w:rPr>
              <w:t xml:space="preserve">S cieľom zachovať súčasnú úroveň poskytovaných terminálnych leteckých navigačných služieb na predmetných letiskách, s ohľadom na ekonomickú udržateľnosť poskytovania terminálnych leteckých navigačných služieb a rešpektujúc nové pravidlá Európskej únie v oblasti spoplatňovania leteckých navigačných služieb v jednotnom európskom vzdušnom priestore, </w:t>
            </w:r>
            <w:r w:rsidR="000C22E2" w:rsidRPr="000C22E2">
              <w:rPr>
                <w:rFonts w:eastAsia="Calibri"/>
                <w:b/>
                <w:sz w:val="20"/>
                <w:szCs w:val="20"/>
                <w:lang w:eastAsia="en-US"/>
              </w:rPr>
              <w:t xml:space="preserve">návrh nariadenia </w:t>
            </w:r>
            <w:r w:rsidR="0058799F">
              <w:rPr>
                <w:rFonts w:eastAsia="Calibri"/>
                <w:b/>
                <w:sz w:val="20"/>
                <w:szCs w:val="20"/>
                <w:lang w:eastAsia="en-US"/>
              </w:rPr>
              <w:t xml:space="preserve">vlády </w:t>
            </w:r>
            <w:r w:rsidR="00576C9B">
              <w:rPr>
                <w:rFonts w:eastAsia="Calibri"/>
                <w:b/>
                <w:sz w:val="20"/>
                <w:szCs w:val="20"/>
                <w:lang w:eastAsia="en-US"/>
              </w:rPr>
              <w:t xml:space="preserve">Slovenskej republiky </w:t>
            </w:r>
            <w:r w:rsidR="000C22E2" w:rsidRPr="000C22E2">
              <w:rPr>
                <w:rFonts w:eastAsia="Calibri"/>
                <w:b/>
                <w:sz w:val="20"/>
                <w:szCs w:val="20"/>
                <w:lang w:eastAsia="en-US"/>
              </w:rPr>
              <w:t xml:space="preserve">predstavuje </w:t>
            </w:r>
            <w:r w:rsidR="002E2D5C">
              <w:rPr>
                <w:rFonts w:eastAsia="Calibri"/>
                <w:b/>
                <w:sz w:val="20"/>
                <w:szCs w:val="20"/>
                <w:lang w:eastAsia="en-US"/>
              </w:rPr>
              <w:t>aplikáciu</w:t>
            </w:r>
            <w:r w:rsidR="000C22E2" w:rsidRPr="000C22E2">
              <w:rPr>
                <w:rFonts w:eastAsia="Calibri"/>
                <w:b/>
                <w:sz w:val="20"/>
                <w:szCs w:val="20"/>
                <w:lang w:eastAsia="en-US"/>
              </w:rPr>
              <w:t xml:space="preserve"> </w:t>
            </w:r>
            <w:r w:rsidR="0058799F">
              <w:rPr>
                <w:rFonts w:eastAsia="Calibri"/>
                <w:b/>
                <w:sz w:val="20"/>
                <w:szCs w:val="20"/>
                <w:lang w:eastAsia="en-US"/>
              </w:rPr>
              <w:t>variantu</w:t>
            </w:r>
            <w:r w:rsidR="000C22E2" w:rsidRPr="000C22E2">
              <w:rPr>
                <w:rFonts w:eastAsia="Calibri"/>
                <w:b/>
                <w:sz w:val="20"/>
                <w:szCs w:val="20"/>
                <w:lang w:eastAsia="en-US"/>
              </w:rPr>
              <w:t xml:space="preserve"> č.</w:t>
            </w:r>
            <w:r w:rsidR="005A16C6">
              <w:rPr>
                <w:rFonts w:eastAsia="Calibri"/>
                <w:b/>
                <w:sz w:val="20"/>
                <w:szCs w:val="20"/>
                <w:lang w:eastAsia="en-US"/>
              </w:rPr>
              <w:t> </w:t>
            </w:r>
            <w:r w:rsidR="000C22E2" w:rsidRPr="000C22E2">
              <w:rPr>
                <w:rFonts w:eastAsia="Calibri"/>
                <w:b/>
                <w:sz w:val="20"/>
                <w:szCs w:val="20"/>
                <w:lang w:eastAsia="en-US"/>
              </w:rPr>
              <w:t>2</w:t>
            </w:r>
            <w:r w:rsidR="0099679A">
              <w:rPr>
                <w:rFonts w:eastAsia="Calibri"/>
                <w:b/>
                <w:sz w:val="20"/>
                <w:szCs w:val="20"/>
                <w:lang w:eastAsia="en-US"/>
              </w:rPr>
              <w:t xml:space="preserve"> a č. </w:t>
            </w:r>
            <w:r w:rsidR="00BD0705">
              <w:rPr>
                <w:rFonts w:eastAsia="Calibri"/>
                <w:b/>
                <w:sz w:val="20"/>
                <w:szCs w:val="20"/>
                <w:lang w:eastAsia="en-US"/>
              </w:rPr>
              <w:t>3</w:t>
            </w:r>
            <w:r w:rsidR="005A16C6">
              <w:rPr>
                <w:rFonts w:eastAsia="Calibri"/>
                <w:b/>
                <w:sz w:val="20"/>
                <w:szCs w:val="20"/>
                <w:lang w:eastAsia="en-US"/>
              </w:rPr>
              <w:t xml:space="preserve"> </w:t>
            </w:r>
            <w:r w:rsidR="006D516E">
              <w:rPr>
                <w:rFonts w:eastAsia="Calibri"/>
                <w:b/>
                <w:sz w:val="20"/>
                <w:szCs w:val="20"/>
              </w:rPr>
              <w:t>určenia</w:t>
            </w:r>
            <w:r w:rsidR="00A45AAA">
              <w:rPr>
                <w:rFonts w:eastAsia="Calibri"/>
                <w:b/>
                <w:sz w:val="20"/>
                <w:szCs w:val="20"/>
              </w:rPr>
              <w:t xml:space="preserve"> </w:t>
            </w:r>
            <w:r w:rsidR="005A16C6" w:rsidRPr="00D719FF">
              <w:rPr>
                <w:rFonts w:eastAsia="Calibri"/>
                <w:b/>
                <w:sz w:val="20"/>
                <w:szCs w:val="20"/>
              </w:rPr>
              <w:t>terminálnej jednotkovej sadzby a výpočtu terminálnej odplaty</w:t>
            </w:r>
            <w:r w:rsidR="005A16C6">
              <w:rPr>
                <w:rFonts w:eastAsia="Calibri"/>
                <w:b/>
                <w:sz w:val="20"/>
                <w:szCs w:val="20"/>
                <w:lang w:eastAsia="en-US"/>
              </w:rPr>
              <w:t xml:space="preserve"> a variantu č. </w:t>
            </w:r>
            <w:r w:rsidR="0099679A">
              <w:rPr>
                <w:rFonts w:eastAsia="Calibri"/>
                <w:b/>
                <w:sz w:val="20"/>
                <w:szCs w:val="20"/>
                <w:lang w:eastAsia="en-US"/>
              </w:rPr>
              <w:t xml:space="preserve">3 </w:t>
            </w:r>
            <w:r w:rsidR="005A16C6">
              <w:rPr>
                <w:rFonts w:eastAsia="Calibri"/>
                <w:b/>
                <w:sz w:val="20"/>
                <w:szCs w:val="20"/>
                <w:lang w:eastAsia="en-US"/>
              </w:rPr>
              <w:t>terminálnej zóny spoplatňovania</w:t>
            </w:r>
            <w:r w:rsidR="000C22E2" w:rsidRPr="000C22E2">
              <w:rPr>
                <w:rFonts w:eastAsia="Calibri"/>
                <w:b/>
                <w:sz w:val="20"/>
                <w:szCs w:val="20"/>
                <w:lang w:eastAsia="en-US"/>
              </w:rPr>
              <w:t>.</w:t>
            </w:r>
          </w:p>
        </w:tc>
      </w:tr>
      <w:tr w:rsidR="00517DFE" w:rsidRPr="00C05B9F" w:rsidTr="005C147B">
        <w:trPr>
          <w:divId w:val="981544907"/>
          <w:jc w:val="center"/>
        </w:trPr>
        <w:tc>
          <w:tcPr>
            <w:tcW w:w="250" w:type="pct"/>
            <w:tcBorders>
              <w:top w:val="outset" w:sz="6" w:space="0" w:color="000000"/>
              <w:bottom w:val="outset" w:sz="6" w:space="0" w:color="000000"/>
            </w:tcBorders>
            <w:shd w:val="clear" w:color="auto" w:fill="E6E6E6"/>
            <w:hideMark/>
          </w:tcPr>
          <w:p w:rsidR="00517DFE" w:rsidRPr="00D13742" w:rsidRDefault="00965708" w:rsidP="00576C9B">
            <w:pPr>
              <w:keepNext/>
              <w:rPr>
                <w:b/>
                <w:bCs/>
                <w:sz w:val="20"/>
                <w:szCs w:val="20"/>
              </w:rPr>
            </w:pPr>
            <w:r w:rsidRPr="00D13742">
              <w:rPr>
                <w:b/>
                <w:bCs/>
                <w:sz w:val="20"/>
                <w:szCs w:val="20"/>
              </w:rPr>
              <w:lastRenderedPageBreak/>
              <w:t xml:space="preserve">6. </w:t>
            </w:r>
            <w:r w:rsidR="00517DFE" w:rsidRPr="00D13742">
              <w:rPr>
                <w:b/>
                <w:bCs/>
                <w:sz w:val="20"/>
                <w:szCs w:val="20"/>
              </w:rPr>
              <w:t>Vykonávacie predpisy</w:t>
            </w:r>
          </w:p>
        </w:tc>
      </w:tr>
      <w:tr w:rsidR="00517DFE" w:rsidRPr="00C05B9F" w:rsidTr="005C147B">
        <w:trPr>
          <w:divId w:val="981544907"/>
          <w:jc w:val="center"/>
        </w:trPr>
        <w:tc>
          <w:tcPr>
            <w:tcW w:w="250" w:type="pct"/>
            <w:tcBorders>
              <w:top w:val="outset" w:sz="6" w:space="0" w:color="000000"/>
              <w:bottom w:val="outset" w:sz="6" w:space="0" w:color="000000"/>
            </w:tcBorders>
            <w:hideMark/>
          </w:tcPr>
          <w:p w:rsidR="00517DFE" w:rsidRPr="00D13742" w:rsidRDefault="00517DFE" w:rsidP="00576C9B">
            <w:pPr>
              <w:keepNext/>
              <w:tabs>
                <w:tab w:val="left" w:pos="0"/>
                <w:tab w:val="left" w:pos="6804"/>
                <w:tab w:val="left" w:pos="8505"/>
              </w:tabs>
              <w:rPr>
                <w:i/>
                <w:sz w:val="20"/>
                <w:szCs w:val="20"/>
              </w:rPr>
            </w:pPr>
            <w:r w:rsidRPr="00D13742">
              <w:rPr>
                <w:i/>
                <w:sz w:val="20"/>
                <w:szCs w:val="20"/>
              </w:rPr>
              <w:t>Predpokladá sa prijatie/zmena vykonávacích predpisov?</w:t>
            </w:r>
            <w:r w:rsidR="00FD54A0" w:rsidRPr="00D13742">
              <w:rPr>
                <w:i/>
                <w:sz w:val="20"/>
                <w:szCs w:val="20"/>
              </w:rPr>
              <w:tab/>
            </w:r>
            <w:r w:rsidR="00A50847" w:rsidRPr="00D13742">
              <w:rPr>
                <w:sz w:val="20"/>
                <w:szCs w:val="20"/>
              </w:rPr>
              <w:sym w:font="Wingdings 2" w:char="F0A3"/>
            </w:r>
            <w:r w:rsidRPr="00D13742">
              <w:rPr>
                <w:i/>
                <w:sz w:val="20"/>
                <w:szCs w:val="20"/>
              </w:rPr>
              <w:t xml:space="preserve"> Áno</w:t>
            </w:r>
            <w:r w:rsidR="002614F6" w:rsidRPr="00D13742">
              <w:rPr>
                <w:i/>
                <w:sz w:val="20"/>
                <w:szCs w:val="20"/>
              </w:rPr>
              <w:tab/>
            </w:r>
            <w:r w:rsidR="00A50847" w:rsidRPr="00D13742">
              <w:rPr>
                <w:rFonts w:ascii="Wingdings 2" w:hAnsi="Wingdings 2" w:cs="Times"/>
                <w:sz w:val="20"/>
                <w:szCs w:val="20"/>
              </w:rPr>
              <w:t></w:t>
            </w:r>
            <w:r w:rsidR="00A50847">
              <w:rPr>
                <w:i/>
                <w:sz w:val="20"/>
                <w:szCs w:val="20"/>
              </w:rPr>
              <w:t xml:space="preserve"> N</w:t>
            </w:r>
            <w:r w:rsidRPr="00D13742">
              <w:rPr>
                <w:i/>
                <w:sz w:val="20"/>
                <w:szCs w:val="20"/>
              </w:rPr>
              <w:t>ie</w:t>
            </w:r>
          </w:p>
          <w:p w:rsidR="00FD54A0" w:rsidRPr="00D13742" w:rsidRDefault="00FD54A0" w:rsidP="00576C9B">
            <w:pPr>
              <w:keepNext/>
              <w:rPr>
                <w:i/>
                <w:sz w:val="20"/>
                <w:szCs w:val="20"/>
              </w:rPr>
            </w:pPr>
            <w:r w:rsidRPr="00D13742">
              <w:rPr>
                <w:i/>
                <w:sz w:val="20"/>
                <w:szCs w:val="20"/>
              </w:rPr>
              <w:t>Ak áno, uveďte ktoré oblasti budú nimi upravené, resp. ktorých vykonávacích predpisov sa zmena dotkne:</w:t>
            </w:r>
          </w:p>
          <w:p w:rsidR="00683A89" w:rsidRDefault="00683A89" w:rsidP="00E23BB3">
            <w:pPr>
              <w:rPr>
                <w:sz w:val="20"/>
                <w:szCs w:val="20"/>
              </w:rPr>
            </w:pPr>
          </w:p>
          <w:p w:rsidR="00732792" w:rsidRPr="00A50847" w:rsidRDefault="00732792" w:rsidP="00E23BB3">
            <w:pPr>
              <w:rPr>
                <w:sz w:val="20"/>
                <w:szCs w:val="20"/>
              </w:rPr>
            </w:pPr>
          </w:p>
        </w:tc>
      </w:tr>
      <w:tr w:rsidR="00517DFE" w:rsidRPr="00C05B9F" w:rsidTr="005C147B">
        <w:trPr>
          <w:divId w:val="981544907"/>
          <w:jc w:val="center"/>
        </w:trPr>
        <w:tc>
          <w:tcPr>
            <w:tcW w:w="250" w:type="pct"/>
            <w:tcBorders>
              <w:top w:val="outset" w:sz="6" w:space="0" w:color="000000"/>
              <w:bottom w:val="outset" w:sz="6" w:space="0" w:color="000000"/>
            </w:tcBorders>
            <w:shd w:val="clear" w:color="auto" w:fill="E6E6E6"/>
            <w:hideMark/>
          </w:tcPr>
          <w:p w:rsidR="00517DFE" w:rsidRPr="00D13742" w:rsidRDefault="00517DFE" w:rsidP="00E23BB3">
            <w:pPr>
              <w:keepNext/>
              <w:rPr>
                <w:b/>
                <w:bCs/>
                <w:sz w:val="20"/>
                <w:szCs w:val="20"/>
              </w:rPr>
            </w:pPr>
            <w:r w:rsidRPr="00D13742">
              <w:rPr>
                <w:b/>
                <w:bCs/>
                <w:sz w:val="20"/>
                <w:szCs w:val="20"/>
              </w:rPr>
              <w:t xml:space="preserve">7. Transpozícia práva EÚ </w:t>
            </w:r>
          </w:p>
        </w:tc>
      </w:tr>
      <w:tr w:rsidR="00517DFE" w:rsidRPr="00C05B9F" w:rsidTr="005C147B">
        <w:trPr>
          <w:divId w:val="981544907"/>
          <w:jc w:val="center"/>
        </w:trPr>
        <w:tc>
          <w:tcPr>
            <w:tcW w:w="250" w:type="pct"/>
            <w:tcBorders>
              <w:top w:val="outset" w:sz="6" w:space="0" w:color="000000"/>
              <w:bottom w:val="outset" w:sz="6" w:space="0" w:color="000000"/>
            </w:tcBorders>
            <w:hideMark/>
          </w:tcPr>
          <w:p w:rsidR="00663B78" w:rsidRPr="00663B78" w:rsidRDefault="00663B78" w:rsidP="00E23BB3">
            <w:pPr>
              <w:jc w:val="both"/>
              <w:rPr>
                <w:i/>
                <w:sz w:val="20"/>
                <w:szCs w:val="20"/>
              </w:rPr>
            </w:pPr>
            <w:r w:rsidRPr="00663B78">
              <w:rPr>
                <w:i/>
                <w:sz w:val="20"/>
                <w:szCs w:val="20"/>
              </w:rPr>
              <w:t>Uveďte, v ktorých ustanoveniach ide národná právna úprava nad rámec minimálnych požiadaviek EÚ spolu s odôvodnením.</w:t>
            </w:r>
          </w:p>
          <w:p w:rsidR="00663B78" w:rsidRDefault="00663B78" w:rsidP="00E23BB3">
            <w:pPr>
              <w:rPr>
                <w:sz w:val="20"/>
                <w:szCs w:val="20"/>
                <w:lang w:eastAsia="en-US"/>
              </w:rPr>
            </w:pPr>
          </w:p>
          <w:p w:rsidR="0071161D" w:rsidRPr="00D13742" w:rsidRDefault="005C69C0" w:rsidP="00E23BB3">
            <w:pPr>
              <w:rPr>
                <w:sz w:val="20"/>
                <w:szCs w:val="20"/>
              </w:rPr>
            </w:pPr>
            <w:r>
              <w:rPr>
                <w:sz w:val="20"/>
                <w:szCs w:val="20"/>
                <w:lang w:eastAsia="en-US"/>
              </w:rPr>
              <w:t>Bezpredmetné</w:t>
            </w:r>
            <w:r w:rsidR="00090387">
              <w:rPr>
                <w:sz w:val="20"/>
                <w:szCs w:val="20"/>
                <w:lang w:eastAsia="en-US"/>
              </w:rPr>
              <w:t>.</w:t>
            </w:r>
          </w:p>
        </w:tc>
      </w:tr>
      <w:tr w:rsidR="00517DFE" w:rsidRPr="00C05B9F" w:rsidTr="005C147B">
        <w:trPr>
          <w:divId w:val="981544907"/>
          <w:jc w:val="center"/>
        </w:trPr>
        <w:tc>
          <w:tcPr>
            <w:tcW w:w="250" w:type="pct"/>
            <w:tcBorders>
              <w:top w:val="outset" w:sz="6" w:space="0" w:color="000000"/>
              <w:bottom w:val="outset" w:sz="6" w:space="0" w:color="000000"/>
            </w:tcBorders>
            <w:shd w:val="clear" w:color="auto" w:fill="E6E6E6"/>
            <w:hideMark/>
          </w:tcPr>
          <w:p w:rsidR="00517DFE" w:rsidRPr="00D13742" w:rsidRDefault="00517DFE" w:rsidP="00E23BB3">
            <w:pPr>
              <w:rPr>
                <w:b/>
                <w:bCs/>
                <w:sz w:val="20"/>
                <w:szCs w:val="20"/>
              </w:rPr>
            </w:pPr>
            <w:r w:rsidRPr="00D13742">
              <w:rPr>
                <w:b/>
                <w:bCs/>
                <w:sz w:val="20"/>
                <w:szCs w:val="20"/>
              </w:rPr>
              <w:t>8. Preskúmanie účelnosti**</w:t>
            </w:r>
          </w:p>
        </w:tc>
      </w:tr>
      <w:tr w:rsidR="00517DFE" w:rsidRPr="00C05B9F" w:rsidTr="005C147B">
        <w:trPr>
          <w:divId w:val="981544907"/>
          <w:jc w:val="center"/>
        </w:trPr>
        <w:tc>
          <w:tcPr>
            <w:tcW w:w="250" w:type="pct"/>
            <w:tcBorders>
              <w:top w:val="outset" w:sz="6" w:space="0" w:color="000000"/>
              <w:bottom w:val="outset" w:sz="6" w:space="0" w:color="000000"/>
            </w:tcBorders>
            <w:hideMark/>
          </w:tcPr>
          <w:p w:rsidR="00663B78" w:rsidRPr="00663B78" w:rsidRDefault="00663B78" w:rsidP="00E23BB3">
            <w:pPr>
              <w:rPr>
                <w:i/>
                <w:sz w:val="20"/>
                <w:szCs w:val="20"/>
              </w:rPr>
            </w:pPr>
            <w:r w:rsidRPr="00663B78">
              <w:rPr>
                <w:i/>
                <w:sz w:val="20"/>
                <w:szCs w:val="20"/>
              </w:rPr>
              <w:t>Uveďte termín, kedy by malo dôjsť k preskúmaniu účinnosti a účelnosti navrhovaného predpisu.</w:t>
            </w:r>
          </w:p>
          <w:p w:rsidR="00663B78" w:rsidRPr="00663B78" w:rsidRDefault="00663B78" w:rsidP="00E23BB3">
            <w:pPr>
              <w:rPr>
                <w:i/>
                <w:sz w:val="20"/>
                <w:szCs w:val="20"/>
              </w:rPr>
            </w:pPr>
            <w:r w:rsidRPr="00663B78">
              <w:rPr>
                <w:i/>
                <w:sz w:val="20"/>
                <w:szCs w:val="20"/>
              </w:rPr>
              <w:t>Uveďte kritériá, na základe ktorých bude preskúmanie vykonané.</w:t>
            </w:r>
          </w:p>
          <w:p w:rsidR="00663B78" w:rsidRPr="00D13742" w:rsidRDefault="00663B78" w:rsidP="00E23BB3">
            <w:pPr>
              <w:rPr>
                <w:b/>
                <w:bCs/>
                <w:sz w:val="20"/>
                <w:szCs w:val="20"/>
              </w:rPr>
            </w:pPr>
          </w:p>
          <w:p w:rsidR="00663B78" w:rsidRPr="00D13742" w:rsidRDefault="005C69C0" w:rsidP="00E23BB3">
            <w:pPr>
              <w:rPr>
                <w:b/>
                <w:bCs/>
                <w:sz w:val="20"/>
                <w:szCs w:val="20"/>
              </w:rPr>
            </w:pPr>
            <w:r>
              <w:rPr>
                <w:sz w:val="20"/>
                <w:szCs w:val="20"/>
                <w:lang w:eastAsia="en-US"/>
              </w:rPr>
              <w:t>Bezpredmetné.</w:t>
            </w:r>
          </w:p>
        </w:tc>
      </w:tr>
    </w:tbl>
    <w:p w:rsidR="00543B8E" w:rsidRPr="00C05B9F" w:rsidRDefault="00543B8E" w:rsidP="00E23BB3">
      <w:pPr>
        <w:ind w:left="142" w:hanging="142"/>
        <w:jc w:val="both"/>
        <w:rPr>
          <w:sz w:val="20"/>
          <w:szCs w:val="20"/>
        </w:rPr>
      </w:pPr>
      <w:r w:rsidRPr="00C05B9F">
        <w:rPr>
          <w:sz w:val="20"/>
          <w:szCs w:val="20"/>
        </w:rPr>
        <w:t xml:space="preserve">* vyplniť iba v prípade, ak materiál nie je zahrnutý do Plánu práce vlády Slovenskej republiky alebo Plánu legislatívnych úloh vlády Slovenskej republiky. </w:t>
      </w:r>
    </w:p>
    <w:p w:rsidR="00543B8E" w:rsidRPr="00C05B9F" w:rsidRDefault="00543B8E" w:rsidP="00E23BB3">
      <w:pPr>
        <w:pStyle w:val="Normlnywebov"/>
        <w:spacing w:before="0" w:beforeAutospacing="0" w:after="0" w:afterAutospacing="0"/>
        <w:rPr>
          <w:sz w:val="20"/>
          <w:szCs w:val="20"/>
        </w:rPr>
      </w:pPr>
      <w:r w:rsidRPr="00C05B9F">
        <w:rPr>
          <w:sz w:val="20"/>
          <w:szCs w:val="20"/>
        </w:rPr>
        <w:t>** nepovinné</w:t>
      </w:r>
    </w:p>
    <w:p w:rsidR="00517DFE" w:rsidRDefault="00517DFE" w:rsidP="00E23BB3">
      <w:pPr>
        <w:pStyle w:val="Normlnywebov"/>
        <w:spacing w:before="0" w:beforeAutospacing="0" w:after="0" w:afterAutospacing="0"/>
        <w:rPr>
          <w:bCs/>
          <w:sz w:val="22"/>
          <w:szCs w:val="22"/>
        </w:rPr>
      </w:pPr>
    </w:p>
    <w:tbl>
      <w:tblPr>
        <w:tblW w:w="9639" w:type="dxa"/>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4A0" w:firstRow="1" w:lastRow="0" w:firstColumn="1" w:lastColumn="0" w:noHBand="0" w:noVBand="1"/>
      </w:tblPr>
      <w:tblGrid>
        <w:gridCol w:w="3855"/>
        <w:gridCol w:w="1928"/>
        <w:gridCol w:w="1928"/>
        <w:gridCol w:w="1928"/>
      </w:tblGrid>
      <w:tr w:rsidR="00517DFE" w:rsidTr="005C147B">
        <w:trPr>
          <w:divId w:val="981544912"/>
          <w:jc w:val="center"/>
        </w:trPr>
        <w:tc>
          <w:tcPr>
            <w:tcW w:w="5000" w:type="pct"/>
            <w:gridSpan w:val="4"/>
            <w:tcBorders>
              <w:top w:val="outset" w:sz="6" w:space="0" w:color="000000"/>
              <w:bottom w:val="outset" w:sz="6" w:space="0" w:color="000000"/>
            </w:tcBorders>
            <w:shd w:val="clear" w:color="auto" w:fill="F2F2F2" w:themeFill="background1" w:themeFillShade="F2"/>
            <w:hideMark/>
          </w:tcPr>
          <w:p w:rsidR="00517DFE" w:rsidRPr="00D13742" w:rsidRDefault="00965708" w:rsidP="00E23BB3">
            <w:pPr>
              <w:rPr>
                <w:b/>
                <w:bCs/>
                <w:sz w:val="20"/>
                <w:szCs w:val="20"/>
              </w:rPr>
            </w:pPr>
            <w:r w:rsidRPr="00D13742">
              <w:rPr>
                <w:b/>
                <w:bCs/>
                <w:sz w:val="20"/>
                <w:szCs w:val="20"/>
              </w:rPr>
              <w:t xml:space="preserve">9. </w:t>
            </w:r>
            <w:r w:rsidR="00517DFE" w:rsidRPr="00D13742">
              <w:rPr>
                <w:b/>
                <w:bCs/>
                <w:sz w:val="20"/>
                <w:szCs w:val="20"/>
              </w:rPr>
              <w:t>Vplyvy navrhovaného materiálu</w:t>
            </w:r>
          </w:p>
        </w:tc>
      </w:tr>
      <w:tr w:rsidR="00363969" w:rsidTr="005C147B">
        <w:trPr>
          <w:divId w:val="981544912"/>
          <w:trHeight w:val="270"/>
          <w:jc w:val="center"/>
        </w:trPr>
        <w:tc>
          <w:tcPr>
            <w:tcW w:w="2000" w:type="pct"/>
            <w:tcBorders>
              <w:top w:val="outset" w:sz="6" w:space="0" w:color="000000"/>
              <w:bottom w:val="single" w:sz="4" w:space="0" w:color="D9D9D9" w:themeColor="background1" w:themeShade="D9"/>
              <w:right w:val="outset" w:sz="6" w:space="0" w:color="000000"/>
            </w:tcBorders>
            <w:shd w:val="clear" w:color="auto" w:fill="F2F2F2" w:themeFill="background1" w:themeFillShade="F2"/>
            <w:vAlign w:val="center"/>
            <w:hideMark/>
          </w:tcPr>
          <w:p w:rsidR="00363969" w:rsidRPr="00D13742" w:rsidRDefault="00363969" w:rsidP="00E23BB3">
            <w:pPr>
              <w:rPr>
                <w:b/>
                <w:bCs/>
                <w:sz w:val="20"/>
                <w:szCs w:val="20"/>
              </w:rPr>
            </w:pPr>
            <w:r w:rsidRPr="00D13742">
              <w:rPr>
                <w:b/>
                <w:bCs/>
                <w:sz w:val="20"/>
                <w:szCs w:val="20"/>
              </w:rPr>
              <w:t>Vplyvy na rozpočet verejnej správy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3969" w:rsidRPr="00D64089" w:rsidRDefault="00090387" w:rsidP="00E23BB3">
            <w:pPr>
              <w:rPr>
                <w:b/>
                <w:bCs/>
                <w:sz w:val="20"/>
                <w:szCs w:val="20"/>
              </w:rPr>
            </w:pPr>
            <w:r w:rsidRPr="00D64089">
              <w:rPr>
                <w:rFonts w:ascii="Wingdings 2" w:hAnsi="Wingdings 2" w:cs="Times"/>
                <w:b/>
                <w:sz w:val="20"/>
                <w:szCs w:val="20"/>
              </w:rPr>
              <w:t></w:t>
            </w:r>
            <w:r w:rsidR="00363969" w:rsidRPr="00D64089">
              <w:rPr>
                <w:b/>
                <w:bC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3969" w:rsidRPr="00D64089" w:rsidRDefault="00D64089" w:rsidP="00E23BB3">
            <w:pPr>
              <w:rPr>
                <w:rFonts w:ascii="Times" w:hAnsi="Times" w:cs="Times"/>
                <w:b/>
                <w:sz w:val="20"/>
                <w:szCs w:val="20"/>
              </w:rPr>
            </w:pPr>
            <w:r w:rsidRPr="00D64089">
              <w:rPr>
                <w:rFonts w:ascii="Wingdings 2" w:hAnsi="Wingdings 2" w:cs="Times"/>
                <w:b/>
                <w:sz w:val="20"/>
                <w:szCs w:val="20"/>
              </w:rPr>
              <w:t></w:t>
            </w:r>
            <w:r w:rsidR="00363969" w:rsidRPr="00D64089">
              <w:rPr>
                <w:rFonts w:ascii="Times" w:hAnsi="Times" w:cs="Times"/>
                <w:b/>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3969" w:rsidRPr="00D64089" w:rsidRDefault="00D64089" w:rsidP="00E23BB3">
            <w:pPr>
              <w:rPr>
                <w:rFonts w:ascii="Times" w:hAnsi="Times" w:cs="Times"/>
                <w:b/>
                <w:sz w:val="20"/>
                <w:szCs w:val="20"/>
              </w:rPr>
            </w:pPr>
            <w:r w:rsidRPr="00D64089">
              <w:rPr>
                <w:rFonts w:ascii="Wingdings 2" w:hAnsi="Wingdings 2" w:cs="Times"/>
                <w:b/>
                <w:sz w:val="20"/>
                <w:szCs w:val="20"/>
              </w:rPr>
              <w:t></w:t>
            </w:r>
            <w:r w:rsidR="00363969" w:rsidRPr="00D64089">
              <w:rPr>
                <w:rFonts w:ascii="Times" w:hAnsi="Times" w:cs="Times"/>
                <w:b/>
                <w:sz w:val="20"/>
                <w:szCs w:val="20"/>
              </w:rPr>
              <w:t xml:space="preserve"> Negatívne</w:t>
            </w:r>
          </w:p>
        </w:tc>
      </w:tr>
      <w:tr w:rsidR="00363969" w:rsidTr="00556931">
        <w:trPr>
          <w:divId w:val="981544912"/>
          <w:trHeight w:val="270"/>
          <w:jc w:val="center"/>
        </w:trPr>
        <w:tc>
          <w:tcPr>
            <w:tcW w:w="2000" w:type="pct"/>
            <w:tcBorders>
              <w:top w:val="single" w:sz="4" w:space="0" w:color="D9D9D9" w:themeColor="background1" w:themeShade="D9"/>
              <w:bottom w:val="outset" w:sz="6" w:space="0" w:color="000000"/>
              <w:right w:val="outset" w:sz="6" w:space="0" w:color="000000"/>
            </w:tcBorders>
            <w:shd w:val="clear" w:color="auto" w:fill="F2F2F2" w:themeFill="background1" w:themeFillShade="F2"/>
            <w:vAlign w:val="center"/>
            <w:hideMark/>
          </w:tcPr>
          <w:p w:rsidR="00363969" w:rsidRPr="00D13742" w:rsidRDefault="00363969" w:rsidP="00E23BB3">
            <w:pPr>
              <w:rPr>
                <w:sz w:val="20"/>
                <w:szCs w:val="20"/>
              </w:rPr>
            </w:pPr>
            <w:r w:rsidRPr="00D13742">
              <w:rPr>
                <w:sz w:val="20"/>
                <w:szCs w:val="20"/>
              </w:rPr>
              <w:t>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3969" w:rsidRPr="00D64089" w:rsidRDefault="00D64089" w:rsidP="00E23BB3">
            <w:pPr>
              <w:rPr>
                <w:rFonts w:ascii="Times" w:hAnsi="Times" w:cs="Times"/>
                <w:sz w:val="20"/>
                <w:szCs w:val="20"/>
              </w:rPr>
            </w:pPr>
            <w:r w:rsidRPr="00D64089">
              <w:rPr>
                <w:rFonts w:ascii="Wingdings 2" w:hAnsi="Wingdings 2" w:cs="Times"/>
                <w:sz w:val="20"/>
                <w:szCs w:val="20"/>
              </w:rPr>
              <w:t></w:t>
            </w:r>
            <w:r w:rsidR="00363969" w:rsidRPr="00D64089">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3969" w:rsidRPr="00D64089" w:rsidRDefault="00ED3C56" w:rsidP="00E23BB3">
            <w:pPr>
              <w:rPr>
                <w:rFonts w:ascii="Times" w:hAnsi="Times" w:cs="Times"/>
                <w:sz w:val="20"/>
                <w:szCs w:val="20"/>
              </w:rPr>
            </w:pPr>
            <w:r w:rsidRPr="00D64089">
              <w:rPr>
                <w:rFonts w:ascii="Wingdings 2" w:hAnsi="Wingdings 2" w:cs="Times"/>
                <w:sz w:val="20"/>
                <w:szCs w:val="20"/>
              </w:rPr>
              <w:t></w:t>
            </w:r>
            <w:r w:rsidR="00363969" w:rsidRPr="00D64089">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363969" w:rsidRPr="00D64089" w:rsidRDefault="00A50847" w:rsidP="00E23BB3">
            <w:pPr>
              <w:rPr>
                <w:rFonts w:ascii="Times" w:hAnsi="Times" w:cs="Times"/>
                <w:sz w:val="20"/>
                <w:szCs w:val="20"/>
              </w:rPr>
            </w:pPr>
            <w:r w:rsidRPr="00D64089">
              <w:rPr>
                <w:rFonts w:ascii="Wingdings 2" w:hAnsi="Wingdings 2" w:cs="Times"/>
                <w:sz w:val="20"/>
                <w:szCs w:val="20"/>
              </w:rPr>
              <w:t></w:t>
            </w:r>
            <w:r w:rsidR="00363969" w:rsidRPr="00D64089">
              <w:rPr>
                <w:rFonts w:ascii="Times" w:hAnsi="Times" w:cs="Times"/>
                <w:sz w:val="20"/>
                <w:szCs w:val="20"/>
              </w:rPr>
              <w:t xml:space="preserve"> Čiastočne</w:t>
            </w:r>
          </w:p>
        </w:tc>
      </w:tr>
      <w:tr w:rsidR="00363969" w:rsidTr="00556931">
        <w:trPr>
          <w:divId w:val="981544912"/>
          <w:trHeight w:val="270"/>
          <w:jc w:val="center"/>
        </w:trPr>
        <w:tc>
          <w:tcPr>
            <w:tcW w:w="2000" w:type="pct"/>
            <w:tcBorders>
              <w:top w:val="outset" w:sz="6" w:space="0" w:color="000000"/>
              <w:bottom w:val="single" w:sz="4" w:space="0" w:color="D9D9D9" w:themeColor="background1" w:themeShade="D9"/>
              <w:right w:val="outset" w:sz="6" w:space="0" w:color="000000"/>
            </w:tcBorders>
            <w:shd w:val="clear" w:color="auto" w:fill="F2F2F2" w:themeFill="background1" w:themeFillShade="F2"/>
            <w:vAlign w:val="center"/>
          </w:tcPr>
          <w:p w:rsidR="00363969" w:rsidRPr="00D13742" w:rsidRDefault="00363969" w:rsidP="00E23BB3">
            <w:pPr>
              <w:rPr>
                <w:b/>
                <w:bCs/>
                <w:sz w:val="20"/>
                <w:szCs w:val="20"/>
              </w:rPr>
            </w:pPr>
            <w:r w:rsidRPr="00D13742">
              <w:rPr>
                <w:b/>
                <w:bCs/>
                <w:sz w:val="20"/>
                <w:szCs w:val="20"/>
              </w:rPr>
              <w:t>Vplyvy na podnikateľské prostredie</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D64089" w:rsidRDefault="005F4C60" w:rsidP="00E23BB3">
            <w:pPr>
              <w:rPr>
                <w:rFonts w:ascii="Times" w:hAnsi="Times" w:cs="Times"/>
                <w:b/>
                <w:sz w:val="20"/>
                <w:szCs w:val="20"/>
              </w:rPr>
            </w:pPr>
            <w:r w:rsidRPr="00D64089">
              <w:rPr>
                <w:rFonts w:ascii="Wingdings 2" w:hAnsi="Wingdings 2" w:cs="Times"/>
                <w:b/>
                <w:sz w:val="20"/>
                <w:szCs w:val="20"/>
              </w:rPr>
              <w:t></w:t>
            </w:r>
            <w:r w:rsidR="00363969" w:rsidRPr="00D64089">
              <w:rPr>
                <w:rFonts w:ascii="Times" w:hAnsi="Times" w:cs="Times"/>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D64089" w:rsidRDefault="005F4C60" w:rsidP="00E23BB3">
            <w:pPr>
              <w:rPr>
                <w:rFonts w:ascii="Times" w:hAnsi="Times" w:cs="Times"/>
                <w:b/>
                <w:sz w:val="20"/>
                <w:szCs w:val="20"/>
              </w:rPr>
            </w:pPr>
            <w:r w:rsidRPr="00D64089">
              <w:rPr>
                <w:rFonts w:ascii="Wingdings 2" w:hAnsi="Wingdings 2" w:cs="Times"/>
                <w:b/>
                <w:sz w:val="20"/>
                <w:szCs w:val="20"/>
              </w:rPr>
              <w:t></w:t>
            </w:r>
            <w:r w:rsidR="00363969" w:rsidRPr="00D64089">
              <w:rPr>
                <w:rFonts w:ascii="Times" w:hAnsi="Times" w:cs="Times"/>
                <w:b/>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363969" w:rsidRPr="00D64089" w:rsidRDefault="005F4C60" w:rsidP="00E23BB3">
            <w:pPr>
              <w:rPr>
                <w:b/>
                <w:sz w:val="20"/>
                <w:szCs w:val="20"/>
              </w:rPr>
            </w:pPr>
            <w:r w:rsidRPr="00D64089">
              <w:rPr>
                <w:rFonts w:ascii="Wingdings 2" w:hAnsi="Wingdings 2" w:cs="Times"/>
                <w:b/>
                <w:sz w:val="20"/>
                <w:szCs w:val="20"/>
              </w:rPr>
              <w:t></w:t>
            </w:r>
            <w:r w:rsidR="00363969" w:rsidRPr="00D64089">
              <w:rPr>
                <w:rFonts w:ascii="Times" w:hAnsi="Times" w:cs="Times"/>
                <w:b/>
                <w:sz w:val="20"/>
                <w:szCs w:val="20"/>
              </w:rPr>
              <w:t xml:space="preserve"> Negatívne</w:t>
            </w:r>
          </w:p>
        </w:tc>
      </w:tr>
      <w:tr w:rsidR="00363969" w:rsidTr="00556931">
        <w:trPr>
          <w:divId w:val="981544912"/>
          <w:trHeight w:val="270"/>
          <w:jc w:val="center"/>
        </w:trPr>
        <w:tc>
          <w:tcPr>
            <w:tcW w:w="2000" w:type="pct"/>
            <w:tcBorders>
              <w:top w:val="single" w:sz="4" w:space="0" w:color="D9D9D9" w:themeColor="background1" w:themeShade="D9"/>
              <w:bottom w:val="outset" w:sz="6" w:space="0" w:color="000000"/>
              <w:right w:val="outset" w:sz="6" w:space="0" w:color="000000"/>
            </w:tcBorders>
            <w:shd w:val="clear" w:color="auto" w:fill="F2F2F2" w:themeFill="background1" w:themeFillShade="F2"/>
            <w:vAlign w:val="center"/>
          </w:tcPr>
          <w:p w:rsidR="00363969" w:rsidRPr="00D13742" w:rsidRDefault="00363969" w:rsidP="00E23BB3">
            <w:pPr>
              <w:rPr>
                <w:sz w:val="20"/>
                <w:szCs w:val="20"/>
              </w:rPr>
            </w:pPr>
            <w:r w:rsidRPr="00D13742">
              <w:rPr>
                <w:sz w:val="20"/>
                <w:szCs w:val="20"/>
              </w:rPr>
              <w:t>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D64089" w:rsidRDefault="005F4C60" w:rsidP="00E23BB3">
            <w:pPr>
              <w:rPr>
                <w:rFonts w:ascii="Times" w:hAnsi="Times" w:cs="Times"/>
                <w:sz w:val="20"/>
                <w:szCs w:val="20"/>
              </w:rPr>
            </w:pPr>
            <w:r w:rsidRPr="00D64089">
              <w:rPr>
                <w:rFonts w:ascii="Wingdings 2" w:hAnsi="Wingdings 2" w:cs="Times"/>
                <w:sz w:val="20"/>
                <w:szCs w:val="20"/>
              </w:rPr>
              <w:t></w:t>
            </w:r>
            <w:r w:rsidR="00363969" w:rsidRPr="00D64089">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D64089" w:rsidRDefault="005F4C60" w:rsidP="00E23BB3">
            <w:pPr>
              <w:rPr>
                <w:rFonts w:ascii="Times" w:hAnsi="Times" w:cs="Times"/>
                <w:sz w:val="20"/>
                <w:szCs w:val="20"/>
              </w:rPr>
            </w:pPr>
            <w:r w:rsidRPr="00D64089">
              <w:rPr>
                <w:rFonts w:ascii="Wingdings 2" w:hAnsi="Wingdings 2" w:cs="Times"/>
                <w:sz w:val="20"/>
                <w:szCs w:val="20"/>
              </w:rPr>
              <w:t></w:t>
            </w:r>
            <w:r w:rsidR="00363969" w:rsidRPr="00D64089">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363969" w:rsidRPr="00D64089" w:rsidRDefault="005F4C60" w:rsidP="00E23BB3">
            <w:pPr>
              <w:rPr>
                <w:sz w:val="20"/>
                <w:szCs w:val="20"/>
              </w:rPr>
            </w:pPr>
            <w:r w:rsidRPr="00D64089">
              <w:rPr>
                <w:rFonts w:ascii="Wingdings 2" w:hAnsi="Wingdings 2" w:cs="Times"/>
                <w:sz w:val="20"/>
                <w:szCs w:val="20"/>
              </w:rPr>
              <w:t></w:t>
            </w:r>
            <w:r w:rsidR="00363969" w:rsidRPr="00D64089">
              <w:rPr>
                <w:rFonts w:ascii="Times" w:hAnsi="Times" w:cs="Times"/>
                <w:sz w:val="20"/>
                <w:szCs w:val="20"/>
              </w:rPr>
              <w:t xml:space="preserve"> Negatívne</w:t>
            </w:r>
          </w:p>
        </w:tc>
      </w:tr>
      <w:tr w:rsidR="00363969" w:rsidTr="00556931">
        <w:trPr>
          <w:divId w:val="981544912"/>
          <w:trHeight w:val="270"/>
          <w:jc w:val="center"/>
        </w:trPr>
        <w:tc>
          <w:tcPr>
            <w:tcW w:w="2000" w:type="pct"/>
            <w:tcBorders>
              <w:top w:val="outset" w:sz="6" w:space="0" w:color="000000"/>
              <w:bottom w:val="outset" w:sz="6" w:space="0" w:color="000000"/>
              <w:right w:val="outset" w:sz="6" w:space="0" w:color="000000"/>
            </w:tcBorders>
            <w:shd w:val="clear" w:color="auto" w:fill="F2F2F2" w:themeFill="background1" w:themeFillShade="F2"/>
            <w:vAlign w:val="center"/>
          </w:tcPr>
          <w:p w:rsidR="00363969" w:rsidRPr="00D13742" w:rsidRDefault="00363969" w:rsidP="00E23BB3">
            <w:pPr>
              <w:rPr>
                <w:sz w:val="20"/>
                <w:szCs w:val="20"/>
              </w:rPr>
            </w:pPr>
            <w:r w:rsidRPr="00D13742">
              <w:rPr>
                <w:b/>
                <w:bCs/>
                <w:sz w:val="20"/>
                <w:szCs w:val="20"/>
              </w:rPr>
              <w:t>Sociálne vplyvy</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C3363B" w:rsidRDefault="00363969" w:rsidP="00E23BB3">
            <w:pPr>
              <w:rPr>
                <w:rFonts w:ascii="Times" w:hAnsi="Times" w:cs="Times"/>
                <w:b/>
                <w:sz w:val="20"/>
                <w:szCs w:val="20"/>
              </w:rPr>
            </w:pPr>
            <w:r w:rsidRPr="00C3363B">
              <w:rPr>
                <w:rFonts w:ascii="Wingdings 2" w:hAnsi="Wingdings 2" w:cs="Times"/>
                <w:b/>
                <w:sz w:val="20"/>
                <w:szCs w:val="20"/>
              </w:rPr>
              <w:t></w:t>
            </w:r>
            <w:r w:rsidRPr="00C3363B">
              <w:rPr>
                <w:rFonts w:ascii="Times" w:hAnsi="Times" w:cs="Times"/>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C3363B" w:rsidRDefault="00363969" w:rsidP="00E23BB3">
            <w:pPr>
              <w:rPr>
                <w:rFonts w:ascii="Times" w:hAnsi="Times" w:cs="Times"/>
                <w:b/>
                <w:sz w:val="20"/>
                <w:szCs w:val="20"/>
              </w:rPr>
            </w:pPr>
            <w:r w:rsidRPr="00C3363B">
              <w:rPr>
                <w:rFonts w:ascii="Wingdings 2" w:hAnsi="Wingdings 2" w:cs="Times"/>
                <w:b/>
                <w:sz w:val="20"/>
                <w:szCs w:val="20"/>
              </w:rPr>
              <w:t></w:t>
            </w:r>
            <w:r w:rsidRPr="00C3363B">
              <w:rPr>
                <w:rFonts w:ascii="Times" w:hAnsi="Times" w:cs="Times"/>
                <w:b/>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363969" w:rsidRPr="00C3363B" w:rsidRDefault="00363969" w:rsidP="00E23BB3">
            <w:pPr>
              <w:rPr>
                <w:b/>
                <w:sz w:val="20"/>
                <w:szCs w:val="20"/>
              </w:rPr>
            </w:pPr>
            <w:r w:rsidRPr="00C3363B">
              <w:rPr>
                <w:rFonts w:ascii="Wingdings 2" w:hAnsi="Wingdings 2" w:cs="Times"/>
                <w:b/>
                <w:sz w:val="20"/>
                <w:szCs w:val="20"/>
              </w:rPr>
              <w:t></w:t>
            </w:r>
            <w:r w:rsidRPr="00C3363B">
              <w:rPr>
                <w:rFonts w:ascii="Times" w:hAnsi="Times" w:cs="Times"/>
                <w:b/>
                <w:sz w:val="20"/>
                <w:szCs w:val="20"/>
              </w:rPr>
              <w:t xml:space="preserve"> Negatívne</w:t>
            </w:r>
          </w:p>
        </w:tc>
      </w:tr>
      <w:tr w:rsidR="00363969" w:rsidTr="00556931">
        <w:trPr>
          <w:divId w:val="981544912"/>
          <w:trHeight w:val="270"/>
          <w:jc w:val="center"/>
        </w:trPr>
        <w:tc>
          <w:tcPr>
            <w:tcW w:w="2000" w:type="pct"/>
            <w:tcBorders>
              <w:top w:val="outset" w:sz="6" w:space="0" w:color="000000"/>
              <w:bottom w:val="outset" w:sz="6" w:space="0" w:color="000000"/>
              <w:right w:val="outset" w:sz="6" w:space="0" w:color="000000"/>
            </w:tcBorders>
            <w:shd w:val="clear" w:color="auto" w:fill="F2F2F2" w:themeFill="background1" w:themeFillShade="F2"/>
            <w:vAlign w:val="center"/>
          </w:tcPr>
          <w:p w:rsidR="00363969" w:rsidRPr="00D13742" w:rsidRDefault="00363969" w:rsidP="00E23BB3">
            <w:pPr>
              <w:rPr>
                <w:sz w:val="20"/>
                <w:szCs w:val="20"/>
              </w:rPr>
            </w:pPr>
            <w:r w:rsidRPr="00D13742">
              <w:rPr>
                <w:b/>
                <w:bCs/>
                <w:sz w:val="20"/>
                <w:szCs w:val="20"/>
              </w:rPr>
              <w:t>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C3363B" w:rsidRDefault="00363969" w:rsidP="00E23BB3">
            <w:pPr>
              <w:rPr>
                <w:rFonts w:ascii="Times" w:hAnsi="Times" w:cs="Times"/>
                <w:b/>
                <w:sz w:val="20"/>
                <w:szCs w:val="20"/>
              </w:rPr>
            </w:pPr>
            <w:r w:rsidRPr="00C3363B">
              <w:rPr>
                <w:rFonts w:ascii="Wingdings 2" w:hAnsi="Wingdings 2" w:cs="Times"/>
                <w:b/>
                <w:sz w:val="20"/>
                <w:szCs w:val="20"/>
              </w:rPr>
              <w:t></w:t>
            </w:r>
            <w:r w:rsidRPr="00C3363B">
              <w:rPr>
                <w:rFonts w:ascii="Times" w:hAnsi="Times" w:cs="Times"/>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C3363B" w:rsidRDefault="00363969" w:rsidP="00E23BB3">
            <w:pPr>
              <w:rPr>
                <w:rFonts w:ascii="Times" w:hAnsi="Times" w:cs="Times"/>
                <w:b/>
                <w:sz w:val="20"/>
                <w:szCs w:val="20"/>
              </w:rPr>
            </w:pPr>
            <w:r w:rsidRPr="00C3363B">
              <w:rPr>
                <w:rFonts w:ascii="Wingdings 2" w:hAnsi="Wingdings 2" w:cs="Times"/>
                <w:b/>
                <w:sz w:val="20"/>
                <w:szCs w:val="20"/>
              </w:rPr>
              <w:t></w:t>
            </w:r>
            <w:r w:rsidRPr="00C3363B">
              <w:rPr>
                <w:rFonts w:ascii="Times" w:hAnsi="Times" w:cs="Times"/>
                <w:b/>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363969" w:rsidRPr="00C3363B" w:rsidRDefault="00363969" w:rsidP="00E23BB3">
            <w:pPr>
              <w:rPr>
                <w:b/>
                <w:sz w:val="20"/>
                <w:szCs w:val="20"/>
              </w:rPr>
            </w:pPr>
            <w:r w:rsidRPr="00C3363B">
              <w:rPr>
                <w:rFonts w:ascii="Wingdings 2" w:hAnsi="Wingdings 2" w:cs="Times"/>
                <w:b/>
                <w:sz w:val="20"/>
                <w:szCs w:val="20"/>
              </w:rPr>
              <w:t></w:t>
            </w:r>
            <w:r w:rsidRPr="00C3363B">
              <w:rPr>
                <w:rFonts w:ascii="Times" w:hAnsi="Times" w:cs="Times"/>
                <w:b/>
                <w:sz w:val="20"/>
                <w:szCs w:val="20"/>
              </w:rPr>
              <w:t xml:space="preserve"> Negatívne</w:t>
            </w:r>
          </w:p>
        </w:tc>
      </w:tr>
      <w:tr w:rsidR="00363969" w:rsidTr="00556931">
        <w:trPr>
          <w:divId w:val="981544912"/>
          <w:trHeight w:val="270"/>
          <w:jc w:val="center"/>
        </w:trPr>
        <w:tc>
          <w:tcPr>
            <w:tcW w:w="2000" w:type="pct"/>
            <w:tcBorders>
              <w:top w:val="outset" w:sz="6" w:space="0" w:color="000000"/>
              <w:bottom w:val="outset" w:sz="6" w:space="0" w:color="000000"/>
              <w:right w:val="outset" w:sz="6" w:space="0" w:color="000000"/>
            </w:tcBorders>
            <w:shd w:val="clear" w:color="auto" w:fill="F2F2F2" w:themeFill="background1" w:themeFillShade="F2"/>
            <w:vAlign w:val="center"/>
          </w:tcPr>
          <w:p w:rsidR="00363969" w:rsidRPr="00D13742" w:rsidRDefault="00363969" w:rsidP="00E23BB3">
            <w:pPr>
              <w:rPr>
                <w:b/>
                <w:bCs/>
                <w:sz w:val="20"/>
                <w:szCs w:val="20"/>
              </w:rPr>
            </w:pPr>
            <w:r w:rsidRPr="00D13742">
              <w:rPr>
                <w:b/>
                <w:bCs/>
                <w:sz w:val="20"/>
                <w:szCs w:val="20"/>
              </w:rPr>
              <w:t>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C3363B" w:rsidRDefault="00A50847" w:rsidP="00E23BB3">
            <w:pPr>
              <w:rPr>
                <w:rFonts w:ascii="Times" w:hAnsi="Times" w:cs="Times"/>
                <w:b/>
                <w:sz w:val="20"/>
                <w:szCs w:val="20"/>
              </w:rPr>
            </w:pPr>
            <w:r w:rsidRPr="00C3363B">
              <w:rPr>
                <w:rFonts w:ascii="Wingdings 2" w:hAnsi="Wingdings 2" w:cs="Times"/>
                <w:b/>
                <w:sz w:val="20"/>
                <w:szCs w:val="20"/>
              </w:rPr>
              <w:t></w:t>
            </w:r>
            <w:r w:rsidR="00363969" w:rsidRPr="00C3363B">
              <w:rPr>
                <w:rFonts w:ascii="Times" w:hAnsi="Times" w:cs="Times"/>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C3363B" w:rsidRDefault="00A50847" w:rsidP="00E23BB3">
            <w:pPr>
              <w:rPr>
                <w:rFonts w:ascii="Times" w:hAnsi="Times" w:cs="Times"/>
                <w:b/>
                <w:sz w:val="20"/>
                <w:szCs w:val="20"/>
              </w:rPr>
            </w:pPr>
            <w:r w:rsidRPr="00C3363B">
              <w:rPr>
                <w:rFonts w:ascii="Wingdings 2" w:hAnsi="Wingdings 2" w:cs="Times"/>
                <w:b/>
                <w:sz w:val="20"/>
                <w:szCs w:val="20"/>
              </w:rPr>
              <w:t></w:t>
            </w:r>
            <w:r w:rsidR="00363969" w:rsidRPr="00C3363B">
              <w:rPr>
                <w:rFonts w:ascii="Times" w:hAnsi="Times" w:cs="Times"/>
                <w:b/>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363969" w:rsidRPr="00C3363B" w:rsidRDefault="00363969" w:rsidP="00E23BB3">
            <w:pPr>
              <w:rPr>
                <w:b/>
                <w:sz w:val="20"/>
                <w:szCs w:val="20"/>
              </w:rPr>
            </w:pPr>
            <w:r w:rsidRPr="00C3363B">
              <w:rPr>
                <w:rFonts w:ascii="Wingdings 2" w:hAnsi="Wingdings 2" w:cs="Times"/>
                <w:b/>
                <w:sz w:val="20"/>
                <w:szCs w:val="20"/>
              </w:rPr>
              <w:t></w:t>
            </w:r>
            <w:r w:rsidRPr="00C3363B">
              <w:rPr>
                <w:rFonts w:ascii="Times" w:hAnsi="Times" w:cs="Times"/>
                <w:b/>
                <w:sz w:val="20"/>
                <w:szCs w:val="20"/>
              </w:rPr>
              <w:t xml:space="preserve"> Negatívne</w:t>
            </w:r>
          </w:p>
        </w:tc>
      </w:tr>
      <w:tr w:rsidR="00363969" w:rsidTr="00556931">
        <w:trPr>
          <w:divId w:val="981544912"/>
          <w:trHeight w:val="270"/>
          <w:jc w:val="center"/>
        </w:trPr>
        <w:tc>
          <w:tcPr>
            <w:tcW w:w="2000" w:type="pct"/>
            <w:tcBorders>
              <w:top w:val="outset" w:sz="6" w:space="0" w:color="000000"/>
              <w:bottom w:val="single" w:sz="4" w:space="0" w:color="D9D9D9" w:themeColor="background1" w:themeShade="D9"/>
              <w:right w:val="outset" w:sz="6" w:space="0" w:color="000000"/>
            </w:tcBorders>
            <w:shd w:val="clear" w:color="auto" w:fill="F2F2F2" w:themeFill="background1" w:themeFillShade="F2"/>
            <w:vAlign w:val="center"/>
          </w:tcPr>
          <w:p w:rsidR="00363969" w:rsidRPr="00D13742" w:rsidRDefault="00363969" w:rsidP="00E23BB3">
            <w:pPr>
              <w:rPr>
                <w:b/>
                <w:bCs/>
                <w:sz w:val="20"/>
                <w:szCs w:val="20"/>
              </w:rPr>
            </w:pPr>
            <w:r w:rsidRPr="00D13742">
              <w:rPr>
                <w:b/>
                <w:bCs/>
                <w:sz w:val="20"/>
                <w:szCs w:val="20"/>
              </w:rPr>
              <w:t>Vplyvy na služby pre občana z toho</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D13742" w:rsidRDefault="00363969" w:rsidP="00E23BB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D13742" w:rsidRDefault="00363969" w:rsidP="00E23BB3">
            <w:pPr>
              <w:rPr>
                <w:rFonts w:ascii="Times" w:hAnsi="Times" w:cs="Times"/>
                <w:sz w:val="20"/>
                <w:szCs w:val="20"/>
              </w:rPr>
            </w:pPr>
          </w:p>
        </w:tc>
        <w:tc>
          <w:tcPr>
            <w:tcW w:w="1000" w:type="pct"/>
            <w:tcBorders>
              <w:top w:val="outset" w:sz="6" w:space="0" w:color="000000"/>
              <w:left w:val="outset" w:sz="6" w:space="0" w:color="000000"/>
              <w:bottom w:val="outset" w:sz="6" w:space="0" w:color="000000"/>
            </w:tcBorders>
            <w:vAlign w:val="center"/>
          </w:tcPr>
          <w:p w:rsidR="00363969" w:rsidRPr="00D13742" w:rsidRDefault="00363969" w:rsidP="00E23BB3">
            <w:pPr>
              <w:rPr>
                <w:sz w:val="20"/>
                <w:szCs w:val="20"/>
              </w:rPr>
            </w:pPr>
          </w:p>
        </w:tc>
      </w:tr>
      <w:tr w:rsidR="00363969" w:rsidTr="00556931">
        <w:trPr>
          <w:divId w:val="981544912"/>
          <w:trHeight w:val="270"/>
          <w:jc w:val="center"/>
        </w:trPr>
        <w:tc>
          <w:tcPr>
            <w:tcW w:w="2000" w:type="pct"/>
            <w:tcBorders>
              <w:top w:val="single" w:sz="4" w:space="0" w:color="D9D9D9" w:themeColor="background1" w:themeShade="D9"/>
              <w:bottom w:val="single" w:sz="4" w:space="0" w:color="D9D9D9" w:themeColor="background1" w:themeShade="D9"/>
              <w:right w:val="outset" w:sz="6" w:space="0" w:color="000000"/>
            </w:tcBorders>
            <w:shd w:val="clear" w:color="auto" w:fill="F2F2F2" w:themeFill="background1" w:themeFillShade="F2"/>
            <w:vAlign w:val="center"/>
          </w:tcPr>
          <w:p w:rsidR="00363969" w:rsidRPr="00D13742" w:rsidRDefault="00363969" w:rsidP="00E23BB3">
            <w:pPr>
              <w:rPr>
                <w:b/>
                <w:bCs/>
                <w:sz w:val="20"/>
                <w:szCs w:val="20"/>
              </w:rPr>
            </w:pPr>
            <w:r w:rsidRPr="00D13742">
              <w:rPr>
                <w:sz w:val="20"/>
                <w:szCs w:val="20"/>
              </w:rPr>
              <w:t>vplyvy služieb verejnej správy na občana</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C3363B" w:rsidRDefault="00363969" w:rsidP="00E23BB3">
            <w:pPr>
              <w:rPr>
                <w:rFonts w:ascii="Times" w:hAnsi="Times" w:cs="Times"/>
                <w:b/>
                <w:sz w:val="20"/>
                <w:szCs w:val="20"/>
              </w:rPr>
            </w:pPr>
            <w:r w:rsidRPr="00C3363B">
              <w:rPr>
                <w:rFonts w:ascii="Wingdings 2" w:hAnsi="Wingdings 2" w:cs="Times"/>
                <w:b/>
                <w:sz w:val="20"/>
                <w:szCs w:val="20"/>
              </w:rPr>
              <w:t></w:t>
            </w:r>
            <w:r w:rsidRPr="00C3363B">
              <w:rPr>
                <w:rFonts w:ascii="Times" w:hAnsi="Times" w:cs="Times"/>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C3363B" w:rsidRDefault="00363969" w:rsidP="00E23BB3">
            <w:pPr>
              <w:rPr>
                <w:rFonts w:ascii="Times" w:hAnsi="Times" w:cs="Times"/>
                <w:b/>
                <w:sz w:val="20"/>
                <w:szCs w:val="20"/>
              </w:rPr>
            </w:pPr>
            <w:r w:rsidRPr="00C3363B">
              <w:rPr>
                <w:rFonts w:ascii="Wingdings 2" w:hAnsi="Wingdings 2" w:cs="Times"/>
                <w:b/>
                <w:sz w:val="20"/>
                <w:szCs w:val="20"/>
              </w:rPr>
              <w:t></w:t>
            </w:r>
            <w:r w:rsidRPr="00C3363B">
              <w:rPr>
                <w:rFonts w:ascii="Times" w:hAnsi="Times" w:cs="Times"/>
                <w:b/>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363969" w:rsidRPr="00C3363B" w:rsidRDefault="00363969" w:rsidP="00E23BB3">
            <w:pPr>
              <w:rPr>
                <w:b/>
                <w:sz w:val="20"/>
                <w:szCs w:val="20"/>
              </w:rPr>
            </w:pPr>
            <w:r w:rsidRPr="00C3363B">
              <w:rPr>
                <w:rFonts w:ascii="Wingdings 2" w:hAnsi="Wingdings 2" w:cs="Times"/>
                <w:b/>
                <w:sz w:val="20"/>
                <w:szCs w:val="20"/>
              </w:rPr>
              <w:t></w:t>
            </w:r>
            <w:r w:rsidRPr="00C3363B">
              <w:rPr>
                <w:rFonts w:ascii="Times" w:hAnsi="Times" w:cs="Times"/>
                <w:b/>
                <w:sz w:val="20"/>
                <w:szCs w:val="20"/>
              </w:rPr>
              <w:t xml:space="preserve"> Negatívne</w:t>
            </w:r>
          </w:p>
        </w:tc>
      </w:tr>
      <w:tr w:rsidR="00363969" w:rsidTr="00556931">
        <w:trPr>
          <w:divId w:val="981544912"/>
          <w:trHeight w:val="270"/>
          <w:jc w:val="center"/>
        </w:trPr>
        <w:tc>
          <w:tcPr>
            <w:tcW w:w="2000" w:type="pct"/>
            <w:tcBorders>
              <w:top w:val="single" w:sz="4" w:space="0" w:color="D9D9D9" w:themeColor="background1" w:themeShade="D9"/>
              <w:bottom w:val="single" w:sz="4" w:space="0" w:color="auto"/>
              <w:right w:val="outset" w:sz="6" w:space="0" w:color="000000"/>
            </w:tcBorders>
            <w:shd w:val="clear" w:color="auto" w:fill="F2F2F2" w:themeFill="background1" w:themeFillShade="F2"/>
            <w:vAlign w:val="center"/>
          </w:tcPr>
          <w:p w:rsidR="00363969" w:rsidRPr="00D13742" w:rsidRDefault="00363969" w:rsidP="00E23BB3">
            <w:pPr>
              <w:rPr>
                <w:b/>
                <w:bCs/>
                <w:sz w:val="20"/>
                <w:szCs w:val="20"/>
              </w:rPr>
            </w:pPr>
            <w:r w:rsidRPr="00D13742">
              <w:rPr>
                <w:sz w:val="20"/>
                <w:szCs w:val="20"/>
              </w:rPr>
              <w:t>vplyvy na procesy služieb vo verejnej správe</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C3363B" w:rsidRDefault="00363969" w:rsidP="00E23BB3">
            <w:pPr>
              <w:rPr>
                <w:rFonts w:ascii="Times" w:hAnsi="Times" w:cs="Times"/>
                <w:b/>
                <w:sz w:val="20"/>
                <w:szCs w:val="20"/>
              </w:rPr>
            </w:pPr>
            <w:r w:rsidRPr="00C3363B">
              <w:rPr>
                <w:rFonts w:ascii="Wingdings 2" w:hAnsi="Wingdings 2" w:cs="Times"/>
                <w:b/>
                <w:sz w:val="20"/>
                <w:szCs w:val="20"/>
              </w:rPr>
              <w:t></w:t>
            </w:r>
            <w:r w:rsidRPr="00C3363B">
              <w:rPr>
                <w:rFonts w:ascii="Times" w:hAnsi="Times" w:cs="Times"/>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363969" w:rsidRPr="00C3363B" w:rsidRDefault="00363969" w:rsidP="00E23BB3">
            <w:pPr>
              <w:rPr>
                <w:rFonts w:ascii="Times" w:hAnsi="Times" w:cs="Times"/>
                <w:b/>
                <w:sz w:val="20"/>
                <w:szCs w:val="20"/>
              </w:rPr>
            </w:pPr>
            <w:r w:rsidRPr="00C3363B">
              <w:rPr>
                <w:rFonts w:ascii="Wingdings 2" w:hAnsi="Wingdings 2" w:cs="Times"/>
                <w:b/>
                <w:sz w:val="20"/>
                <w:szCs w:val="20"/>
              </w:rPr>
              <w:t></w:t>
            </w:r>
            <w:r w:rsidRPr="00C3363B">
              <w:rPr>
                <w:rFonts w:ascii="Times" w:hAnsi="Times" w:cs="Times"/>
                <w:b/>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363969" w:rsidRPr="00C3363B" w:rsidRDefault="00363969" w:rsidP="00E23BB3">
            <w:pPr>
              <w:rPr>
                <w:b/>
                <w:sz w:val="20"/>
                <w:szCs w:val="20"/>
              </w:rPr>
            </w:pPr>
            <w:r w:rsidRPr="00C3363B">
              <w:rPr>
                <w:rFonts w:ascii="Wingdings 2" w:hAnsi="Wingdings 2" w:cs="Times"/>
                <w:b/>
                <w:sz w:val="20"/>
                <w:szCs w:val="20"/>
              </w:rPr>
              <w:t></w:t>
            </w:r>
            <w:r w:rsidRPr="00C3363B">
              <w:rPr>
                <w:rFonts w:ascii="Times" w:hAnsi="Times" w:cs="Times"/>
                <w:b/>
                <w:sz w:val="20"/>
                <w:szCs w:val="20"/>
              </w:rPr>
              <w:t xml:space="preserve"> Negatívne</w:t>
            </w:r>
          </w:p>
        </w:tc>
      </w:tr>
      <w:tr w:rsidR="00556931" w:rsidTr="00556931">
        <w:trPr>
          <w:divId w:val="981544912"/>
          <w:trHeight w:val="270"/>
          <w:jc w:val="center"/>
        </w:trPr>
        <w:tc>
          <w:tcPr>
            <w:tcW w:w="2000" w:type="pct"/>
            <w:tcBorders>
              <w:top w:val="single" w:sz="4" w:space="0" w:color="auto"/>
              <w:bottom w:val="outset" w:sz="6" w:space="0" w:color="000000"/>
              <w:right w:val="outset" w:sz="6" w:space="0" w:color="000000"/>
            </w:tcBorders>
            <w:shd w:val="clear" w:color="auto" w:fill="F2F2F2" w:themeFill="background1" w:themeFillShade="F2"/>
            <w:vAlign w:val="center"/>
          </w:tcPr>
          <w:p w:rsidR="00556931" w:rsidRPr="00D13742" w:rsidRDefault="00556931" w:rsidP="00556931">
            <w:pPr>
              <w:rPr>
                <w:sz w:val="20"/>
                <w:szCs w:val="20"/>
              </w:rPr>
            </w:pPr>
            <w:r>
              <w:rPr>
                <w:rFonts w:ascii="Times" w:hAnsi="Times" w:cs="Times"/>
                <w:b/>
                <w:bCs/>
                <w:sz w:val="20"/>
                <w:szCs w:val="20"/>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rsidR="00556931" w:rsidRPr="00105689" w:rsidRDefault="00556931" w:rsidP="00556931">
            <w:pPr>
              <w:rPr>
                <w:rFonts w:ascii="Times" w:hAnsi="Times" w:cs="Times"/>
                <w:b/>
                <w:sz w:val="20"/>
                <w:szCs w:val="20"/>
              </w:rPr>
            </w:pPr>
            <w:r w:rsidRPr="00105689">
              <w:rPr>
                <w:rFonts w:ascii="Wingdings 2" w:hAnsi="Wingdings 2" w:cs="Times"/>
                <w:b/>
                <w:sz w:val="20"/>
                <w:szCs w:val="20"/>
              </w:rPr>
              <w:t></w:t>
            </w:r>
            <w:r w:rsidRPr="00105689">
              <w:rPr>
                <w:rFonts w:ascii="Times" w:hAnsi="Times" w:cs="Times"/>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556931" w:rsidRPr="00105689" w:rsidRDefault="00556931" w:rsidP="00556931">
            <w:pPr>
              <w:rPr>
                <w:rFonts w:ascii="Times" w:hAnsi="Times" w:cs="Times"/>
                <w:b/>
                <w:sz w:val="20"/>
                <w:szCs w:val="20"/>
              </w:rPr>
            </w:pPr>
            <w:r w:rsidRPr="00105689">
              <w:rPr>
                <w:rFonts w:ascii="Wingdings 2" w:hAnsi="Wingdings 2" w:cs="Times"/>
                <w:b/>
                <w:sz w:val="20"/>
                <w:szCs w:val="20"/>
              </w:rPr>
              <w:t></w:t>
            </w:r>
            <w:r w:rsidRPr="00105689">
              <w:rPr>
                <w:rFonts w:ascii="Times" w:hAnsi="Times" w:cs="Times"/>
                <w:b/>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rsidR="00556931" w:rsidRPr="00105689" w:rsidRDefault="00556931" w:rsidP="00556931">
            <w:pPr>
              <w:rPr>
                <w:b/>
                <w:sz w:val="20"/>
                <w:szCs w:val="20"/>
              </w:rPr>
            </w:pPr>
            <w:r w:rsidRPr="00105689">
              <w:rPr>
                <w:rFonts w:ascii="Wingdings 2" w:hAnsi="Wingdings 2" w:cs="Times"/>
                <w:b/>
                <w:sz w:val="20"/>
                <w:szCs w:val="20"/>
              </w:rPr>
              <w:t></w:t>
            </w:r>
            <w:r w:rsidRPr="00105689">
              <w:rPr>
                <w:rFonts w:ascii="Times" w:hAnsi="Times" w:cs="Times"/>
                <w:b/>
                <w:sz w:val="20"/>
                <w:szCs w:val="20"/>
              </w:rPr>
              <w:t xml:space="preserve"> Negatívne</w:t>
            </w:r>
          </w:p>
        </w:tc>
      </w:tr>
    </w:tbl>
    <w:p w:rsidR="00517DFE" w:rsidRPr="00C05B9F" w:rsidRDefault="00517DFE" w:rsidP="00E23BB3">
      <w:pPr>
        <w:pStyle w:val="Normlnywebov"/>
        <w:spacing w:before="0" w:beforeAutospacing="0" w:after="0" w:afterAutospacing="0"/>
        <w:rPr>
          <w:bCs/>
          <w:sz w:val="22"/>
          <w:szCs w:val="22"/>
        </w:rPr>
      </w:pPr>
    </w:p>
    <w:tbl>
      <w:tblPr>
        <w:tblW w:w="9639" w:type="dxa"/>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4A0" w:firstRow="1" w:lastRow="0" w:firstColumn="1" w:lastColumn="0" w:noHBand="0" w:noVBand="1"/>
      </w:tblPr>
      <w:tblGrid>
        <w:gridCol w:w="9639"/>
      </w:tblGrid>
      <w:tr w:rsidR="00517DFE" w:rsidRPr="00C05B9F" w:rsidTr="005C147B">
        <w:trPr>
          <w:divId w:val="981544908"/>
          <w:jc w:val="center"/>
        </w:trPr>
        <w:tc>
          <w:tcPr>
            <w:tcW w:w="250" w:type="pct"/>
            <w:tcBorders>
              <w:top w:val="outset" w:sz="6" w:space="0" w:color="000000"/>
              <w:bottom w:val="outset" w:sz="6" w:space="0" w:color="000000"/>
            </w:tcBorders>
            <w:shd w:val="clear" w:color="auto" w:fill="E6E6E6"/>
            <w:hideMark/>
          </w:tcPr>
          <w:p w:rsidR="00517DFE" w:rsidRPr="00A92AA0" w:rsidRDefault="00517DFE" w:rsidP="00E23BB3">
            <w:pPr>
              <w:rPr>
                <w:b/>
                <w:bCs/>
                <w:sz w:val="20"/>
                <w:szCs w:val="20"/>
              </w:rPr>
            </w:pPr>
            <w:r w:rsidRPr="00A92AA0">
              <w:rPr>
                <w:b/>
                <w:bCs/>
                <w:sz w:val="20"/>
                <w:szCs w:val="20"/>
              </w:rPr>
              <w:t>10.</w:t>
            </w:r>
            <w:r w:rsidR="008E2D1C" w:rsidRPr="00A92AA0">
              <w:rPr>
                <w:b/>
                <w:bCs/>
                <w:sz w:val="20"/>
                <w:szCs w:val="20"/>
              </w:rPr>
              <w:t xml:space="preserve"> </w:t>
            </w:r>
            <w:r w:rsidRPr="00A92AA0">
              <w:rPr>
                <w:b/>
                <w:bCs/>
                <w:sz w:val="20"/>
                <w:szCs w:val="20"/>
              </w:rPr>
              <w:t>Poznámky</w:t>
            </w:r>
          </w:p>
        </w:tc>
      </w:tr>
      <w:tr w:rsidR="00517DFE" w:rsidRPr="00C05B9F" w:rsidTr="005C147B">
        <w:trPr>
          <w:divId w:val="981544908"/>
          <w:jc w:val="center"/>
        </w:trPr>
        <w:tc>
          <w:tcPr>
            <w:tcW w:w="250" w:type="pct"/>
            <w:tcBorders>
              <w:top w:val="outset" w:sz="6" w:space="0" w:color="000000"/>
              <w:bottom w:val="outset" w:sz="6" w:space="0" w:color="000000"/>
            </w:tcBorders>
            <w:hideMark/>
          </w:tcPr>
          <w:p w:rsidR="00965708" w:rsidRPr="002E3AFA" w:rsidRDefault="00965708" w:rsidP="00E23BB3">
            <w:pPr>
              <w:rPr>
                <w:i/>
                <w:sz w:val="20"/>
                <w:szCs w:val="20"/>
              </w:rPr>
            </w:pPr>
            <w:r w:rsidRPr="002E3AFA">
              <w:rPr>
                <w:i/>
                <w:sz w:val="20"/>
                <w:szCs w:val="20"/>
              </w:rPr>
              <w:t>V prípade potreby uveďte doplňujúce informácie k návrhu.</w:t>
            </w:r>
          </w:p>
          <w:p w:rsidR="00351FAA" w:rsidRDefault="00351FAA" w:rsidP="00E23BB3">
            <w:pPr>
              <w:pStyle w:val="Normlnywebov"/>
              <w:spacing w:before="0" w:beforeAutospacing="0" w:after="0" w:afterAutospacing="0"/>
              <w:jc w:val="both"/>
              <w:rPr>
                <w:sz w:val="20"/>
                <w:szCs w:val="20"/>
              </w:rPr>
            </w:pPr>
          </w:p>
          <w:p w:rsidR="00FF2BD4" w:rsidRDefault="005F4C60" w:rsidP="00E23BB3">
            <w:pPr>
              <w:pStyle w:val="Normlnywebov"/>
              <w:spacing w:before="0" w:beforeAutospacing="0" w:after="0" w:afterAutospacing="0"/>
              <w:jc w:val="both"/>
              <w:rPr>
                <w:rFonts w:ascii="Times" w:hAnsi="Times" w:cs="Times"/>
                <w:sz w:val="20"/>
                <w:szCs w:val="20"/>
              </w:rPr>
            </w:pPr>
            <w:r w:rsidRPr="00FF2BD4">
              <w:rPr>
                <w:rFonts w:ascii="Times" w:hAnsi="Times" w:cs="Times"/>
                <w:sz w:val="20"/>
                <w:szCs w:val="20"/>
              </w:rPr>
              <w:t xml:space="preserve">Návrh nariadenia vlády bude mať pozitívny </w:t>
            </w:r>
            <w:r w:rsidR="00FF2BD4" w:rsidRPr="00FF2BD4">
              <w:rPr>
                <w:rFonts w:ascii="Times" w:hAnsi="Times" w:cs="Times"/>
                <w:sz w:val="20"/>
                <w:szCs w:val="20"/>
              </w:rPr>
              <w:t>aj negatívn</w:t>
            </w:r>
            <w:r w:rsidR="00AD0983">
              <w:rPr>
                <w:rFonts w:ascii="Times" w:hAnsi="Times" w:cs="Times"/>
                <w:sz w:val="20"/>
                <w:szCs w:val="20"/>
              </w:rPr>
              <w:t>y</w:t>
            </w:r>
            <w:r w:rsidR="00FF2BD4" w:rsidRPr="00FF2BD4">
              <w:rPr>
                <w:rFonts w:ascii="Times" w:hAnsi="Times" w:cs="Times"/>
                <w:sz w:val="20"/>
                <w:szCs w:val="20"/>
              </w:rPr>
              <w:t xml:space="preserve"> </w:t>
            </w:r>
            <w:r w:rsidRPr="00FF2BD4">
              <w:rPr>
                <w:rFonts w:ascii="Times" w:hAnsi="Times" w:cs="Times"/>
                <w:sz w:val="20"/>
                <w:szCs w:val="20"/>
              </w:rPr>
              <w:t>vplyv na podnikateľské prostredie, ktor</w:t>
            </w:r>
            <w:r w:rsidR="00FF2BD4" w:rsidRPr="00FF2BD4">
              <w:rPr>
                <w:rFonts w:ascii="Times" w:hAnsi="Times" w:cs="Times"/>
                <w:sz w:val="20"/>
                <w:szCs w:val="20"/>
              </w:rPr>
              <w:t>é</w:t>
            </w:r>
            <w:r w:rsidRPr="00FF2BD4">
              <w:rPr>
                <w:rFonts w:ascii="Times" w:hAnsi="Times" w:cs="Times"/>
                <w:sz w:val="20"/>
                <w:szCs w:val="20"/>
              </w:rPr>
              <w:t xml:space="preserve"> </w:t>
            </w:r>
            <w:r w:rsidR="00FF2BD4" w:rsidRPr="00FF2BD4">
              <w:rPr>
                <w:rFonts w:ascii="Times" w:hAnsi="Times" w:cs="Times"/>
                <w:sz w:val="20"/>
                <w:szCs w:val="20"/>
              </w:rPr>
              <w:t xml:space="preserve">sú spôsobené zmenou </w:t>
            </w:r>
            <w:r w:rsidR="00732792">
              <w:rPr>
                <w:rFonts w:ascii="Times" w:hAnsi="Times" w:cs="Times"/>
                <w:sz w:val="20"/>
                <w:szCs w:val="20"/>
              </w:rPr>
              <w:t xml:space="preserve">určenia </w:t>
            </w:r>
            <w:r w:rsidR="00FF2BD4" w:rsidRPr="00FF2BD4">
              <w:rPr>
                <w:rFonts w:ascii="Times" w:hAnsi="Times" w:cs="Times"/>
                <w:sz w:val="20"/>
                <w:szCs w:val="20"/>
              </w:rPr>
              <w:t>terminálnej jednotkovej sadzby a následný výpočet terminálnej odplaty na Letisku M. R. Štefánika</w:t>
            </w:r>
            <w:r w:rsidR="00E13FDC">
              <w:rPr>
                <w:rFonts w:ascii="Times" w:hAnsi="Times" w:cs="Times"/>
                <w:sz w:val="20"/>
                <w:szCs w:val="20"/>
              </w:rPr>
              <w:t>, ako aj neuplatňovaním vykonávacieho nariadenia (EÚ) 2019/317 na systém terminálnych odplát vo vzdušnom priestore Slovenskej republiky.</w:t>
            </w:r>
          </w:p>
          <w:p w:rsidR="0046180D" w:rsidRDefault="0046180D" w:rsidP="00E23BB3">
            <w:pPr>
              <w:pStyle w:val="Normlnywebov"/>
              <w:spacing w:before="0" w:beforeAutospacing="0" w:after="0" w:afterAutospacing="0"/>
              <w:jc w:val="both"/>
              <w:rPr>
                <w:rFonts w:ascii="Times" w:hAnsi="Times" w:cs="Times"/>
                <w:sz w:val="20"/>
                <w:szCs w:val="20"/>
              </w:rPr>
            </w:pPr>
          </w:p>
          <w:p w:rsidR="0023590B" w:rsidRPr="0023590B" w:rsidRDefault="0023590B" w:rsidP="00E23BB3">
            <w:pPr>
              <w:pStyle w:val="Normlnywebov"/>
              <w:spacing w:before="0" w:beforeAutospacing="0" w:after="0" w:afterAutospacing="0"/>
              <w:jc w:val="both"/>
              <w:rPr>
                <w:b/>
                <w:sz w:val="20"/>
                <w:szCs w:val="20"/>
              </w:rPr>
            </w:pPr>
            <w:r w:rsidRPr="0023590B">
              <w:rPr>
                <w:b/>
                <w:sz w:val="20"/>
                <w:szCs w:val="20"/>
              </w:rPr>
              <w:t>Súčasný systém (platný do 31. 12. 2019)</w:t>
            </w:r>
          </w:p>
          <w:p w:rsidR="0046180D" w:rsidRPr="0046180D" w:rsidRDefault="0046180D" w:rsidP="00E23BB3">
            <w:pPr>
              <w:pStyle w:val="Normlnywebov"/>
              <w:spacing w:before="0" w:beforeAutospacing="0" w:after="0" w:afterAutospacing="0"/>
              <w:jc w:val="both"/>
              <w:rPr>
                <w:i/>
                <w:sz w:val="20"/>
                <w:szCs w:val="20"/>
                <w:u w:val="single"/>
              </w:rPr>
            </w:pPr>
            <w:r w:rsidRPr="0046180D">
              <w:rPr>
                <w:i/>
                <w:sz w:val="20"/>
                <w:szCs w:val="20"/>
                <w:u w:val="single"/>
              </w:rPr>
              <w:t>Letisko M. R. Štefánika</w:t>
            </w:r>
            <w:r>
              <w:rPr>
                <w:i/>
                <w:sz w:val="20"/>
                <w:szCs w:val="20"/>
                <w:u w:val="single"/>
              </w:rPr>
              <w:t xml:space="preserve"> Bratislava</w:t>
            </w:r>
          </w:p>
          <w:p w:rsidR="00E23BB3" w:rsidRPr="000503E3" w:rsidRDefault="008F7D71" w:rsidP="00E23BB3">
            <w:pPr>
              <w:pStyle w:val="Normlnywebov"/>
              <w:spacing w:before="0" w:beforeAutospacing="0" w:after="0" w:afterAutospacing="0"/>
              <w:jc w:val="both"/>
              <w:rPr>
                <w:sz w:val="20"/>
                <w:szCs w:val="20"/>
              </w:rPr>
            </w:pPr>
            <w:r>
              <w:rPr>
                <w:sz w:val="20"/>
                <w:szCs w:val="20"/>
              </w:rPr>
              <w:t>V súčasnom referenčnom období na roky 2015 až 2019, s</w:t>
            </w:r>
            <w:r w:rsidRPr="008F7D71">
              <w:rPr>
                <w:sz w:val="20"/>
                <w:szCs w:val="20"/>
              </w:rPr>
              <w:t xml:space="preserve"> ohľadom na príslušné pravidlá Európskej únie v oblasti odplát za poskytovanie leteckých navigačných služieb poskytovateľ leteckých navigačných služieb postupuje pri určovaní výšky terminálnej odplaty </w:t>
            </w:r>
            <w:r w:rsidR="007B0173">
              <w:rPr>
                <w:sz w:val="20"/>
                <w:szCs w:val="20"/>
              </w:rPr>
              <w:t xml:space="preserve">podľa </w:t>
            </w:r>
            <w:r w:rsidR="007B0173" w:rsidRPr="008F7D71">
              <w:rPr>
                <w:bCs/>
                <w:sz w:val="20"/>
                <w:szCs w:val="20"/>
              </w:rPr>
              <w:t xml:space="preserve">vykonávacieho nariadenia </w:t>
            </w:r>
            <w:r w:rsidR="002F2033" w:rsidRPr="002D13CE">
              <w:rPr>
                <w:sz w:val="20"/>
                <w:szCs w:val="20"/>
              </w:rPr>
              <w:t>Komisie (EÚ) č. 391/2013 z 3. mája 2013, ktorým sa stanovuje spoločný systém spoplatňovania leteckých navigačných služieb</w:t>
            </w:r>
            <w:r w:rsidR="002D13CE" w:rsidRPr="002D13CE">
              <w:rPr>
                <w:sz w:val="20"/>
                <w:szCs w:val="20"/>
              </w:rPr>
              <w:t xml:space="preserve"> </w:t>
            </w:r>
            <w:r w:rsidR="005F06A7">
              <w:rPr>
                <w:sz w:val="20"/>
                <w:szCs w:val="20"/>
              </w:rPr>
              <w:t xml:space="preserve">[ďalej len „vykonávacie nariadenie (EÚ) č. 391/2013“] </w:t>
            </w:r>
            <w:r w:rsidR="007B0173">
              <w:rPr>
                <w:sz w:val="20"/>
                <w:szCs w:val="20"/>
              </w:rPr>
              <w:t>len na Letisk</w:t>
            </w:r>
            <w:r w:rsidR="0023590B">
              <w:rPr>
                <w:sz w:val="20"/>
                <w:szCs w:val="20"/>
              </w:rPr>
              <w:t>u</w:t>
            </w:r>
            <w:r w:rsidR="007B0173">
              <w:rPr>
                <w:sz w:val="20"/>
                <w:szCs w:val="20"/>
              </w:rPr>
              <w:t xml:space="preserve"> M.</w:t>
            </w:r>
            <w:r w:rsidR="0023590B">
              <w:rPr>
                <w:sz w:val="20"/>
                <w:szCs w:val="20"/>
              </w:rPr>
              <w:t> </w:t>
            </w:r>
            <w:r w:rsidR="007B0173">
              <w:rPr>
                <w:sz w:val="20"/>
                <w:szCs w:val="20"/>
              </w:rPr>
              <w:t>R.</w:t>
            </w:r>
            <w:r w:rsidR="0023590B">
              <w:rPr>
                <w:sz w:val="20"/>
                <w:szCs w:val="20"/>
              </w:rPr>
              <w:t> </w:t>
            </w:r>
            <w:r w:rsidR="007B0173">
              <w:rPr>
                <w:sz w:val="20"/>
                <w:szCs w:val="20"/>
              </w:rPr>
              <w:t xml:space="preserve">Štefánika Bratislava, pretože </w:t>
            </w:r>
            <w:r w:rsidR="00E23BB3">
              <w:rPr>
                <w:sz w:val="20"/>
                <w:szCs w:val="20"/>
              </w:rPr>
              <w:t>p</w:t>
            </w:r>
            <w:r w:rsidRPr="008F7D71">
              <w:rPr>
                <w:sz w:val="20"/>
                <w:szCs w:val="20"/>
              </w:rPr>
              <w:t xml:space="preserve">odľa čl. 1 ods. 4 vykonávacieho nariadenia (EÚ) č. 390/2013 z 3. mája 2013, ktorým sa stanovuje systém výkonnosti leteckých navigačných služieb a sieťových funkcií </w:t>
            </w:r>
            <w:r w:rsidRPr="008F7D71">
              <w:rPr>
                <w:i/>
                <w:sz w:val="20"/>
                <w:szCs w:val="20"/>
              </w:rPr>
              <w:t>ak žiadne letisko v</w:t>
            </w:r>
            <w:r w:rsidR="0023590B">
              <w:rPr>
                <w:i/>
                <w:sz w:val="20"/>
                <w:szCs w:val="20"/>
              </w:rPr>
              <w:t> </w:t>
            </w:r>
            <w:r w:rsidRPr="008F7D71">
              <w:rPr>
                <w:i/>
                <w:sz w:val="20"/>
                <w:szCs w:val="20"/>
              </w:rPr>
              <w:t>členskom štáte nedosahuje prahovú hodnotu 70 000 pohybov leteckej dopravy podľa IFR za rok, toto nariadenie sa vzťahuje minimálne na letisko s najvyšším počtom pohybov leteckej dopravy podľa IFR.</w:t>
            </w:r>
            <w:r w:rsidR="000503E3" w:rsidRPr="000503E3">
              <w:rPr>
                <w:sz w:val="20"/>
                <w:szCs w:val="20"/>
              </w:rPr>
              <w:t xml:space="preserve"> T</w:t>
            </w:r>
            <w:r w:rsidR="00E23BB3" w:rsidRPr="00E23BB3">
              <w:rPr>
                <w:sz w:val="20"/>
                <w:szCs w:val="20"/>
              </w:rPr>
              <w:t xml:space="preserve">erminálna odplata </w:t>
            </w:r>
            <w:r w:rsidR="000503E3">
              <w:rPr>
                <w:sz w:val="20"/>
                <w:szCs w:val="20"/>
              </w:rPr>
              <w:t xml:space="preserve">je </w:t>
            </w:r>
            <w:r w:rsidR="00E23BB3" w:rsidRPr="00E23BB3">
              <w:rPr>
                <w:sz w:val="20"/>
                <w:szCs w:val="20"/>
              </w:rPr>
              <w:t>na Letisku M.</w:t>
            </w:r>
            <w:r w:rsidR="000503E3">
              <w:rPr>
                <w:sz w:val="20"/>
                <w:szCs w:val="20"/>
              </w:rPr>
              <w:t> </w:t>
            </w:r>
            <w:r w:rsidR="00E23BB3" w:rsidRPr="00E23BB3">
              <w:rPr>
                <w:sz w:val="20"/>
                <w:szCs w:val="20"/>
              </w:rPr>
              <w:t>R.</w:t>
            </w:r>
            <w:r w:rsidR="000503E3">
              <w:rPr>
                <w:sz w:val="20"/>
                <w:szCs w:val="20"/>
              </w:rPr>
              <w:t> </w:t>
            </w:r>
            <w:r w:rsidR="00E23BB3" w:rsidRPr="00E23BB3">
              <w:rPr>
                <w:sz w:val="20"/>
                <w:szCs w:val="20"/>
              </w:rPr>
              <w:t xml:space="preserve">Štefánika Bratislava za konkrétny let vypočítaná v súlade s čl. 12 ods. 1 vykonávacieho nariadenia (EÚ) č. 391/2013, podľa ktorého </w:t>
            </w:r>
            <w:r w:rsidR="00E23BB3" w:rsidRPr="00E23BB3">
              <w:rPr>
                <w:i/>
                <w:sz w:val="20"/>
                <w:szCs w:val="20"/>
              </w:rPr>
              <w:t>terminálna odplata za konkrétny let v konkrétnej terminálnej zóne spoplatňovania sa rovná súčinu jednotkovej sadzby určenej pre danú terminálnu zónu spoplatňovania a</w:t>
            </w:r>
            <w:r w:rsidR="00E23BB3">
              <w:rPr>
                <w:i/>
                <w:sz w:val="20"/>
                <w:szCs w:val="20"/>
              </w:rPr>
              <w:t> </w:t>
            </w:r>
            <w:r w:rsidR="00E23BB3" w:rsidRPr="00E23BB3">
              <w:rPr>
                <w:i/>
                <w:sz w:val="20"/>
                <w:szCs w:val="20"/>
              </w:rPr>
              <w:t>terminálnych jednotiek služieb pre tento let. Na účely spoplatňovania sa priblíženie a odlet považujú za jeden let. Počítanou jednotkou je buď prichádzajúci alebo odlietajúci let.</w:t>
            </w:r>
          </w:p>
          <w:p w:rsidR="00E23BB3" w:rsidRPr="00AD0983" w:rsidRDefault="00E23BB3" w:rsidP="00E23BB3">
            <w:pPr>
              <w:pStyle w:val="Normlnywebov"/>
              <w:spacing w:before="0" w:beforeAutospacing="0" w:after="0" w:afterAutospacing="0"/>
              <w:rPr>
                <w:color w:val="244061" w:themeColor="accent1" w:themeShade="80"/>
                <w:sz w:val="16"/>
                <w:szCs w:val="16"/>
              </w:rPr>
            </w:pPr>
            <m:oMathPara>
              <m:oMathParaPr>
                <m:jc m:val="center"/>
              </m:oMathParaPr>
              <m:oMath>
                <m:r>
                  <m:rPr>
                    <m:sty m:val="p"/>
                  </m:rPr>
                  <w:rPr>
                    <w:rFonts w:ascii="Cambria Math" w:hAnsi="Cambria Math"/>
                    <w:color w:val="244061" w:themeColor="accent1" w:themeShade="80"/>
                    <w:sz w:val="16"/>
                    <w:szCs w:val="16"/>
                  </w:rPr>
                  <m:t xml:space="preserve">terminálna odplata =terminálna jednotková sadzba × </m:t>
                </m:r>
                <m:nary>
                  <m:naryPr>
                    <m:chr m:val="∑"/>
                    <m:limLoc m:val="undOvr"/>
                    <m:subHide m:val="1"/>
                    <m:supHide m:val="1"/>
                    <m:ctrlPr>
                      <w:rPr>
                        <w:rFonts w:ascii="Cambria Math" w:hAnsi="Cambria Math"/>
                        <w:color w:val="244061" w:themeColor="accent1" w:themeShade="80"/>
                        <w:sz w:val="16"/>
                        <w:szCs w:val="16"/>
                      </w:rPr>
                    </m:ctrlPr>
                  </m:naryPr>
                  <m:sub/>
                  <m:sup/>
                  <m:e>
                    <m:r>
                      <m:rPr>
                        <m:sty m:val="p"/>
                      </m:rPr>
                      <w:rPr>
                        <w:rFonts w:ascii="Cambria Math" w:hAnsi="Cambria Math"/>
                        <w:color w:val="244061" w:themeColor="accent1" w:themeShade="80"/>
                        <w:sz w:val="16"/>
                        <w:szCs w:val="16"/>
                      </w:rPr>
                      <m:t>terminálnych jednotiek pre daný let</m:t>
                    </m:r>
                  </m:e>
                </m:nary>
              </m:oMath>
            </m:oMathPara>
          </w:p>
          <w:p w:rsidR="00E23BB3" w:rsidRPr="00AD0983" w:rsidRDefault="00E23BB3" w:rsidP="00E23BB3">
            <w:pPr>
              <w:pStyle w:val="Normlnywebov"/>
              <w:spacing w:before="0" w:beforeAutospacing="0" w:after="0" w:afterAutospacing="0"/>
              <w:rPr>
                <w:color w:val="244061" w:themeColor="accent1" w:themeShade="80"/>
                <w:sz w:val="16"/>
                <w:szCs w:val="16"/>
              </w:rPr>
            </w:pPr>
            <m:oMathPara>
              <m:oMathParaPr>
                <m:jc m:val="center"/>
              </m:oMathParaPr>
              <m:oMath>
                <m:r>
                  <m:rPr>
                    <m:sty m:val="p"/>
                  </m:rPr>
                  <w:rPr>
                    <w:rFonts w:ascii="Cambria Math" w:hAnsi="Cambria Math"/>
                    <w:color w:val="244061" w:themeColor="accent1" w:themeShade="80"/>
                    <w:sz w:val="16"/>
                    <w:szCs w:val="16"/>
                  </w:rPr>
                  <m:t xml:space="preserve">terminálna odplata =terminálna jednotková sadzba × </m:t>
                </m:r>
                <m:nary>
                  <m:naryPr>
                    <m:chr m:val="∑"/>
                    <m:limLoc m:val="undOvr"/>
                    <m:subHide m:val="1"/>
                    <m:supHide m:val="1"/>
                    <m:ctrlPr>
                      <w:rPr>
                        <w:rFonts w:ascii="Cambria Math" w:hAnsi="Cambria Math"/>
                        <w:color w:val="244061" w:themeColor="accent1" w:themeShade="80"/>
                        <w:sz w:val="16"/>
                        <w:szCs w:val="16"/>
                      </w:rPr>
                    </m:ctrlPr>
                  </m:naryPr>
                  <m:sub/>
                  <m:sup/>
                  <m:e>
                    <m:sSup>
                      <m:sSupPr>
                        <m:ctrlPr>
                          <w:rPr>
                            <w:rFonts w:ascii="Cambria Math" w:hAnsi="Cambria Math"/>
                            <w:color w:val="244061" w:themeColor="accent1" w:themeShade="80"/>
                            <w:sz w:val="16"/>
                            <w:szCs w:val="16"/>
                          </w:rPr>
                        </m:ctrlPr>
                      </m:sSupPr>
                      <m:e>
                        <m:d>
                          <m:dPr>
                            <m:ctrlPr>
                              <w:rPr>
                                <w:rFonts w:ascii="Cambria Math" w:hAnsi="Cambria Math"/>
                                <w:color w:val="244061" w:themeColor="accent1" w:themeShade="80"/>
                                <w:sz w:val="16"/>
                                <w:szCs w:val="16"/>
                              </w:rPr>
                            </m:ctrlPr>
                          </m:dPr>
                          <m:e>
                            <m:f>
                              <m:fPr>
                                <m:ctrlPr>
                                  <w:rPr>
                                    <w:rFonts w:ascii="Cambria Math" w:hAnsi="Cambria Math"/>
                                    <w:color w:val="244061" w:themeColor="accent1" w:themeShade="80"/>
                                    <w:sz w:val="16"/>
                                    <w:szCs w:val="16"/>
                                  </w:rPr>
                                </m:ctrlPr>
                              </m:fPr>
                              <m:num>
                                <m:r>
                                  <m:rPr>
                                    <m:sty m:val="p"/>
                                  </m:rPr>
                                  <w:rPr>
                                    <w:rFonts w:ascii="Cambria Math" w:hAnsi="Cambria Math"/>
                                    <w:color w:val="244061" w:themeColor="accent1" w:themeShade="80"/>
                                    <w:sz w:val="16"/>
                                    <w:szCs w:val="16"/>
                                  </w:rPr>
                                  <m:t>MTOW [t]</m:t>
                                </m:r>
                              </m:num>
                              <m:den>
                                <m:r>
                                  <m:rPr>
                                    <m:sty m:val="p"/>
                                  </m:rPr>
                                  <w:rPr>
                                    <w:rFonts w:ascii="Cambria Math" w:hAnsi="Cambria Math"/>
                                    <w:color w:val="244061" w:themeColor="accent1" w:themeShade="80"/>
                                    <w:sz w:val="16"/>
                                    <w:szCs w:val="16"/>
                                  </w:rPr>
                                  <m:t>50</m:t>
                                </m:r>
                              </m:den>
                            </m:f>
                          </m:e>
                        </m:d>
                      </m:e>
                      <m:sup>
                        <m:r>
                          <m:rPr>
                            <m:sty m:val="p"/>
                          </m:rPr>
                          <w:rPr>
                            <w:rFonts w:ascii="Cambria Math" w:hAnsi="Cambria Math"/>
                            <w:color w:val="244061" w:themeColor="accent1" w:themeShade="80"/>
                            <w:sz w:val="16"/>
                            <w:szCs w:val="16"/>
                          </w:rPr>
                          <m:t>0,7</m:t>
                        </m:r>
                      </m:sup>
                    </m:sSup>
                  </m:e>
                </m:nary>
              </m:oMath>
            </m:oMathPara>
          </w:p>
          <w:p w:rsidR="00E23BB3" w:rsidRPr="00E733CB" w:rsidRDefault="00E23BB3" w:rsidP="00E23BB3">
            <w:pPr>
              <w:pStyle w:val="Normlnywebov"/>
              <w:spacing w:before="0" w:beforeAutospacing="0" w:after="0" w:afterAutospacing="0"/>
              <w:rPr>
                <w:sz w:val="16"/>
                <w:szCs w:val="16"/>
              </w:rPr>
            </w:pPr>
          </w:p>
          <w:p w:rsidR="00E23BB3" w:rsidRPr="00E23BB3" w:rsidRDefault="00E23BB3" w:rsidP="00E23BB3">
            <w:pPr>
              <w:pStyle w:val="Normlnywebov"/>
              <w:spacing w:before="0" w:beforeAutospacing="0" w:after="0" w:afterAutospacing="0"/>
              <w:jc w:val="both"/>
              <w:rPr>
                <w:sz w:val="20"/>
                <w:szCs w:val="20"/>
              </w:rPr>
            </w:pPr>
            <w:r w:rsidRPr="00E23BB3">
              <w:rPr>
                <w:sz w:val="20"/>
                <w:szCs w:val="20"/>
              </w:rPr>
              <w:t xml:space="preserve">Podľa bodu 1.1 prílohy V vykonávacieho nariadenia (EÚ) č. 391/2013 </w:t>
            </w:r>
            <w:r w:rsidRPr="00E23BB3">
              <w:rPr>
                <w:i/>
                <w:sz w:val="20"/>
                <w:szCs w:val="20"/>
              </w:rPr>
              <w:t xml:space="preserve">sa terminálna jednotka služieb rovná činiteľu hmotnosti </w:t>
            </w:r>
            <w:r w:rsidRPr="00E23BB3">
              <w:rPr>
                <w:sz w:val="20"/>
                <w:szCs w:val="20"/>
              </w:rPr>
              <w:t>(</w:t>
            </w:r>
            <w:proofErr w:type="spellStart"/>
            <w:r w:rsidRPr="00E23BB3">
              <w:rPr>
                <w:sz w:val="20"/>
                <w:szCs w:val="20"/>
              </w:rPr>
              <w:t>W</w:t>
            </w:r>
            <w:r w:rsidRPr="00E23BB3">
              <w:rPr>
                <w:sz w:val="20"/>
                <w:szCs w:val="20"/>
                <w:vertAlign w:val="subscript"/>
              </w:rPr>
              <w:t>f</w:t>
            </w:r>
            <w:proofErr w:type="spellEnd"/>
            <w:r w:rsidRPr="00E23BB3">
              <w:rPr>
                <w:sz w:val="20"/>
                <w:szCs w:val="20"/>
              </w:rPr>
              <w:t xml:space="preserve">) </w:t>
            </w:r>
            <w:r w:rsidRPr="00E23BB3">
              <w:rPr>
                <w:i/>
                <w:sz w:val="20"/>
                <w:szCs w:val="20"/>
              </w:rPr>
              <w:t>príslušných lietadiel</w:t>
            </w:r>
            <w:r w:rsidRPr="00E23BB3">
              <w:rPr>
                <w:sz w:val="20"/>
                <w:szCs w:val="20"/>
              </w:rPr>
              <w:t>.</w:t>
            </w:r>
          </w:p>
          <w:p w:rsidR="00E23BB3" w:rsidRPr="00AD0983" w:rsidRDefault="00E23BB3" w:rsidP="00E23BB3">
            <w:pPr>
              <w:pStyle w:val="Normlnywebov"/>
              <w:spacing w:before="0" w:beforeAutospacing="0" w:after="0" w:afterAutospacing="0"/>
              <w:rPr>
                <w:color w:val="244061" w:themeColor="accent1" w:themeShade="80"/>
                <w:sz w:val="16"/>
                <w:szCs w:val="16"/>
              </w:rPr>
            </w:pPr>
            <m:oMathPara>
              <m:oMathParaPr>
                <m:jc m:val="center"/>
              </m:oMathParaPr>
              <m:oMath>
                <m:r>
                  <m:rPr>
                    <m:sty m:val="p"/>
                  </m:rPr>
                  <w:rPr>
                    <w:rFonts w:ascii="Cambria Math" w:hAnsi="Cambria Math"/>
                    <w:color w:val="244061" w:themeColor="accent1" w:themeShade="80"/>
                    <w:sz w:val="16"/>
                    <w:szCs w:val="16"/>
                  </w:rPr>
                  <m:t>terminálna jednotka=</m:t>
                </m:r>
                <m:sSub>
                  <m:sSubPr>
                    <m:ctrlPr>
                      <w:rPr>
                        <w:rFonts w:ascii="Cambria Math" w:hAnsi="Cambria Math"/>
                        <w:color w:val="244061" w:themeColor="accent1" w:themeShade="80"/>
                        <w:sz w:val="16"/>
                        <w:szCs w:val="16"/>
                      </w:rPr>
                    </m:ctrlPr>
                  </m:sSubPr>
                  <m:e>
                    <m:r>
                      <m:rPr>
                        <m:sty m:val="p"/>
                      </m:rPr>
                      <w:rPr>
                        <w:rFonts w:ascii="Cambria Math" w:hAnsi="Cambria Math"/>
                        <w:color w:val="244061" w:themeColor="accent1" w:themeShade="80"/>
                        <w:sz w:val="16"/>
                        <w:szCs w:val="16"/>
                      </w:rPr>
                      <m:t>W</m:t>
                    </m:r>
                  </m:e>
                  <m:sub>
                    <m:r>
                      <m:rPr>
                        <m:sty m:val="p"/>
                      </m:rPr>
                      <w:rPr>
                        <w:rFonts w:ascii="Cambria Math" w:hAnsi="Cambria Math"/>
                        <w:color w:val="244061" w:themeColor="accent1" w:themeShade="80"/>
                        <w:sz w:val="16"/>
                        <w:szCs w:val="16"/>
                      </w:rPr>
                      <m:t>f</m:t>
                    </m:r>
                  </m:sub>
                </m:sSub>
              </m:oMath>
            </m:oMathPara>
          </w:p>
          <w:p w:rsidR="00E23BB3" w:rsidRPr="00E23BB3" w:rsidRDefault="00E23BB3" w:rsidP="00E23BB3">
            <w:pPr>
              <w:pStyle w:val="Normlnywebov"/>
              <w:spacing w:before="0" w:beforeAutospacing="0" w:after="0" w:afterAutospacing="0"/>
              <w:rPr>
                <w:sz w:val="20"/>
                <w:szCs w:val="20"/>
              </w:rPr>
            </w:pPr>
          </w:p>
          <w:p w:rsidR="00E23BB3" w:rsidRPr="00E23BB3" w:rsidRDefault="00E23BB3" w:rsidP="00E23BB3">
            <w:pPr>
              <w:pStyle w:val="Normlnywebov"/>
              <w:spacing w:before="0" w:beforeAutospacing="0" w:after="0" w:afterAutospacing="0"/>
              <w:jc w:val="both"/>
              <w:rPr>
                <w:i/>
                <w:sz w:val="20"/>
                <w:szCs w:val="20"/>
              </w:rPr>
            </w:pPr>
            <w:r w:rsidRPr="00E23BB3">
              <w:rPr>
                <w:sz w:val="20"/>
                <w:szCs w:val="20"/>
              </w:rPr>
              <w:t xml:space="preserve">Podľa bodu 1.1 prílohy V vykonávacieho nariadenia (EÚ) č. 391/2013 </w:t>
            </w:r>
            <w:r w:rsidRPr="00E23BB3">
              <w:rPr>
                <w:i/>
                <w:sz w:val="20"/>
                <w:szCs w:val="20"/>
              </w:rPr>
              <w:t xml:space="preserve">je činiteľ hmotnosti </w:t>
            </w:r>
            <w:r w:rsidRPr="00E23BB3">
              <w:rPr>
                <w:sz w:val="20"/>
                <w:szCs w:val="20"/>
              </w:rPr>
              <w:t>(</w:t>
            </w:r>
            <w:proofErr w:type="spellStart"/>
            <w:r w:rsidRPr="00E23BB3">
              <w:rPr>
                <w:sz w:val="20"/>
                <w:szCs w:val="20"/>
              </w:rPr>
              <w:t>W</w:t>
            </w:r>
            <w:r w:rsidRPr="00E23BB3">
              <w:rPr>
                <w:sz w:val="20"/>
                <w:szCs w:val="20"/>
                <w:vertAlign w:val="subscript"/>
              </w:rPr>
              <w:t>f</w:t>
            </w:r>
            <w:proofErr w:type="spellEnd"/>
            <w:r w:rsidRPr="00E23BB3">
              <w:rPr>
                <w:sz w:val="20"/>
                <w:szCs w:val="20"/>
              </w:rPr>
              <w:t xml:space="preserve">) </w:t>
            </w:r>
            <w:r w:rsidRPr="00E23BB3">
              <w:rPr>
                <w:i/>
                <w:sz w:val="20"/>
                <w:szCs w:val="20"/>
              </w:rPr>
              <w:t>vyjadrený ako číslo s</w:t>
            </w:r>
            <w:r>
              <w:rPr>
                <w:i/>
                <w:sz w:val="20"/>
                <w:szCs w:val="20"/>
              </w:rPr>
              <w:t> </w:t>
            </w:r>
            <w:r w:rsidRPr="00E23BB3">
              <w:rPr>
                <w:i/>
                <w:sz w:val="20"/>
                <w:szCs w:val="20"/>
              </w:rPr>
              <w:t xml:space="preserve">presnosťou na dve desatinné miesta kvocient získaný vydelením počtu metrických ton najvyššej maximálnej povolenej vzletovej hmotnosti lietadla </w:t>
            </w:r>
            <w:r w:rsidRPr="00E23BB3">
              <w:rPr>
                <w:sz w:val="20"/>
                <w:szCs w:val="20"/>
              </w:rPr>
              <w:t>(MTOW)</w:t>
            </w:r>
            <w:r w:rsidRPr="00E23BB3">
              <w:rPr>
                <w:i/>
                <w:sz w:val="20"/>
                <w:szCs w:val="20"/>
              </w:rPr>
              <w:t xml:space="preserve"> uvedenej v bode 1.5 prílohy IV umocneného na 0,7 číslom päťdesiat.</w:t>
            </w:r>
          </w:p>
          <w:p w:rsidR="00E23BB3" w:rsidRPr="00E733CB" w:rsidRDefault="001F0866" w:rsidP="00E23BB3">
            <w:pPr>
              <w:pStyle w:val="Normlnywebov"/>
              <w:spacing w:before="0" w:beforeAutospacing="0" w:after="0" w:afterAutospacing="0"/>
              <w:rPr>
                <w:sz w:val="16"/>
                <w:szCs w:val="16"/>
              </w:rPr>
            </w:pPr>
            <m:oMathPara>
              <m:oMathParaPr>
                <m:jc m:val="center"/>
              </m:oMathParaPr>
              <m:oMath>
                <m:sSub>
                  <m:sSubPr>
                    <m:ctrlPr>
                      <w:rPr>
                        <w:rFonts w:ascii="Cambria Math" w:hAnsi="Cambria Math"/>
                        <w:color w:val="244061" w:themeColor="accent1" w:themeShade="80"/>
                        <w:sz w:val="16"/>
                        <w:szCs w:val="16"/>
                      </w:rPr>
                    </m:ctrlPr>
                  </m:sSubPr>
                  <m:e>
                    <m:r>
                      <m:rPr>
                        <m:sty m:val="p"/>
                      </m:rPr>
                      <w:rPr>
                        <w:rFonts w:ascii="Cambria Math" w:hAnsi="Cambria Math"/>
                        <w:color w:val="244061" w:themeColor="accent1" w:themeShade="80"/>
                        <w:sz w:val="16"/>
                        <w:szCs w:val="16"/>
                      </w:rPr>
                      <m:t>W</m:t>
                    </m:r>
                  </m:e>
                  <m:sub>
                    <m:r>
                      <m:rPr>
                        <m:sty m:val="p"/>
                      </m:rPr>
                      <w:rPr>
                        <w:rFonts w:ascii="Cambria Math" w:hAnsi="Cambria Math"/>
                        <w:color w:val="244061" w:themeColor="accent1" w:themeShade="80"/>
                        <w:sz w:val="16"/>
                        <w:szCs w:val="16"/>
                      </w:rPr>
                      <m:t>f</m:t>
                    </m:r>
                  </m:sub>
                </m:sSub>
                <m:r>
                  <m:rPr>
                    <m:sty m:val="p"/>
                  </m:rPr>
                  <w:rPr>
                    <w:rFonts w:ascii="Cambria Math" w:hAnsi="Cambria Math"/>
                    <w:color w:val="244061" w:themeColor="accent1" w:themeShade="80"/>
                    <w:sz w:val="16"/>
                    <w:szCs w:val="16"/>
                  </w:rPr>
                  <m:t>=</m:t>
                </m:r>
                <m:sSup>
                  <m:sSupPr>
                    <m:ctrlPr>
                      <w:rPr>
                        <w:rFonts w:ascii="Cambria Math" w:hAnsi="Cambria Math"/>
                        <w:color w:val="244061" w:themeColor="accent1" w:themeShade="80"/>
                        <w:sz w:val="16"/>
                        <w:szCs w:val="16"/>
                      </w:rPr>
                    </m:ctrlPr>
                  </m:sSupPr>
                  <m:e>
                    <m:d>
                      <m:dPr>
                        <m:ctrlPr>
                          <w:rPr>
                            <w:rFonts w:ascii="Cambria Math" w:hAnsi="Cambria Math"/>
                            <w:color w:val="244061" w:themeColor="accent1" w:themeShade="80"/>
                            <w:sz w:val="16"/>
                            <w:szCs w:val="16"/>
                          </w:rPr>
                        </m:ctrlPr>
                      </m:dPr>
                      <m:e>
                        <m:f>
                          <m:fPr>
                            <m:ctrlPr>
                              <w:rPr>
                                <w:rFonts w:ascii="Cambria Math" w:hAnsi="Cambria Math"/>
                                <w:color w:val="244061" w:themeColor="accent1" w:themeShade="80"/>
                                <w:sz w:val="16"/>
                                <w:szCs w:val="16"/>
                              </w:rPr>
                            </m:ctrlPr>
                          </m:fPr>
                          <m:num>
                            <m:r>
                              <m:rPr>
                                <m:sty m:val="p"/>
                              </m:rPr>
                              <w:rPr>
                                <w:rFonts w:ascii="Cambria Math" w:hAnsi="Cambria Math"/>
                                <w:color w:val="244061" w:themeColor="accent1" w:themeShade="80"/>
                                <w:sz w:val="16"/>
                                <w:szCs w:val="16"/>
                              </w:rPr>
                              <m:t>MTOW [t]</m:t>
                            </m:r>
                          </m:num>
                          <m:den>
                            <m:r>
                              <m:rPr>
                                <m:sty m:val="p"/>
                              </m:rPr>
                              <w:rPr>
                                <w:rFonts w:ascii="Cambria Math" w:hAnsi="Cambria Math"/>
                                <w:color w:val="244061" w:themeColor="accent1" w:themeShade="80"/>
                                <w:sz w:val="16"/>
                                <w:szCs w:val="16"/>
                              </w:rPr>
                              <m:t>50</m:t>
                            </m:r>
                          </m:den>
                        </m:f>
                      </m:e>
                    </m:d>
                  </m:e>
                  <m:sup>
                    <m:r>
                      <m:rPr>
                        <m:sty m:val="p"/>
                      </m:rPr>
                      <w:rPr>
                        <w:rFonts w:ascii="Cambria Math" w:hAnsi="Cambria Math"/>
                        <w:color w:val="244061" w:themeColor="accent1" w:themeShade="80"/>
                        <w:sz w:val="16"/>
                        <w:szCs w:val="16"/>
                      </w:rPr>
                      <m:t>0,7</m:t>
                    </m:r>
                  </m:sup>
                </m:sSup>
              </m:oMath>
            </m:oMathPara>
          </w:p>
          <w:p w:rsidR="00E23BB3" w:rsidRPr="00E23BB3" w:rsidRDefault="00E23BB3" w:rsidP="00E23BB3">
            <w:pPr>
              <w:pStyle w:val="Normlnywebov"/>
              <w:spacing w:before="0" w:beforeAutospacing="0" w:after="0" w:afterAutospacing="0"/>
              <w:rPr>
                <w:sz w:val="20"/>
                <w:szCs w:val="20"/>
              </w:rPr>
            </w:pPr>
          </w:p>
          <w:p w:rsidR="00BD0705" w:rsidRDefault="00E23BB3" w:rsidP="00E23BB3">
            <w:pPr>
              <w:pStyle w:val="Normlnywebov"/>
              <w:spacing w:before="0" w:beforeAutospacing="0" w:after="0" w:afterAutospacing="0"/>
              <w:jc w:val="both"/>
              <w:rPr>
                <w:sz w:val="20"/>
                <w:szCs w:val="20"/>
              </w:rPr>
            </w:pPr>
            <w:r w:rsidRPr="00E23BB3">
              <w:rPr>
                <w:sz w:val="20"/>
                <w:szCs w:val="20"/>
              </w:rPr>
              <w:t>S účinnosťou od dňa 1. </w:t>
            </w:r>
            <w:r w:rsidR="0038328E">
              <w:rPr>
                <w:sz w:val="20"/>
                <w:szCs w:val="20"/>
              </w:rPr>
              <w:t xml:space="preserve">januára </w:t>
            </w:r>
            <w:r w:rsidRPr="00E23BB3">
              <w:rPr>
                <w:sz w:val="20"/>
                <w:szCs w:val="20"/>
              </w:rPr>
              <w:t>2019 je výška terminálnej jednotkovej sadzby vo vzťahu k </w:t>
            </w:r>
            <w:r w:rsidR="0022300E">
              <w:rPr>
                <w:sz w:val="20"/>
                <w:szCs w:val="20"/>
              </w:rPr>
              <w:t xml:space="preserve">terminálnym leteckým navigačným </w:t>
            </w:r>
            <w:r w:rsidRPr="00E23BB3">
              <w:rPr>
                <w:sz w:val="20"/>
                <w:szCs w:val="20"/>
              </w:rPr>
              <w:t xml:space="preserve">službám poskytnutým na Letisku M. R. Štefánika Bratislava, vrátane nákladov Slovenského </w:t>
            </w:r>
            <w:r w:rsidR="000F5020">
              <w:rPr>
                <w:sz w:val="20"/>
                <w:szCs w:val="20"/>
              </w:rPr>
              <w:t>hydro</w:t>
            </w:r>
            <w:r w:rsidRPr="00E23BB3">
              <w:rPr>
                <w:sz w:val="20"/>
                <w:szCs w:val="20"/>
              </w:rPr>
              <w:t xml:space="preserve">meteorologického ústavu a Dopravného úradu, po zohľadnení všetkých vyrovnaní stanovených príslušnými právnymi predpismi, 241,58 €. </w:t>
            </w:r>
          </w:p>
          <w:p w:rsidR="00E23BB3" w:rsidRPr="00E23BB3" w:rsidRDefault="00E23BB3" w:rsidP="00E23BB3">
            <w:pPr>
              <w:pStyle w:val="Normlnywebov"/>
              <w:spacing w:before="0" w:beforeAutospacing="0" w:after="0" w:afterAutospacing="0"/>
              <w:jc w:val="both"/>
              <w:rPr>
                <w:sz w:val="20"/>
                <w:szCs w:val="20"/>
              </w:rPr>
            </w:pPr>
            <w:r w:rsidRPr="00E23BB3">
              <w:rPr>
                <w:sz w:val="20"/>
                <w:szCs w:val="20"/>
              </w:rPr>
              <w:t xml:space="preserve">Plánovaná výška </w:t>
            </w:r>
            <w:r w:rsidR="000F5020">
              <w:rPr>
                <w:sz w:val="20"/>
                <w:szCs w:val="20"/>
              </w:rPr>
              <w:t xml:space="preserve">terminálnej </w:t>
            </w:r>
            <w:r w:rsidRPr="00E23BB3">
              <w:rPr>
                <w:sz w:val="20"/>
                <w:szCs w:val="20"/>
              </w:rPr>
              <w:t xml:space="preserve">jednotkovej sadzby v pláne výkonnosti na roky 2015 – 2019 je na rok 2019 </w:t>
            </w:r>
            <w:r w:rsidR="00E421B5">
              <w:rPr>
                <w:sz w:val="20"/>
                <w:szCs w:val="20"/>
              </w:rPr>
              <w:t>určená</w:t>
            </w:r>
            <w:r w:rsidRPr="00E23BB3">
              <w:rPr>
                <w:sz w:val="20"/>
                <w:szCs w:val="20"/>
              </w:rPr>
              <w:t xml:space="preserve"> na 276,31 €.</w:t>
            </w:r>
          </w:p>
          <w:p w:rsidR="00E23BB3" w:rsidRPr="00E23BB3" w:rsidRDefault="00E23BB3" w:rsidP="00E23BB3">
            <w:pPr>
              <w:pStyle w:val="Normlnywebov"/>
              <w:spacing w:before="0" w:beforeAutospacing="0" w:after="0" w:afterAutospacing="0"/>
              <w:rPr>
                <w:sz w:val="20"/>
                <w:szCs w:val="20"/>
              </w:rPr>
            </w:pPr>
          </w:p>
          <w:p w:rsidR="00E23BB3" w:rsidRPr="00FC63E5" w:rsidRDefault="00FC63E5" w:rsidP="00E23BB3">
            <w:pPr>
              <w:pStyle w:val="Normlnywebov"/>
              <w:spacing w:before="0" w:beforeAutospacing="0" w:after="0" w:afterAutospacing="0"/>
              <w:rPr>
                <w:i/>
                <w:sz w:val="20"/>
                <w:szCs w:val="20"/>
                <w:u w:val="single"/>
              </w:rPr>
            </w:pPr>
            <w:r w:rsidRPr="00FC63E5">
              <w:rPr>
                <w:i/>
                <w:sz w:val="20"/>
                <w:szCs w:val="20"/>
                <w:u w:val="single"/>
              </w:rPr>
              <w:t>Letisk</w:t>
            </w:r>
            <w:r>
              <w:rPr>
                <w:i/>
                <w:sz w:val="20"/>
                <w:szCs w:val="20"/>
                <w:u w:val="single"/>
              </w:rPr>
              <w:t>o</w:t>
            </w:r>
            <w:r w:rsidRPr="00FC63E5">
              <w:rPr>
                <w:i/>
                <w:sz w:val="20"/>
                <w:szCs w:val="20"/>
                <w:u w:val="single"/>
              </w:rPr>
              <w:t xml:space="preserve"> Košice, Letisk</w:t>
            </w:r>
            <w:r>
              <w:rPr>
                <w:i/>
                <w:sz w:val="20"/>
                <w:szCs w:val="20"/>
                <w:u w:val="single"/>
              </w:rPr>
              <w:t>o</w:t>
            </w:r>
            <w:r w:rsidRPr="00FC63E5">
              <w:rPr>
                <w:i/>
                <w:sz w:val="20"/>
                <w:szCs w:val="20"/>
                <w:u w:val="single"/>
              </w:rPr>
              <w:t xml:space="preserve"> Piešťany, Letisk</w:t>
            </w:r>
            <w:r>
              <w:rPr>
                <w:i/>
                <w:sz w:val="20"/>
                <w:szCs w:val="20"/>
                <w:u w:val="single"/>
              </w:rPr>
              <w:t>o</w:t>
            </w:r>
            <w:r w:rsidRPr="00FC63E5">
              <w:rPr>
                <w:i/>
                <w:sz w:val="20"/>
                <w:szCs w:val="20"/>
                <w:u w:val="single"/>
              </w:rPr>
              <w:t xml:space="preserve"> Poprad </w:t>
            </w:r>
            <w:r w:rsidR="00F02F40">
              <w:rPr>
                <w:i/>
                <w:sz w:val="20"/>
                <w:szCs w:val="20"/>
                <w:u w:val="single"/>
              </w:rPr>
              <w:t>-</w:t>
            </w:r>
            <w:r w:rsidR="00F02F40" w:rsidRPr="00FC63E5">
              <w:rPr>
                <w:i/>
                <w:sz w:val="20"/>
                <w:szCs w:val="20"/>
                <w:u w:val="single"/>
              </w:rPr>
              <w:t> </w:t>
            </w:r>
            <w:r w:rsidRPr="00FC63E5">
              <w:rPr>
                <w:i/>
                <w:sz w:val="20"/>
                <w:szCs w:val="20"/>
                <w:u w:val="single"/>
              </w:rPr>
              <w:t xml:space="preserve">Tatry </w:t>
            </w:r>
            <w:r>
              <w:rPr>
                <w:i/>
                <w:sz w:val="20"/>
                <w:szCs w:val="20"/>
                <w:u w:val="single"/>
              </w:rPr>
              <w:t>a </w:t>
            </w:r>
            <w:r w:rsidRPr="00FC63E5">
              <w:rPr>
                <w:i/>
                <w:sz w:val="20"/>
                <w:szCs w:val="20"/>
                <w:u w:val="single"/>
              </w:rPr>
              <w:t>Letisk</w:t>
            </w:r>
            <w:r>
              <w:rPr>
                <w:i/>
                <w:sz w:val="20"/>
                <w:szCs w:val="20"/>
                <w:u w:val="single"/>
              </w:rPr>
              <w:t>o</w:t>
            </w:r>
            <w:r w:rsidRPr="00FC63E5">
              <w:rPr>
                <w:i/>
                <w:sz w:val="20"/>
                <w:szCs w:val="20"/>
                <w:u w:val="single"/>
              </w:rPr>
              <w:t xml:space="preserve"> Žilina</w:t>
            </w:r>
          </w:p>
          <w:p w:rsidR="00E23BB3" w:rsidRPr="00E23BB3" w:rsidRDefault="00AD0983" w:rsidP="00E23BB3">
            <w:pPr>
              <w:pStyle w:val="Normlnywebov"/>
              <w:spacing w:before="0" w:beforeAutospacing="0" w:after="0" w:afterAutospacing="0"/>
              <w:jc w:val="both"/>
              <w:rPr>
                <w:sz w:val="20"/>
                <w:szCs w:val="20"/>
              </w:rPr>
            </w:pPr>
            <w:r>
              <w:rPr>
                <w:sz w:val="20"/>
                <w:szCs w:val="20"/>
              </w:rPr>
              <w:t xml:space="preserve">V súčasnosti </w:t>
            </w:r>
            <w:r w:rsidR="000503E3">
              <w:rPr>
                <w:sz w:val="20"/>
                <w:szCs w:val="20"/>
              </w:rPr>
              <w:t>sa</w:t>
            </w:r>
            <w:r w:rsidR="00E23BB3">
              <w:rPr>
                <w:sz w:val="20"/>
                <w:szCs w:val="20"/>
              </w:rPr>
              <w:t xml:space="preserve"> t</w:t>
            </w:r>
            <w:r w:rsidR="00E23BB3" w:rsidRPr="00E23BB3">
              <w:rPr>
                <w:sz w:val="20"/>
                <w:szCs w:val="20"/>
              </w:rPr>
              <w:t>erminálna odplata na Letisku Košice, Letisku Piešťany, Letisku Poprad </w:t>
            </w:r>
            <w:r w:rsidR="00F02F40">
              <w:rPr>
                <w:sz w:val="20"/>
                <w:szCs w:val="20"/>
              </w:rPr>
              <w:t>-</w:t>
            </w:r>
            <w:r w:rsidR="00F02F40" w:rsidRPr="00E23BB3">
              <w:rPr>
                <w:sz w:val="20"/>
                <w:szCs w:val="20"/>
              </w:rPr>
              <w:t> </w:t>
            </w:r>
            <w:r w:rsidR="00E23BB3" w:rsidRPr="00E23BB3">
              <w:rPr>
                <w:sz w:val="20"/>
                <w:szCs w:val="20"/>
              </w:rPr>
              <w:t xml:space="preserve">Tatry a Letisku Žilina za konkrétny let rovná súčinu </w:t>
            </w:r>
            <w:r w:rsidR="0022300E">
              <w:rPr>
                <w:sz w:val="20"/>
                <w:szCs w:val="20"/>
              </w:rPr>
              <w:t xml:space="preserve">terminálnej </w:t>
            </w:r>
            <w:r w:rsidR="00E23BB3" w:rsidRPr="00E23BB3">
              <w:rPr>
                <w:sz w:val="20"/>
                <w:szCs w:val="20"/>
              </w:rPr>
              <w:t>jednotkovej sadzby určenej pre danú terminálnu zónu spoplatňovania a</w:t>
            </w:r>
            <w:r w:rsidR="006708C1">
              <w:rPr>
                <w:sz w:val="20"/>
                <w:szCs w:val="20"/>
              </w:rPr>
              <w:t> </w:t>
            </w:r>
            <w:r w:rsidR="00E23BB3" w:rsidRPr="00E23BB3">
              <w:rPr>
                <w:sz w:val="20"/>
                <w:szCs w:val="20"/>
              </w:rPr>
              <w:t>terminálnych jednotiek služieb pre tento let. Počet terminálnych jednotiek služieb pre let sa rovná počtu metrických ton MTOW. Na účely výpočtu terminálnej odplaty sa priblíženie letu a odlet považujú za jeden let. Počítanou jednotkou je buď let pri prílete alebo pri odlete.</w:t>
            </w:r>
          </w:p>
          <w:p w:rsidR="00E23BB3" w:rsidRPr="00084C99" w:rsidRDefault="00E23BB3" w:rsidP="00E23BB3">
            <w:pPr>
              <w:pStyle w:val="Normlnywebov"/>
              <w:spacing w:before="0" w:beforeAutospacing="0" w:after="0" w:afterAutospacing="0"/>
              <w:rPr>
                <w:color w:val="244061" w:themeColor="accent1" w:themeShade="80"/>
                <w:sz w:val="16"/>
                <w:szCs w:val="16"/>
              </w:rPr>
            </w:pPr>
            <m:oMathPara>
              <m:oMathParaPr>
                <m:jc m:val="center"/>
              </m:oMathParaPr>
              <m:oMath>
                <m:r>
                  <m:rPr>
                    <m:sty m:val="p"/>
                  </m:rPr>
                  <w:rPr>
                    <w:rFonts w:ascii="Cambria Math" w:hAnsi="Cambria Math"/>
                    <w:color w:val="244061" w:themeColor="accent1" w:themeShade="80"/>
                    <w:sz w:val="16"/>
                    <w:szCs w:val="16"/>
                  </w:rPr>
                  <m:t xml:space="preserve">terminálna odplata =terminálna jednotková sadzba </m:t>
                </m:r>
                <m:r>
                  <m:rPr>
                    <m:sty m:val="p"/>
                  </m:rPr>
                  <w:rPr>
                    <w:rFonts w:ascii="Cambria Math" w:hAnsi="Cambria Math"/>
                    <w:color w:val="244061"/>
                    <w:sz w:val="16"/>
                    <w:szCs w:val="16"/>
                  </w:rPr>
                  <m:t xml:space="preserve">[€/t] </m:t>
                </m:r>
                <m:r>
                  <m:rPr>
                    <m:sty m:val="p"/>
                  </m:rPr>
                  <w:rPr>
                    <w:rFonts w:ascii="Cambria Math" w:hAnsi="Cambria Math"/>
                    <w:color w:val="244061" w:themeColor="accent1" w:themeShade="80"/>
                    <w:sz w:val="16"/>
                    <w:szCs w:val="16"/>
                  </w:rPr>
                  <m:t xml:space="preserve"> ×MTOW [t]</m:t>
                </m:r>
              </m:oMath>
            </m:oMathPara>
          </w:p>
          <w:p w:rsidR="00E23BB3" w:rsidRPr="00E23BB3" w:rsidRDefault="00E23BB3" w:rsidP="00E23BB3">
            <w:pPr>
              <w:pStyle w:val="Normlnywebov"/>
              <w:spacing w:before="0" w:beforeAutospacing="0" w:after="0" w:afterAutospacing="0"/>
              <w:rPr>
                <w:sz w:val="20"/>
                <w:szCs w:val="20"/>
              </w:rPr>
            </w:pPr>
          </w:p>
          <w:p w:rsidR="00E23BB3" w:rsidRPr="00E23BB3" w:rsidRDefault="0022300E" w:rsidP="00E23BB3">
            <w:pPr>
              <w:pStyle w:val="Normlnywebov"/>
              <w:spacing w:before="0" w:beforeAutospacing="0" w:after="0" w:afterAutospacing="0"/>
              <w:jc w:val="both"/>
              <w:rPr>
                <w:sz w:val="20"/>
                <w:szCs w:val="20"/>
              </w:rPr>
            </w:pPr>
            <w:r>
              <w:rPr>
                <w:sz w:val="20"/>
                <w:szCs w:val="20"/>
              </w:rPr>
              <w:t>Od roku 2008</w:t>
            </w:r>
            <w:r w:rsidR="00E23BB3" w:rsidRPr="00E23BB3">
              <w:rPr>
                <w:sz w:val="20"/>
                <w:szCs w:val="20"/>
              </w:rPr>
              <w:t xml:space="preserve"> je výška terminálnej jednotkovej sadzby vo vzťahu k</w:t>
            </w:r>
            <w:r>
              <w:rPr>
                <w:sz w:val="20"/>
                <w:szCs w:val="20"/>
              </w:rPr>
              <w:t xml:space="preserve"> terminálnym leteckým navigačným </w:t>
            </w:r>
            <w:r w:rsidR="00E23BB3" w:rsidRPr="00E23BB3">
              <w:rPr>
                <w:sz w:val="20"/>
                <w:szCs w:val="20"/>
              </w:rPr>
              <w:t>službám poskytnutým na Letisku Košice, Letisku Piešťany, Letisku Poprad </w:t>
            </w:r>
            <w:r w:rsidR="00F02F40">
              <w:rPr>
                <w:sz w:val="20"/>
                <w:szCs w:val="20"/>
              </w:rPr>
              <w:t>-</w:t>
            </w:r>
            <w:r w:rsidR="00F02F40" w:rsidRPr="00E23BB3">
              <w:rPr>
                <w:sz w:val="20"/>
                <w:szCs w:val="20"/>
              </w:rPr>
              <w:t> </w:t>
            </w:r>
            <w:r w:rsidR="00E23BB3" w:rsidRPr="00E23BB3">
              <w:rPr>
                <w:sz w:val="20"/>
                <w:szCs w:val="20"/>
              </w:rPr>
              <w:t>Tatry a na Letisku Žilina 6,472 €.</w:t>
            </w:r>
          </w:p>
          <w:p w:rsidR="00E23BB3" w:rsidRDefault="00E23BB3" w:rsidP="00E23BB3">
            <w:pPr>
              <w:pStyle w:val="Normlnywebov"/>
              <w:spacing w:before="0" w:beforeAutospacing="0" w:after="0" w:afterAutospacing="0"/>
              <w:rPr>
                <w:sz w:val="20"/>
                <w:szCs w:val="20"/>
              </w:rPr>
            </w:pPr>
          </w:p>
          <w:p w:rsidR="00F02F40" w:rsidRPr="00E23BB3" w:rsidRDefault="00F02F40" w:rsidP="00E23BB3">
            <w:pPr>
              <w:pStyle w:val="Normlnywebov"/>
              <w:spacing w:before="0" w:beforeAutospacing="0" w:after="0" w:afterAutospacing="0"/>
              <w:rPr>
                <w:sz w:val="20"/>
                <w:szCs w:val="20"/>
              </w:rPr>
            </w:pPr>
            <w:r w:rsidRPr="00FC63E5">
              <w:rPr>
                <w:i/>
                <w:sz w:val="20"/>
                <w:szCs w:val="20"/>
                <w:u w:val="single"/>
              </w:rPr>
              <w:t>Letisk</w:t>
            </w:r>
            <w:r>
              <w:rPr>
                <w:i/>
                <w:sz w:val="20"/>
                <w:szCs w:val="20"/>
                <w:u w:val="single"/>
              </w:rPr>
              <w:t>o Sliač</w:t>
            </w:r>
          </w:p>
          <w:p w:rsidR="00E23BB3" w:rsidRPr="00E23BB3" w:rsidRDefault="00952CCD" w:rsidP="00E23BB3">
            <w:pPr>
              <w:pStyle w:val="Normlnywebov"/>
              <w:spacing w:before="0" w:beforeAutospacing="0" w:after="0" w:afterAutospacing="0"/>
              <w:jc w:val="both"/>
              <w:rPr>
                <w:sz w:val="20"/>
                <w:szCs w:val="20"/>
              </w:rPr>
            </w:pPr>
            <w:r>
              <w:rPr>
                <w:sz w:val="20"/>
                <w:szCs w:val="20"/>
              </w:rPr>
              <w:t>T</w:t>
            </w:r>
            <w:r w:rsidR="00E23BB3" w:rsidRPr="00E23BB3">
              <w:rPr>
                <w:sz w:val="20"/>
                <w:szCs w:val="20"/>
              </w:rPr>
              <w:t xml:space="preserve">erminálna odplata </w:t>
            </w:r>
            <w:r>
              <w:rPr>
                <w:sz w:val="20"/>
                <w:szCs w:val="20"/>
              </w:rPr>
              <w:t xml:space="preserve">na </w:t>
            </w:r>
            <w:r w:rsidR="00E23BB3" w:rsidRPr="00E23BB3">
              <w:rPr>
                <w:sz w:val="20"/>
                <w:szCs w:val="20"/>
              </w:rPr>
              <w:t>Letisku</w:t>
            </w:r>
            <w:r w:rsidR="00645F38">
              <w:rPr>
                <w:sz w:val="20"/>
                <w:szCs w:val="20"/>
              </w:rPr>
              <w:t xml:space="preserve"> </w:t>
            </w:r>
            <w:r w:rsidR="00E23BB3" w:rsidRPr="00E23BB3">
              <w:rPr>
                <w:sz w:val="20"/>
                <w:szCs w:val="20"/>
              </w:rPr>
              <w:t xml:space="preserve">Sliač za konkrétny let sa rovná súčinu </w:t>
            </w:r>
            <w:r>
              <w:rPr>
                <w:sz w:val="20"/>
                <w:szCs w:val="20"/>
              </w:rPr>
              <w:t xml:space="preserve">terminálnej </w:t>
            </w:r>
            <w:r w:rsidR="00E23BB3" w:rsidRPr="00E23BB3">
              <w:rPr>
                <w:sz w:val="20"/>
                <w:szCs w:val="20"/>
              </w:rPr>
              <w:t>jednotkovej sadzby určenej pre danú terminálnu zónu spoplatňovania a terminálnych jednotiek služieb pre tento let. Počet terminálnych jednotiek služieb pre let sa rovná počtu metrických ton MTOW. Na účely výpočtu terminálnej odplaty sa priblíženie letu a odlet považujú za jeden let. Počítanou jednotkou je buď let pri prílete alebo pri odlete.</w:t>
            </w:r>
          </w:p>
          <w:p w:rsidR="00E23BB3" w:rsidRPr="00E733CB" w:rsidRDefault="00E23BB3" w:rsidP="00E23BB3">
            <w:pPr>
              <w:pStyle w:val="Normlnywebov"/>
              <w:spacing w:before="0" w:beforeAutospacing="0" w:after="0" w:afterAutospacing="0"/>
              <w:rPr>
                <w:sz w:val="16"/>
                <w:szCs w:val="16"/>
              </w:rPr>
            </w:pPr>
            <m:oMathPara>
              <m:oMathParaPr>
                <m:jc m:val="center"/>
              </m:oMathParaPr>
              <m:oMath>
                <m:r>
                  <m:rPr>
                    <m:sty m:val="p"/>
                  </m:rPr>
                  <w:rPr>
                    <w:rFonts w:ascii="Cambria Math" w:hAnsi="Cambria Math"/>
                    <w:color w:val="244061" w:themeColor="accent1" w:themeShade="80"/>
                    <w:sz w:val="16"/>
                    <w:szCs w:val="16"/>
                  </w:rPr>
                  <m:t xml:space="preserve">terminálna odplata =terminálna jednotková sadzba </m:t>
                </m:r>
                <m:r>
                  <m:rPr>
                    <m:sty m:val="p"/>
                  </m:rPr>
                  <w:rPr>
                    <w:rFonts w:ascii="Cambria Math" w:hAnsi="Cambria Math"/>
                    <w:color w:val="244061"/>
                    <w:sz w:val="16"/>
                    <w:szCs w:val="16"/>
                  </w:rPr>
                  <m:t xml:space="preserve">[€/t] </m:t>
                </m:r>
                <m:r>
                  <m:rPr>
                    <m:sty m:val="p"/>
                  </m:rPr>
                  <w:rPr>
                    <w:rFonts w:ascii="Cambria Math" w:hAnsi="Cambria Math"/>
                    <w:color w:val="244061" w:themeColor="accent1" w:themeShade="80"/>
                    <w:sz w:val="16"/>
                    <w:szCs w:val="16"/>
                  </w:rPr>
                  <m:t>×MTOW [t]</m:t>
                </m:r>
              </m:oMath>
            </m:oMathPara>
          </w:p>
          <w:p w:rsidR="00E23BB3" w:rsidRPr="00E23BB3" w:rsidRDefault="00E23BB3" w:rsidP="00E23BB3">
            <w:pPr>
              <w:pStyle w:val="Normlnywebov"/>
              <w:spacing w:before="0" w:beforeAutospacing="0" w:after="0" w:afterAutospacing="0"/>
              <w:rPr>
                <w:sz w:val="20"/>
                <w:szCs w:val="20"/>
              </w:rPr>
            </w:pPr>
          </w:p>
          <w:p w:rsidR="00E23BB3" w:rsidRPr="00E23BB3" w:rsidRDefault="00A01E4D" w:rsidP="00E23BB3">
            <w:pPr>
              <w:pStyle w:val="Normlnywebov"/>
              <w:spacing w:before="0" w:beforeAutospacing="0" w:after="0" w:afterAutospacing="0"/>
              <w:jc w:val="both"/>
              <w:rPr>
                <w:sz w:val="20"/>
                <w:szCs w:val="20"/>
              </w:rPr>
            </w:pPr>
            <w:r>
              <w:rPr>
                <w:sz w:val="20"/>
                <w:szCs w:val="20"/>
              </w:rPr>
              <w:t>V</w:t>
            </w:r>
            <w:r w:rsidR="00E23BB3" w:rsidRPr="00E23BB3">
              <w:rPr>
                <w:sz w:val="20"/>
                <w:szCs w:val="20"/>
              </w:rPr>
              <w:t>ýška terminálnej jednotkovej sadzby vo vzťahu k</w:t>
            </w:r>
            <w:r>
              <w:rPr>
                <w:sz w:val="20"/>
                <w:szCs w:val="20"/>
              </w:rPr>
              <w:t xml:space="preserve"> terminálny leteckým navigačným </w:t>
            </w:r>
            <w:r w:rsidR="00E23BB3" w:rsidRPr="00E23BB3">
              <w:rPr>
                <w:sz w:val="20"/>
                <w:szCs w:val="20"/>
              </w:rPr>
              <w:t>službá</w:t>
            </w:r>
            <w:r w:rsidR="00E421B5">
              <w:rPr>
                <w:sz w:val="20"/>
                <w:szCs w:val="20"/>
              </w:rPr>
              <w:t xml:space="preserve">m poskytnutým na Letisku Sliač je </w:t>
            </w:r>
            <w:r w:rsidR="00E23BB3" w:rsidRPr="00E23BB3">
              <w:rPr>
                <w:sz w:val="20"/>
                <w:szCs w:val="20"/>
              </w:rPr>
              <w:t xml:space="preserve">6,472 €. </w:t>
            </w:r>
          </w:p>
          <w:p w:rsidR="00E23BB3" w:rsidRDefault="00E23BB3" w:rsidP="00E23BB3">
            <w:pPr>
              <w:pStyle w:val="Normlnywebov"/>
              <w:spacing w:before="0" w:beforeAutospacing="0" w:after="0" w:afterAutospacing="0"/>
              <w:rPr>
                <w:sz w:val="20"/>
                <w:szCs w:val="20"/>
              </w:rPr>
            </w:pPr>
          </w:p>
          <w:p w:rsidR="00A44A85" w:rsidRDefault="00A44A85" w:rsidP="00E23BB3">
            <w:pPr>
              <w:pStyle w:val="Normlnywebov"/>
              <w:spacing w:before="0" w:beforeAutospacing="0" w:after="0" w:afterAutospacing="0"/>
              <w:rPr>
                <w:sz w:val="20"/>
                <w:szCs w:val="20"/>
              </w:rPr>
            </w:pPr>
          </w:p>
          <w:p w:rsidR="008F7D71" w:rsidRPr="0023590B" w:rsidRDefault="0023590B" w:rsidP="00161CA7">
            <w:pPr>
              <w:pStyle w:val="Normlnywebov"/>
              <w:keepNext/>
              <w:spacing w:before="0" w:beforeAutospacing="0" w:after="0" w:afterAutospacing="0"/>
              <w:jc w:val="both"/>
              <w:rPr>
                <w:b/>
                <w:sz w:val="20"/>
                <w:szCs w:val="20"/>
              </w:rPr>
            </w:pPr>
            <w:r w:rsidRPr="0023590B">
              <w:rPr>
                <w:b/>
                <w:sz w:val="20"/>
                <w:szCs w:val="20"/>
              </w:rPr>
              <w:lastRenderedPageBreak/>
              <w:t>Nový systém (platný od 01. 01. 2020)</w:t>
            </w:r>
          </w:p>
          <w:p w:rsidR="00154762" w:rsidRDefault="00C220E7" w:rsidP="00E23BB3">
            <w:pPr>
              <w:pStyle w:val="Normlnywebov"/>
              <w:spacing w:before="0" w:beforeAutospacing="0" w:after="0" w:afterAutospacing="0"/>
              <w:jc w:val="both"/>
              <w:rPr>
                <w:sz w:val="20"/>
                <w:szCs w:val="20"/>
              </w:rPr>
            </w:pPr>
            <w:r>
              <w:rPr>
                <w:sz w:val="20"/>
                <w:szCs w:val="20"/>
              </w:rPr>
              <w:t>V</w:t>
            </w:r>
            <w:r w:rsidR="009D7E2E">
              <w:rPr>
                <w:sz w:val="20"/>
                <w:szCs w:val="20"/>
              </w:rPr>
              <w:t xml:space="preserve"> prípade </w:t>
            </w:r>
            <w:r w:rsidR="00A930DC">
              <w:rPr>
                <w:sz w:val="20"/>
                <w:szCs w:val="20"/>
              </w:rPr>
              <w:t>určenia</w:t>
            </w:r>
            <w:r w:rsidR="009D7E2E">
              <w:rPr>
                <w:sz w:val="20"/>
                <w:szCs w:val="20"/>
              </w:rPr>
              <w:t xml:space="preserve"> terminálnej jednotkovej sadzby a následne výpočtu terminálnej odplaty </w:t>
            </w:r>
            <w:r w:rsidR="0038328E">
              <w:rPr>
                <w:sz w:val="20"/>
                <w:szCs w:val="20"/>
              </w:rPr>
              <w:t xml:space="preserve">od 1. januára 2020 </w:t>
            </w:r>
            <w:r w:rsidR="009D7E2E">
              <w:rPr>
                <w:sz w:val="20"/>
                <w:szCs w:val="20"/>
              </w:rPr>
              <w:t xml:space="preserve">podľa vykonávacieho nariadenia (EÚ) 2019/317 </w:t>
            </w:r>
            <w:r w:rsidR="00A930DC">
              <w:rPr>
                <w:sz w:val="20"/>
                <w:szCs w:val="20"/>
              </w:rPr>
              <w:t xml:space="preserve">by </w:t>
            </w:r>
            <w:r>
              <w:rPr>
                <w:sz w:val="20"/>
                <w:szCs w:val="20"/>
              </w:rPr>
              <w:t xml:space="preserve">tieto výpočty, vrátane nákladov, </w:t>
            </w:r>
            <w:r w:rsidR="009D7E2E">
              <w:rPr>
                <w:sz w:val="20"/>
                <w:szCs w:val="20"/>
              </w:rPr>
              <w:t>museli byť zahrnuté do plánu výkonnosti, ktorý je posudzovaný Európskou komisiou</w:t>
            </w:r>
            <w:r>
              <w:rPr>
                <w:sz w:val="20"/>
                <w:szCs w:val="20"/>
              </w:rPr>
              <w:t xml:space="preserve"> a taktiež by musel byť aplikovaný systém stimulov, najmä finančných stimulov, ktoré by mohli mať vplyv na hospodárenie poskytovateľa terminálnych leteckých navigačných služieb</w:t>
            </w:r>
            <w:r w:rsidR="00B435BD">
              <w:rPr>
                <w:sz w:val="20"/>
                <w:szCs w:val="20"/>
              </w:rPr>
              <w:t>, ako aj vplyv na používateľov vzdušného priestoru</w:t>
            </w:r>
            <w:r>
              <w:rPr>
                <w:sz w:val="20"/>
                <w:szCs w:val="20"/>
              </w:rPr>
              <w:t>.</w:t>
            </w:r>
          </w:p>
          <w:p w:rsidR="00A930DC" w:rsidRDefault="00A930DC" w:rsidP="00E23BB3">
            <w:pPr>
              <w:pStyle w:val="Normlnywebov"/>
              <w:spacing w:before="0" w:beforeAutospacing="0" w:after="0" w:afterAutospacing="0"/>
              <w:jc w:val="both"/>
              <w:rPr>
                <w:sz w:val="20"/>
                <w:szCs w:val="20"/>
              </w:rPr>
            </w:pPr>
          </w:p>
          <w:p w:rsidR="00EC2A72" w:rsidRDefault="00EC2A72" w:rsidP="00E23BB3">
            <w:pPr>
              <w:pStyle w:val="Normlnywebov"/>
              <w:spacing w:before="0" w:beforeAutospacing="0" w:after="0" w:afterAutospacing="0"/>
              <w:jc w:val="both"/>
              <w:rPr>
                <w:sz w:val="20"/>
                <w:szCs w:val="20"/>
              </w:rPr>
            </w:pPr>
            <w:r>
              <w:rPr>
                <w:sz w:val="20"/>
                <w:szCs w:val="20"/>
              </w:rPr>
              <w:t xml:space="preserve">Aplikácia </w:t>
            </w:r>
            <w:r w:rsidR="00084C99">
              <w:rPr>
                <w:sz w:val="20"/>
                <w:szCs w:val="20"/>
              </w:rPr>
              <w:t>návrhu nariadenia vlády</w:t>
            </w:r>
            <w:r>
              <w:rPr>
                <w:sz w:val="20"/>
                <w:szCs w:val="20"/>
              </w:rPr>
              <w:t xml:space="preserve"> </w:t>
            </w:r>
            <w:r w:rsidR="006C4D59">
              <w:rPr>
                <w:sz w:val="20"/>
                <w:szCs w:val="20"/>
              </w:rPr>
              <w:t xml:space="preserve">Slovenskej republiky </w:t>
            </w:r>
            <w:r>
              <w:rPr>
                <w:sz w:val="20"/>
                <w:szCs w:val="20"/>
              </w:rPr>
              <w:t xml:space="preserve">na </w:t>
            </w:r>
            <w:r w:rsidR="0009352A">
              <w:rPr>
                <w:sz w:val="20"/>
                <w:szCs w:val="20"/>
              </w:rPr>
              <w:t>určeni</w:t>
            </w:r>
            <w:r>
              <w:rPr>
                <w:sz w:val="20"/>
                <w:szCs w:val="20"/>
              </w:rPr>
              <w:t xml:space="preserve">e </w:t>
            </w:r>
            <w:r w:rsidR="00E733CB">
              <w:rPr>
                <w:sz w:val="20"/>
                <w:szCs w:val="20"/>
              </w:rPr>
              <w:t xml:space="preserve">výšky </w:t>
            </w:r>
            <w:r>
              <w:rPr>
                <w:sz w:val="20"/>
                <w:szCs w:val="20"/>
              </w:rPr>
              <w:t xml:space="preserve">terminálnej jednotkovej sadzby umožní zjednodušiť činnosť poskytovateľa terminálnych leteckých navigačných služieb, keďže nebude povinný splniť požiadavky podľa vykonávacieho nariadenia (EÚ) 2019/317. Zároveň sa zabezpečí zachovanie leteckej prevádzky na letiskách prevádzkovaných letiskovými spoločnosťami, </w:t>
            </w:r>
            <w:r w:rsidR="0023590B">
              <w:rPr>
                <w:sz w:val="20"/>
                <w:szCs w:val="20"/>
              </w:rPr>
              <w:t>keďže</w:t>
            </w:r>
            <w:r>
              <w:rPr>
                <w:sz w:val="20"/>
                <w:szCs w:val="20"/>
              </w:rPr>
              <w:t xml:space="preserve"> vysoká terminálna jednotková sadzba môže odradiť používateľov vzdušného priestoru od použitia príslušného letiska prevádzkovaného letiskovou spoločnosťou, na ktorom sú poskytované terminálne letecké navigačné služby.</w:t>
            </w:r>
          </w:p>
          <w:p w:rsidR="008229F9" w:rsidRDefault="008229F9" w:rsidP="0046180D">
            <w:pPr>
              <w:pStyle w:val="Normlnywebov"/>
              <w:spacing w:before="0" w:beforeAutospacing="0" w:after="0" w:afterAutospacing="0"/>
              <w:jc w:val="both"/>
              <w:rPr>
                <w:sz w:val="20"/>
                <w:szCs w:val="20"/>
              </w:rPr>
            </w:pPr>
          </w:p>
          <w:p w:rsidR="00BD0705" w:rsidRDefault="0046180D" w:rsidP="00BD0705">
            <w:pPr>
              <w:pStyle w:val="Normlnywebov"/>
              <w:spacing w:before="0" w:beforeAutospacing="0" w:after="0" w:afterAutospacing="0"/>
              <w:jc w:val="both"/>
              <w:rPr>
                <w:sz w:val="20"/>
                <w:szCs w:val="20"/>
              </w:rPr>
            </w:pPr>
            <w:r>
              <w:rPr>
                <w:sz w:val="20"/>
                <w:szCs w:val="20"/>
              </w:rPr>
              <w:t xml:space="preserve">Podľa návrhu nariadenia vlády </w:t>
            </w:r>
            <w:r w:rsidR="00DB1A7E">
              <w:rPr>
                <w:sz w:val="20"/>
                <w:szCs w:val="20"/>
              </w:rPr>
              <w:t xml:space="preserve">Slovenskej republiky </w:t>
            </w:r>
            <w:r>
              <w:rPr>
                <w:sz w:val="20"/>
                <w:szCs w:val="20"/>
              </w:rPr>
              <w:t>sa t</w:t>
            </w:r>
            <w:r w:rsidRPr="00E23BB3">
              <w:rPr>
                <w:sz w:val="20"/>
                <w:szCs w:val="20"/>
              </w:rPr>
              <w:t xml:space="preserve">erminálna odplata za konkrétny let rovná súčinu </w:t>
            </w:r>
            <w:r>
              <w:rPr>
                <w:sz w:val="20"/>
                <w:szCs w:val="20"/>
              </w:rPr>
              <w:t xml:space="preserve">terminálnej </w:t>
            </w:r>
            <w:r w:rsidRPr="00E23BB3">
              <w:rPr>
                <w:sz w:val="20"/>
                <w:szCs w:val="20"/>
              </w:rPr>
              <w:t>jednotkovej sadzby určenej pre danú terminálnu zónu spoplatňovania a</w:t>
            </w:r>
            <w:r w:rsidR="008229F9">
              <w:rPr>
                <w:sz w:val="20"/>
                <w:szCs w:val="20"/>
              </w:rPr>
              <w:t> </w:t>
            </w:r>
            <w:r w:rsidRPr="00E23BB3">
              <w:rPr>
                <w:sz w:val="20"/>
                <w:szCs w:val="20"/>
              </w:rPr>
              <w:t>terminálnych jednotiek služieb pre tento let</w:t>
            </w:r>
            <w:r w:rsidR="00BD0705">
              <w:rPr>
                <w:sz w:val="20"/>
                <w:szCs w:val="20"/>
              </w:rPr>
              <w:t>, pričom</w:t>
            </w:r>
            <w:r w:rsidRPr="00E23BB3">
              <w:rPr>
                <w:sz w:val="20"/>
                <w:szCs w:val="20"/>
              </w:rPr>
              <w:t xml:space="preserve"> </w:t>
            </w:r>
            <w:r w:rsidR="00BD0705">
              <w:rPr>
                <w:sz w:val="20"/>
                <w:szCs w:val="20"/>
              </w:rPr>
              <w:t>p</w:t>
            </w:r>
            <w:r w:rsidR="00BD0705" w:rsidRPr="00E23BB3">
              <w:rPr>
                <w:sz w:val="20"/>
                <w:szCs w:val="20"/>
              </w:rPr>
              <w:t xml:space="preserve">očet </w:t>
            </w:r>
            <w:r w:rsidRPr="00E23BB3">
              <w:rPr>
                <w:sz w:val="20"/>
                <w:szCs w:val="20"/>
              </w:rPr>
              <w:t xml:space="preserve">terminálnych jednotiek služieb </w:t>
            </w:r>
            <w:r w:rsidR="00BD0705">
              <w:rPr>
                <w:sz w:val="20"/>
                <w:szCs w:val="20"/>
              </w:rPr>
              <w:t xml:space="preserve">za konkrétny </w:t>
            </w:r>
            <w:r w:rsidRPr="00E23BB3">
              <w:rPr>
                <w:sz w:val="20"/>
                <w:szCs w:val="20"/>
              </w:rPr>
              <w:t>let sa rovná</w:t>
            </w:r>
          </w:p>
          <w:p w:rsidR="00BD0705" w:rsidRDefault="00BD0705" w:rsidP="00BD0705">
            <w:pPr>
              <w:pStyle w:val="Normlnywebov"/>
              <w:spacing w:before="0" w:beforeAutospacing="0" w:after="0" w:afterAutospacing="0"/>
              <w:jc w:val="both"/>
              <w:rPr>
                <w:sz w:val="20"/>
                <w:szCs w:val="20"/>
              </w:rPr>
            </w:pPr>
            <w:r>
              <w:rPr>
                <w:sz w:val="20"/>
                <w:szCs w:val="20"/>
              </w:rPr>
              <w:t>a)</w:t>
            </w:r>
            <w:r w:rsidR="0046180D" w:rsidRPr="00E23BB3">
              <w:rPr>
                <w:sz w:val="20"/>
                <w:szCs w:val="20"/>
              </w:rPr>
              <w:t xml:space="preserve"> počtu metrických ton MTOW</w:t>
            </w:r>
          </w:p>
          <w:p w:rsidR="00BD0705" w:rsidRDefault="00BD0705" w:rsidP="00BD0705">
            <w:pPr>
              <w:pStyle w:val="Normlnywebov"/>
              <w:spacing w:before="0" w:beforeAutospacing="0" w:after="0" w:afterAutospacing="0"/>
              <w:jc w:val="both"/>
              <w:rPr>
                <w:sz w:val="20"/>
                <w:szCs w:val="20"/>
              </w:rPr>
            </w:pPr>
            <w:r>
              <w:rPr>
                <w:sz w:val="20"/>
                <w:szCs w:val="20"/>
              </w:rPr>
              <w:t xml:space="preserve">b) činiteľu hmotnosti lietadla, ktorý sa </w:t>
            </w:r>
            <w:r w:rsidRPr="00BD0705">
              <w:rPr>
                <w:sz w:val="20"/>
                <w:szCs w:val="20"/>
              </w:rPr>
              <w:t xml:space="preserve">vypočítaný ako podiel počtu </w:t>
            </w:r>
            <w:r>
              <w:rPr>
                <w:sz w:val="20"/>
                <w:szCs w:val="20"/>
              </w:rPr>
              <w:t xml:space="preserve">MTOW </w:t>
            </w:r>
            <w:r w:rsidRPr="00BD0705">
              <w:rPr>
                <w:sz w:val="20"/>
                <w:szCs w:val="20"/>
              </w:rPr>
              <w:t>a čísla 50, umocnený na 0,5 a zaokrúhlený na dve desatinné miesta</w:t>
            </w:r>
            <w:r w:rsidR="0046180D" w:rsidRPr="00E23BB3">
              <w:rPr>
                <w:sz w:val="20"/>
                <w:szCs w:val="20"/>
              </w:rPr>
              <w:t>.</w:t>
            </w:r>
          </w:p>
          <w:p w:rsidR="0046180D" w:rsidRDefault="0046180D" w:rsidP="00BD0705">
            <w:pPr>
              <w:pStyle w:val="Normlnywebov"/>
              <w:spacing w:before="0" w:beforeAutospacing="0" w:after="0" w:afterAutospacing="0"/>
              <w:jc w:val="both"/>
              <w:rPr>
                <w:sz w:val="20"/>
                <w:szCs w:val="20"/>
              </w:rPr>
            </w:pPr>
            <w:r w:rsidRPr="00E23BB3">
              <w:rPr>
                <w:sz w:val="20"/>
                <w:szCs w:val="20"/>
              </w:rPr>
              <w:t>Na účely výpočtu terminálnej odplaty sa priblíženie letu a odlet považujú za jeden let. Počítanou jednotkou je buď let pri prílete alebo pri odlete.</w:t>
            </w:r>
          </w:p>
          <w:p w:rsidR="00BD0705" w:rsidRPr="00E23BB3" w:rsidRDefault="00BD0705" w:rsidP="00BD0705">
            <w:pPr>
              <w:pStyle w:val="Normlnywebov"/>
              <w:spacing w:before="0" w:beforeAutospacing="0" w:after="0" w:afterAutospacing="0"/>
              <w:jc w:val="both"/>
              <w:rPr>
                <w:sz w:val="20"/>
                <w:szCs w:val="20"/>
              </w:rPr>
            </w:pPr>
            <m:oMathPara>
              <m:oMath>
                <m:r>
                  <m:rPr>
                    <m:sty m:val="p"/>
                  </m:rPr>
                  <w:rPr>
                    <w:rFonts w:ascii="Cambria Math" w:hAnsi="Cambria Math"/>
                    <w:color w:val="244061" w:themeColor="accent1" w:themeShade="80"/>
                    <w:sz w:val="16"/>
                    <w:szCs w:val="16"/>
                  </w:rPr>
                  <m:t xml:space="preserve">terminálna odplata =terminálna jednotková sadzba × </m:t>
                </m:r>
                <m:nary>
                  <m:naryPr>
                    <m:chr m:val="∑"/>
                    <m:limLoc m:val="undOvr"/>
                    <m:subHide m:val="1"/>
                    <m:supHide m:val="1"/>
                    <m:ctrlPr>
                      <w:rPr>
                        <w:rFonts w:ascii="Cambria Math" w:hAnsi="Cambria Math"/>
                        <w:color w:val="244061" w:themeColor="accent1" w:themeShade="80"/>
                        <w:sz w:val="16"/>
                        <w:szCs w:val="16"/>
                      </w:rPr>
                    </m:ctrlPr>
                  </m:naryPr>
                  <m:sub/>
                  <m:sup/>
                  <m:e>
                    <m:r>
                      <m:rPr>
                        <m:sty m:val="p"/>
                      </m:rPr>
                      <w:rPr>
                        <w:rFonts w:ascii="Cambria Math" w:hAnsi="Cambria Math"/>
                        <w:color w:val="244061" w:themeColor="accent1" w:themeShade="80"/>
                        <w:sz w:val="16"/>
                        <w:szCs w:val="16"/>
                      </w:rPr>
                      <m:t>terminálnych jednotiek pre daný let</m:t>
                    </m:r>
                  </m:e>
                </m:nary>
              </m:oMath>
            </m:oMathPara>
          </w:p>
          <w:p w:rsidR="00BD0705" w:rsidRPr="00161CA7" w:rsidRDefault="00BD0705" w:rsidP="00BD0705">
            <w:pPr>
              <w:pStyle w:val="Normlnywebov"/>
              <w:spacing w:before="0" w:beforeAutospacing="0" w:after="0" w:afterAutospacing="0"/>
              <w:jc w:val="center"/>
              <w:rPr>
                <w:sz w:val="16"/>
                <w:szCs w:val="16"/>
              </w:rPr>
            </w:pPr>
            <w:r w:rsidRPr="00161CA7">
              <w:rPr>
                <w:sz w:val="16"/>
                <w:szCs w:val="16"/>
              </w:rPr>
              <w:t>t. j.</w:t>
            </w:r>
          </w:p>
          <w:p w:rsidR="00BD0705" w:rsidRPr="00BD0705" w:rsidRDefault="00BD0705" w:rsidP="00BD0705">
            <w:pPr>
              <w:pStyle w:val="Normlnywebov"/>
              <w:spacing w:before="0" w:beforeAutospacing="0" w:after="0" w:afterAutospacing="0"/>
              <w:rPr>
                <w:color w:val="244061" w:themeColor="accent1" w:themeShade="80"/>
                <w:sz w:val="16"/>
                <w:szCs w:val="16"/>
              </w:rPr>
            </w:pPr>
          </w:p>
          <w:p w:rsidR="0046180D" w:rsidRPr="00BD0705" w:rsidRDefault="0046180D" w:rsidP="0046180D">
            <w:pPr>
              <w:pStyle w:val="Normlnywebov"/>
              <w:spacing w:before="0" w:beforeAutospacing="0" w:after="0" w:afterAutospacing="0"/>
              <w:rPr>
                <w:color w:val="244061" w:themeColor="accent1" w:themeShade="80"/>
                <w:sz w:val="16"/>
                <w:szCs w:val="16"/>
              </w:rPr>
            </w:pPr>
            <m:oMathPara>
              <m:oMathParaPr>
                <m:jc m:val="center"/>
              </m:oMathParaPr>
              <m:oMath>
                <m:r>
                  <m:rPr>
                    <m:sty m:val="p"/>
                  </m:rPr>
                  <w:rPr>
                    <w:rFonts w:ascii="Cambria Math" w:hAnsi="Cambria Math"/>
                    <w:color w:val="244061" w:themeColor="accent1" w:themeShade="80"/>
                    <w:sz w:val="16"/>
                    <w:szCs w:val="16"/>
                  </w:rPr>
                  <m:t xml:space="preserve">terminálna odplata =terminálna jednotková sadzba </m:t>
                </m:r>
                <m:r>
                  <m:rPr>
                    <m:sty m:val="p"/>
                  </m:rPr>
                  <w:rPr>
                    <w:rFonts w:ascii="Cambria Math" w:hAnsi="Cambria Math"/>
                    <w:color w:val="244061"/>
                    <w:sz w:val="16"/>
                    <w:szCs w:val="16"/>
                  </w:rPr>
                  <m:t xml:space="preserve">[€/t] </m:t>
                </m:r>
                <m:r>
                  <m:rPr>
                    <m:sty m:val="p"/>
                  </m:rPr>
                  <w:rPr>
                    <w:rFonts w:ascii="Cambria Math" w:hAnsi="Cambria Math"/>
                    <w:color w:val="244061" w:themeColor="accent1" w:themeShade="80"/>
                    <w:sz w:val="16"/>
                    <w:szCs w:val="16"/>
                  </w:rPr>
                  <m:t>×MTOW [t]</m:t>
                </m:r>
              </m:oMath>
            </m:oMathPara>
          </w:p>
          <w:p w:rsidR="00BD0705" w:rsidRDefault="00BD0705" w:rsidP="00161CA7">
            <w:pPr>
              <w:pStyle w:val="Normlnywebov"/>
              <w:spacing w:before="0" w:beforeAutospacing="0" w:after="0" w:afterAutospacing="0"/>
              <w:rPr>
                <w:color w:val="244061" w:themeColor="accent1" w:themeShade="80"/>
                <w:sz w:val="16"/>
                <w:szCs w:val="16"/>
              </w:rPr>
            </w:pPr>
          </w:p>
          <w:p w:rsidR="00BD0705" w:rsidRPr="00161CA7" w:rsidRDefault="00BD0705" w:rsidP="00BD0705">
            <w:pPr>
              <w:pStyle w:val="Normlnywebov"/>
              <w:spacing w:before="0" w:beforeAutospacing="0" w:after="0" w:afterAutospacing="0"/>
              <w:jc w:val="center"/>
              <w:rPr>
                <w:sz w:val="16"/>
                <w:szCs w:val="16"/>
              </w:rPr>
            </w:pPr>
            <w:r w:rsidRPr="00161CA7">
              <w:rPr>
                <w:sz w:val="16"/>
                <w:szCs w:val="16"/>
              </w:rPr>
              <w:t>alebo</w:t>
            </w:r>
          </w:p>
          <w:p w:rsidR="00BD0705" w:rsidRDefault="00BD0705" w:rsidP="00BD0705">
            <w:pPr>
              <w:pStyle w:val="Normlnywebov"/>
              <w:spacing w:before="0" w:beforeAutospacing="0" w:after="0" w:afterAutospacing="0"/>
              <w:rPr>
                <w:color w:val="244061" w:themeColor="accent1" w:themeShade="80"/>
                <w:sz w:val="16"/>
                <w:szCs w:val="16"/>
              </w:rPr>
            </w:pPr>
          </w:p>
          <w:p w:rsidR="00BD0705" w:rsidRPr="00084C99" w:rsidRDefault="00BD0705" w:rsidP="00BD0705">
            <w:pPr>
              <w:pStyle w:val="Normlnywebov"/>
              <w:spacing w:before="0" w:beforeAutospacing="0" w:after="0" w:afterAutospacing="0"/>
              <w:jc w:val="center"/>
              <w:rPr>
                <w:color w:val="244061" w:themeColor="accent1" w:themeShade="80"/>
                <w:sz w:val="16"/>
                <w:szCs w:val="16"/>
              </w:rPr>
            </w:pPr>
            <m:oMathPara>
              <m:oMathParaPr>
                <m:jc m:val="center"/>
              </m:oMathParaPr>
              <m:oMath>
                <m:r>
                  <m:rPr>
                    <m:sty m:val="p"/>
                  </m:rPr>
                  <w:rPr>
                    <w:rFonts w:ascii="Cambria Math" w:hAnsi="Cambria Math"/>
                    <w:color w:val="244061" w:themeColor="accent1" w:themeShade="80"/>
                    <w:sz w:val="16"/>
                    <w:szCs w:val="16"/>
                  </w:rPr>
                  <m:t xml:space="preserve">terminálna odplata =terminálna jednotková sadzba [€/terminálnu jednotku služieb] × </m:t>
                </m:r>
                <m:sSup>
                  <m:sSupPr>
                    <m:ctrlPr>
                      <w:rPr>
                        <w:rFonts w:ascii="Cambria Math" w:hAnsi="Cambria Math"/>
                        <w:color w:val="244061" w:themeColor="accent1" w:themeShade="80"/>
                        <w:sz w:val="16"/>
                        <w:szCs w:val="16"/>
                      </w:rPr>
                    </m:ctrlPr>
                  </m:sSupPr>
                  <m:e>
                    <m:d>
                      <m:dPr>
                        <m:ctrlPr>
                          <w:rPr>
                            <w:rFonts w:ascii="Cambria Math" w:hAnsi="Cambria Math"/>
                            <w:color w:val="244061" w:themeColor="accent1" w:themeShade="80"/>
                            <w:sz w:val="16"/>
                            <w:szCs w:val="16"/>
                          </w:rPr>
                        </m:ctrlPr>
                      </m:dPr>
                      <m:e>
                        <m:f>
                          <m:fPr>
                            <m:ctrlPr>
                              <w:rPr>
                                <w:rFonts w:ascii="Cambria Math" w:hAnsi="Cambria Math"/>
                                <w:color w:val="244061" w:themeColor="accent1" w:themeShade="80"/>
                                <w:sz w:val="16"/>
                                <w:szCs w:val="16"/>
                              </w:rPr>
                            </m:ctrlPr>
                          </m:fPr>
                          <m:num>
                            <m:r>
                              <m:rPr>
                                <m:sty m:val="p"/>
                              </m:rPr>
                              <w:rPr>
                                <w:rFonts w:ascii="Cambria Math" w:hAnsi="Cambria Math"/>
                                <w:color w:val="244061" w:themeColor="accent1" w:themeShade="80"/>
                                <w:sz w:val="16"/>
                                <w:szCs w:val="16"/>
                              </w:rPr>
                              <m:t>MTOW [t]</m:t>
                            </m:r>
                          </m:num>
                          <m:den>
                            <m:r>
                              <m:rPr>
                                <m:sty m:val="p"/>
                              </m:rPr>
                              <w:rPr>
                                <w:rFonts w:ascii="Cambria Math" w:hAnsi="Cambria Math"/>
                                <w:color w:val="244061" w:themeColor="accent1" w:themeShade="80"/>
                                <w:sz w:val="16"/>
                                <w:szCs w:val="16"/>
                              </w:rPr>
                              <m:t>50</m:t>
                            </m:r>
                          </m:den>
                        </m:f>
                      </m:e>
                    </m:d>
                  </m:e>
                  <m:sup>
                    <m:r>
                      <m:rPr>
                        <m:sty m:val="p"/>
                      </m:rPr>
                      <w:rPr>
                        <w:rFonts w:ascii="Cambria Math" w:hAnsi="Cambria Math"/>
                        <w:color w:val="244061" w:themeColor="accent1" w:themeShade="80"/>
                        <w:sz w:val="16"/>
                        <w:szCs w:val="16"/>
                      </w:rPr>
                      <m:t>0,5</m:t>
                    </m:r>
                  </m:sup>
                </m:sSup>
              </m:oMath>
            </m:oMathPara>
          </w:p>
          <w:p w:rsidR="0046180D" w:rsidRPr="00E23BB3" w:rsidRDefault="0046180D" w:rsidP="0046180D">
            <w:pPr>
              <w:pStyle w:val="Normlnywebov"/>
              <w:spacing w:before="0" w:beforeAutospacing="0" w:after="0" w:afterAutospacing="0"/>
              <w:rPr>
                <w:sz w:val="20"/>
                <w:szCs w:val="20"/>
              </w:rPr>
            </w:pPr>
          </w:p>
          <w:p w:rsidR="00EC2A72" w:rsidRDefault="00EC2A72" w:rsidP="00E23BB3">
            <w:pPr>
              <w:pStyle w:val="Normlnywebov"/>
              <w:spacing w:before="0" w:beforeAutospacing="0" w:after="0" w:afterAutospacing="0"/>
              <w:jc w:val="both"/>
              <w:rPr>
                <w:sz w:val="20"/>
                <w:szCs w:val="20"/>
              </w:rPr>
            </w:pPr>
          </w:p>
          <w:p w:rsidR="00084C99" w:rsidRPr="00084C99" w:rsidRDefault="00084C99" w:rsidP="00E23BB3">
            <w:pPr>
              <w:pStyle w:val="Normlnywebov"/>
              <w:spacing w:before="0" w:beforeAutospacing="0" w:after="0" w:afterAutospacing="0"/>
              <w:jc w:val="both"/>
              <w:rPr>
                <w:b/>
                <w:sz w:val="20"/>
                <w:szCs w:val="20"/>
              </w:rPr>
            </w:pPr>
            <w:r w:rsidRPr="00084C99">
              <w:rPr>
                <w:b/>
                <w:sz w:val="20"/>
                <w:szCs w:val="20"/>
              </w:rPr>
              <w:t>Porovnanie systému</w:t>
            </w:r>
            <w:r>
              <w:rPr>
                <w:b/>
                <w:sz w:val="20"/>
                <w:szCs w:val="20"/>
              </w:rPr>
              <w:t xml:space="preserve"> - zhrnutie</w:t>
            </w:r>
          </w:p>
          <w:p w:rsidR="006A605D" w:rsidRDefault="0046180D" w:rsidP="0046180D">
            <w:pPr>
              <w:pStyle w:val="Normlnywebov"/>
              <w:spacing w:before="0" w:beforeAutospacing="0" w:after="0" w:afterAutospacing="0"/>
              <w:jc w:val="both"/>
              <w:rPr>
                <w:sz w:val="20"/>
                <w:szCs w:val="20"/>
              </w:rPr>
            </w:pPr>
            <w:r>
              <w:rPr>
                <w:rFonts w:ascii="Times" w:hAnsi="Times" w:cs="Times"/>
                <w:sz w:val="20"/>
                <w:szCs w:val="20"/>
              </w:rPr>
              <w:t xml:space="preserve">Z pohľadu porovnania </w:t>
            </w:r>
            <w:r w:rsidR="008229F9">
              <w:rPr>
                <w:rFonts w:ascii="Times" w:hAnsi="Times" w:cs="Times"/>
                <w:sz w:val="20"/>
                <w:szCs w:val="20"/>
              </w:rPr>
              <w:t>určenia</w:t>
            </w:r>
            <w:r>
              <w:rPr>
                <w:rFonts w:ascii="Times" w:hAnsi="Times" w:cs="Times"/>
                <w:sz w:val="20"/>
                <w:szCs w:val="20"/>
              </w:rPr>
              <w:t xml:space="preserve"> terminálnej jednotkovej sadzby a následného výpočtu terminálnej odplaty podľa vykonávacieho nariadenia (EÚ) 2019/317 a </w:t>
            </w:r>
            <w:r w:rsidR="006B1F1B">
              <w:rPr>
                <w:rFonts w:ascii="Times" w:hAnsi="Times" w:cs="Times"/>
                <w:sz w:val="20"/>
                <w:szCs w:val="20"/>
              </w:rPr>
              <w:t>určenia</w:t>
            </w:r>
            <w:r>
              <w:rPr>
                <w:rFonts w:ascii="Times" w:hAnsi="Times" w:cs="Times"/>
                <w:sz w:val="20"/>
                <w:szCs w:val="20"/>
              </w:rPr>
              <w:t xml:space="preserve"> terminálnej jednotkovej sadzby a následného výpočtu terminálnej odplaty podľa návrhu nariadenia vlády </w:t>
            </w:r>
            <w:r w:rsidR="00DB1A7E">
              <w:rPr>
                <w:sz w:val="20"/>
                <w:szCs w:val="20"/>
              </w:rPr>
              <w:t xml:space="preserve">Slovenskej republiky </w:t>
            </w:r>
            <w:r w:rsidR="006A605D">
              <w:rPr>
                <w:rFonts w:ascii="Times" w:hAnsi="Times" w:cs="Times"/>
                <w:sz w:val="20"/>
                <w:szCs w:val="20"/>
              </w:rPr>
              <w:t xml:space="preserve">- </w:t>
            </w:r>
            <w:r>
              <w:rPr>
                <w:rFonts w:ascii="Times" w:hAnsi="Times" w:cs="Times"/>
                <w:sz w:val="20"/>
                <w:szCs w:val="20"/>
              </w:rPr>
              <w:t xml:space="preserve">variant č. 2 </w:t>
            </w:r>
            <w:r w:rsidR="006B1F1B">
              <w:rPr>
                <w:rFonts w:ascii="Times" w:hAnsi="Times" w:cs="Times"/>
                <w:sz w:val="20"/>
                <w:szCs w:val="20"/>
              </w:rPr>
              <w:t>určenia</w:t>
            </w:r>
            <w:r>
              <w:rPr>
                <w:rFonts w:ascii="Times" w:hAnsi="Times" w:cs="Times"/>
                <w:sz w:val="20"/>
                <w:szCs w:val="20"/>
              </w:rPr>
              <w:t xml:space="preserve"> terminálnej jednotkovej sadzby a výpočtu terminálnej odplaty</w:t>
            </w:r>
            <w:r w:rsidR="00E3247E">
              <w:rPr>
                <w:rFonts w:ascii="Times" w:hAnsi="Times" w:cs="Times"/>
                <w:sz w:val="20"/>
                <w:szCs w:val="20"/>
              </w:rPr>
              <w:t>,</w:t>
            </w:r>
            <w:r>
              <w:rPr>
                <w:rFonts w:ascii="Times" w:hAnsi="Times" w:cs="Times"/>
                <w:sz w:val="20"/>
                <w:szCs w:val="20"/>
              </w:rPr>
              <w:t xml:space="preserve"> možno </w:t>
            </w:r>
            <w:r w:rsidR="00084C99">
              <w:rPr>
                <w:rFonts w:ascii="Times" w:hAnsi="Times" w:cs="Times"/>
                <w:sz w:val="20"/>
                <w:szCs w:val="20"/>
              </w:rPr>
              <w:t>vo všeobecnosti predpokladať</w:t>
            </w:r>
            <w:r>
              <w:rPr>
                <w:rFonts w:ascii="Times" w:hAnsi="Times" w:cs="Times"/>
                <w:sz w:val="20"/>
                <w:szCs w:val="20"/>
              </w:rPr>
              <w:t xml:space="preserve">, že z matematického pohľadu výpočet terminálnej odplaty </w:t>
            </w:r>
            <w:r w:rsidRPr="00835AB0">
              <w:rPr>
                <w:sz w:val="20"/>
                <w:szCs w:val="20"/>
              </w:rPr>
              <w:t>za konkrétny let v konkrétnej t</w:t>
            </w:r>
            <w:r>
              <w:rPr>
                <w:sz w:val="20"/>
                <w:szCs w:val="20"/>
              </w:rPr>
              <w:t>erminálnej zóne spoplatňovania ako</w:t>
            </w:r>
            <w:r w:rsidRPr="00835AB0">
              <w:rPr>
                <w:sz w:val="20"/>
                <w:szCs w:val="20"/>
              </w:rPr>
              <w:t xml:space="preserve"> súčin </w:t>
            </w:r>
            <w:r>
              <w:rPr>
                <w:sz w:val="20"/>
                <w:szCs w:val="20"/>
              </w:rPr>
              <w:t>terminálnej</w:t>
            </w:r>
            <w:r w:rsidRPr="00835AB0">
              <w:rPr>
                <w:sz w:val="20"/>
                <w:szCs w:val="20"/>
              </w:rPr>
              <w:t xml:space="preserve"> jednotkovej sadzby </w:t>
            </w:r>
            <w:r w:rsidR="006B1F1B">
              <w:rPr>
                <w:sz w:val="20"/>
                <w:szCs w:val="20"/>
              </w:rPr>
              <w:t>určenej</w:t>
            </w:r>
            <w:r w:rsidRPr="00835AB0">
              <w:rPr>
                <w:sz w:val="20"/>
                <w:szCs w:val="20"/>
              </w:rPr>
              <w:t xml:space="preserve"> pre danú terminálnu zónu spoplatňovania a počtu metrických ton MTOW</w:t>
            </w:r>
            <w:r>
              <w:rPr>
                <w:sz w:val="20"/>
                <w:szCs w:val="20"/>
              </w:rPr>
              <w:t xml:space="preserve"> najlepšie zohľadňuje schopnosť prevádzkovateľa lietadla alebo leteckého prevádzkovateľa alebo leteckého dopravcu </w:t>
            </w:r>
            <w:r w:rsidR="006A605D">
              <w:rPr>
                <w:sz w:val="20"/>
                <w:szCs w:val="20"/>
              </w:rPr>
              <w:t xml:space="preserve">prevádzkujúceho lietadlo s MTOW nižšou ako 50 t </w:t>
            </w:r>
            <w:r>
              <w:rPr>
                <w:sz w:val="20"/>
                <w:szCs w:val="20"/>
              </w:rPr>
              <w:t xml:space="preserve">uhrádzať terminálne odplaty, keďže vo všeobecnosti </w:t>
            </w:r>
            <w:r w:rsidR="00DB1A7E">
              <w:rPr>
                <w:sz w:val="20"/>
                <w:szCs w:val="20"/>
              </w:rPr>
              <w:t xml:space="preserve">možno predpokladať, že </w:t>
            </w:r>
            <w:r>
              <w:rPr>
                <w:sz w:val="20"/>
                <w:szCs w:val="20"/>
              </w:rPr>
              <w:t xml:space="preserve">lietadlá s vyššou </w:t>
            </w:r>
            <w:r w:rsidRPr="00835AB0">
              <w:rPr>
                <w:sz w:val="20"/>
                <w:szCs w:val="20"/>
              </w:rPr>
              <w:t>maximáln</w:t>
            </w:r>
            <w:r>
              <w:rPr>
                <w:sz w:val="20"/>
                <w:szCs w:val="20"/>
              </w:rPr>
              <w:t>ou</w:t>
            </w:r>
            <w:r w:rsidRPr="00835AB0">
              <w:rPr>
                <w:sz w:val="20"/>
                <w:szCs w:val="20"/>
              </w:rPr>
              <w:t xml:space="preserve"> </w:t>
            </w:r>
            <w:r w:rsidRPr="00D719FF">
              <w:rPr>
                <w:sz w:val="20"/>
                <w:szCs w:val="20"/>
              </w:rPr>
              <w:t>osvedčen</w:t>
            </w:r>
            <w:r>
              <w:rPr>
                <w:sz w:val="20"/>
                <w:szCs w:val="20"/>
              </w:rPr>
              <w:t>ou</w:t>
            </w:r>
            <w:r w:rsidRPr="00835AB0">
              <w:rPr>
                <w:sz w:val="20"/>
                <w:szCs w:val="20"/>
              </w:rPr>
              <w:t xml:space="preserve"> vzletov</w:t>
            </w:r>
            <w:r>
              <w:rPr>
                <w:sz w:val="20"/>
                <w:szCs w:val="20"/>
              </w:rPr>
              <w:t>ou</w:t>
            </w:r>
            <w:r w:rsidRPr="00835AB0">
              <w:rPr>
                <w:sz w:val="20"/>
                <w:szCs w:val="20"/>
              </w:rPr>
              <w:t xml:space="preserve"> hmotnos</w:t>
            </w:r>
            <w:r>
              <w:rPr>
                <w:sz w:val="20"/>
                <w:szCs w:val="20"/>
              </w:rPr>
              <w:t xml:space="preserve">ťou sú prevádzkované osobami, ktoré majú lepšie finančné možnosti. </w:t>
            </w:r>
            <w:r w:rsidR="006A605D">
              <w:rPr>
                <w:sz w:val="20"/>
                <w:szCs w:val="20"/>
              </w:rPr>
              <w:t>Do kategórie lietadiel s MTOW do 50 t možno zahrnúť väčšinu všeobecného letectva, ktorá je na zmenu výšky terminálnej jednotkovej sadzby a následne vypočítanej terminálnej odplaty najcitlivejšia.</w:t>
            </w:r>
          </w:p>
          <w:p w:rsidR="0046180D" w:rsidRDefault="006A605D" w:rsidP="0046180D">
            <w:pPr>
              <w:pStyle w:val="Normlnywebov"/>
              <w:spacing w:before="0" w:beforeAutospacing="0" w:after="0" w:afterAutospacing="0"/>
              <w:jc w:val="both"/>
              <w:rPr>
                <w:sz w:val="20"/>
                <w:szCs w:val="20"/>
              </w:rPr>
            </w:pPr>
            <w:r>
              <w:rPr>
                <w:sz w:val="20"/>
                <w:szCs w:val="20"/>
              </w:rPr>
              <w:t>S ohľadom na druh obchodnej leteckej dopravy vykonávanej je pre letiská, z ktorého sa vykonáva pravidelná obchodná letecká doprava letúnmi s MTOW viac ako 50 t je stanovený samostatný vzorec výpočtu</w:t>
            </w:r>
            <w:r w:rsidR="00E3247E">
              <w:rPr>
                <w:sz w:val="20"/>
                <w:szCs w:val="20"/>
              </w:rPr>
              <w:t xml:space="preserve"> - </w:t>
            </w:r>
            <w:r w:rsidR="00E3247E">
              <w:rPr>
                <w:rFonts w:ascii="Times" w:hAnsi="Times" w:cs="Times"/>
                <w:sz w:val="20"/>
                <w:szCs w:val="20"/>
              </w:rPr>
              <w:t>variant č. 3 určenia terminálnej jednotkovej sadzby a výpočtu terminálnej odplaty</w:t>
            </w:r>
            <w:r>
              <w:rPr>
                <w:sz w:val="20"/>
                <w:szCs w:val="20"/>
              </w:rPr>
              <w:t>.</w:t>
            </w:r>
          </w:p>
          <w:p w:rsidR="006B1F1B" w:rsidRDefault="006B1F1B" w:rsidP="0046180D">
            <w:pPr>
              <w:pStyle w:val="Normlnywebov"/>
              <w:spacing w:before="0" w:beforeAutospacing="0" w:after="0" w:afterAutospacing="0"/>
              <w:jc w:val="both"/>
              <w:rPr>
                <w:sz w:val="20"/>
                <w:szCs w:val="20"/>
              </w:rPr>
            </w:pPr>
          </w:p>
          <w:p w:rsidR="006B1F1B" w:rsidRDefault="0046180D" w:rsidP="0046180D">
            <w:pPr>
              <w:pStyle w:val="Normlnywebov"/>
              <w:spacing w:before="0" w:beforeAutospacing="0" w:after="0" w:afterAutospacing="0"/>
              <w:jc w:val="both"/>
              <w:rPr>
                <w:sz w:val="20"/>
                <w:szCs w:val="20"/>
              </w:rPr>
            </w:pPr>
            <w:r>
              <w:rPr>
                <w:sz w:val="20"/>
                <w:szCs w:val="20"/>
              </w:rPr>
              <w:t xml:space="preserve">V porovnaní so systémom výpočtu podľa vykonávacieho nariadenia (EÚ) 2019/317 systém podľa návrhu nariadenia vlády </w:t>
            </w:r>
            <w:r w:rsidR="00DB1A7E">
              <w:rPr>
                <w:sz w:val="20"/>
                <w:szCs w:val="20"/>
              </w:rPr>
              <w:t xml:space="preserve">Slovenskej republiky </w:t>
            </w:r>
            <w:r>
              <w:rPr>
                <w:sz w:val="20"/>
                <w:szCs w:val="20"/>
              </w:rPr>
              <w:t xml:space="preserve">nezahŕňa vypracovanie plánu výkonnosti posudzovaného Európskou komisiou, do ktorého by museli byť zapracované záväzné </w:t>
            </w:r>
            <w:r w:rsidRPr="001304DB">
              <w:rPr>
                <w:sz w:val="20"/>
                <w:szCs w:val="20"/>
              </w:rPr>
              <w:t xml:space="preserve">národné ciele výkonnosti alebo záväzné ciele výkonnosti </w:t>
            </w:r>
            <w:r>
              <w:rPr>
                <w:sz w:val="20"/>
                <w:szCs w:val="20"/>
              </w:rPr>
              <w:t xml:space="preserve">funkčných blokov vzdušného priestoru </w:t>
            </w:r>
            <w:r w:rsidRPr="001304DB">
              <w:rPr>
                <w:sz w:val="20"/>
                <w:szCs w:val="20"/>
              </w:rPr>
              <w:t>stanovené na základe kľúčových ukazovateľov výkonnosti vrátane východiskovej hodnoty pre stanovené náklady a</w:t>
            </w:r>
            <w:r>
              <w:rPr>
                <w:sz w:val="20"/>
                <w:szCs w:val="20"/>
              </w:rPr>
              <w:t> </w:t>
            </w:r>
            <w:r w:rsidRPr="001304DB">
              <w:rPr>
                <w:sz w:val="20"/>
                <w:szCs w:val="20"/>
              </w:rPr>
              <w:t xml:space="preserve">východiskovej hodnoty pre stanovené jednotkové náklady za každú </w:t>
            </w:r>
            <w:r>
              <w:rPr>
                <w:sz w:val="20"/>
                <w:szCs w:val="20"/>
              </w:rPr>
              <w:t xml:space="preserve">terminálnu </w:t>
            </w:r>
            <w:r w:rsidRPr="001304DB">
              <w:rPr>
                <w:sz w:val="20"/>
                <w:szCs w:val="20"/>
              </w:rPr>
              <w:t>zónu spoplatňovania, na účely stanovenia cieľov v kľúčovej oblasti výkonnosti zameranej na nákladovú efektívnosť</w:t>
            </w:r>
            <w:r>
              <w:rPr>
                <w:sz w:val="20"/>
                <w:szCs w:val="20"/>
              </w:rPr>
              <w:t xml:space="preserve">. </w:t>
            </w:r>
          </w:p>
          <w:p w:rsidR="0046180D" w:rsidRDefault="0046180D" w:rsidP="0046180D">
            <w:pPr>
              <w:pStyle w:val="Normlnywebov"/>
              <w:spacing w:before="0" w:beforeAutospacing="0" w:after="0" w:afterAutospacing="0"/>
              <w:jc w:val="both"/>
              <w:rPr>
                <w:sz w:val="20"/>
                <w:szCs w:val="20"/>
              </w:rPr>
            </w:pPr>
            <w:r>
              <w:rPr>
                <w:sz w:val="20"/>
                <w:szCs w:val="20"/>
              </w:rPr>
              <w:t>Taktiež systém podľa návrhu nariadenia vlády</w:t>
            </w:r>
            <w:r w:rsidR="006E7FFC">
              <w:rPr>
                <w:sz w:val="20"/>
                <w:szCs w:val="20"/>
              </w:rPr>
              <w:t xml:space="preserve"> Slovenskej republiky</w:t>
            </w:r>
            <w:r>
              <w:rPr>
                <w:sz w:val="20"/>
                <w:szCs w:val="20"/>
              </w:rPr>
              <w:t xml:space="preserve"> nezahŕňa </w:t>
            </w:r>
            <w:r w:rsidRPr="001808A1">
              <w:rPr>
                <w:sz w:val="20"/>
                <w:szCs w:val="20"/>
              </w:rPr>
              <w:t>stimuly finančnej povahy na dosiahnutie cieľov výkonnosti v</w:t>
            </w:r>
            <w:r>
              <w:rPr>
                <w:sz w:val="20"/>
                <w:szCs w:val="20"/>
              </w:rPr>
              <w:t> </w:t>
            </w:r>
            <w:r w:rsidRPr="001808A1">
              <w:rPr>
                <w:sz w:val="20"/>
                <w:szCs w:val="20"/>
              </w:rPr>
              <w:t>kľúčových oblastiach výkonnosti zameraných na nákladovú efektívnosť a</w:t>
            </w:r>
            <w:r>
              <w:rPr>
                <w:sz w:val="20"/>
                <w:szCs w:val="20"/>
              </w:rPr>
              <w:t> </w:t>
            </w:r>
            <w:r w:rsidRPr="001808A1">
              <w:rPr>
                <w:sz w:val="20"/>
                <w:szCs w:val="20"/>
              </w:rPr>
              <w:t>kapacitu efektívnym a</w:t>
            </w:r>
            <w:r>
              <w:rPr>
                <w:sz w:val="20"/>
                <w:szCs w:val="20"/>
              </w:rPr>
              <w:t> </w:t>
            </w:r>
            <w:r w:rsidRPr="001808A1">
              <w:rPr>
                <w:sz w:val="20"/>
                <w:szCs w:val="20"/>
              </w:rPr>
              <w:t>primeraným spôsobom</w:t>
            </w:r>
            <w:r>
              <w:rPr>
                <w:sz w:val="20"/>
                <w:szCs w:val="20"/>
              </w:rPr>
              <w:t xml:space="preserve">. </w:t>
            </w:r>
          </w:p>
          <w:p w:rsidR="006B1F1B" w:rsidRDefault="006B1F1B" w:rsidP="00084C99">
            <w:pPr>
              <w:pStyle w:val="Normlnywebov"/>
              <w:spacing w:before="0" w:beforeAutospacing="0" w:after="0" w:afterAutospacing="0"/>
              <w:jc w:val="both"/>
              <w:rPr>
                <w:rFonts w:ascii="Times" w:hAnsi="Times" w:cs="Times"/>
                <w:sz w:val="20"/>
                <w:szCs w:val="20"/>
              </w:rPr>
            </w:pPr>
          </w:p>
          <w:p w:rsidR="00084C99" w:rsidRDefault="00084C99" w:rsidP="00084C99">
            <w:pPr>
              <w:pStyle w:val="Normlnywebov"/>
              <w:spacing w:before="0" w:beforeAutospacing="0" w:after="0" w:afterAutospacing="0"/>
              <w:jc w:val="both"/>
              <w:rPr>
                <w:rFonts w:ascii="Times" w:hAnsi="Times" w:cs="Times"/>
                <w:sz w:val="20"/>
                <w:szCs w:val="20"/>
              </w:rPr>
            </w:pPr>
            <w:r>
              <w:rPr>
                <w:rFonts w:ascii="Times" w:hAnsi="Times" w:cs="Times"/>
                <w:sz w:val="20"/>
                <w:szCs w:val="20"/>
              </w:rPr>
              <w:lastRenderedPageBreak/>
              <w:t xml:space="preserve">Navrhovaným systémom </w:t>
            </w:r>
            <w:r w:rsidR="006B1F1B">
              <w:rPr>
                <w:rFonts w:ascii="Times" w:hAnsi="Times" w:cs="Times"/>
                <w:sz w:val="20"/>
                <w:szCs w:val="20"/>
              </w:rPr>
              <w:t>určenia</w:t>
            </w:r>
            <w:r>
              <w:rPr>
                <w:rFonts w:ascii="Times" w:hAnsi="Times" w:cs="Times"/>
                <w:sz w:val="20"/>
                <w:szCs w:val="20"/>
              </w:rPr>
              <w:t xml:space="preserve"> terminálnej jednotkovej sadzby a následného výpočtu terminálnej odplaty sa zároveň predpokladajú pozitívne vplyvy na výsledky hospodárenia poskytovateľov terminálnych leteckých navigačných služieb </w:t>
            </w:r>
            <w:r w:rsidR="004D761F">
              <w:rPr>
                <w:rFonts w:ascii="Times" w:hAnsi="Times" w:cs="Times"/>
                <w:sz w:val="20"/>
                <w:szCs w:val="20"/>
              </w:rPr>
              <w:t xml:space="preserve">aj s ohľadom na </w:t>
            </w:r>
            <w:r>
              <w:rPr>
                <w:sz w:val="20"/>
                <w:szCs w:val="20"/>
              </w:rPr>
              <w:t>zabezpeč</w:t>
            </w:r>
            <w:r w:rsidR="004D761F">
              <w:rPr>
                <w:sz w:val="20"/>
                <w:szCs w:val="20"/>
              </w:rPr>
              <w:t>enie zachovania</w:t>
            </w:r>
            <w:r>
              <w:rPr>
                <w:sz w:val="20"/>
                <w:szCs w:val="20"/>
              </w:rPr>
              <w:t xml:space="preserve"> leteckej prevádzky na letiskách prevádzkovaných letiskovými spoločnosťami</w:t>
            </w:r>
            <w:r w:rsidR="006B1F1B">
              <w:rPr>
                <w:sz w:val="20"/>
                <w:szCs w:val="20"/>
              </w:rPr>
              <w:t>.</w:t>
            </w:r>
          </w:p>
          <w:p w:rsidR="00084C99" w:rsidRDefault="00084C99" w:rsidP="0046180D">
            <w:pPr>
              <w:pStyle w:val="Normlnywebov"/>
              <w:spacing w:before="0" w:beforeAutospacing="0" w:after="0" w:afterAutospacing="0"/>
              <w:jc w:val="both"/>
              <w:rPr>
                <w:sz w:val="20"/>
                <w:szCs w:val="20"/>
              </w:rPr>
            </w:pPr>
          </w:p>
          <w:p w:rsidR="00574B35" w:rsidRDefault="00574B35" w:rsidP="00574B35">
            <w:pPr>
              <w:pStyle w:val="Normlnywebov"/>
              <w:spacing w:before="0" w:beforeAutospacing="0" w:after="0" w:afterAutospacing="0"/>
              <w:jc w:val="both"/>
              <w:rPr>
                <w:sz w:val="20"/>
                <w:szCs w:val="20"/>
              </w:rPr>
            </w:pPr>
            <w:r>
              <w:rPr>
                <w:rFonts w:ascii="Times" w:hAnsi="Times" w:cs="Times"/>
                <w:sz w:val="20"/>
                <w:szCs w:val="20"/>
              </w:rPr>
              <w:t>Navrhovaným systémom určenia terminálnej jednotkovej sadzby a následného výpočtu terminálnej odplaty sa</w:t>
            </w:r>
            <w:r>
              <w:rPr>
                <w:sz w:val="20"/>
                <w:szCs w:val="20"/>
              </w:rPr>
              <w:t xml:space="preserve"> nepredpokladajú </w:t>
            </w:r>
            <w:r w:rsidRPr="00574B35">
              <w:rPr>
                <w:sz w:val="20"/>
                <w:szCs w:val="20"/>
              </w:rPr>
              <w:t>sociáln</w:t>
            </w:r>
            <w:r>
              <w:rPr>
                <w:sz w:val="20"/>
                <w:szCs w:val="20"/>
              </w:rPr>
              <w:t>e</w:t>
            </w:r>
            <w:r w:rsidRPr="00574B35">
              <w:rPr>
                <w:sz w:val="20"/>
                <w:szCs w:val="20"/>
              </w:rPr>
              <w:t xml:space="preserve"> vplyv</w:t>
            </w:r>
            <w:r>
              <w:rPr>
                <w:sz w:val="20"/>
                <w:szCs w:val="20"/>
              </w:rPr>
              <w:t xml:space="preserve">y, t .j. </w:t>
            </w:r>
            <w:r w:rsidRPr="00574B35">
              <w:rPr>
                <w:sz w:val="20"/>
                <w:szCs w:val="20"/>
              </w:rPr>
              <w:t xml:space="preserve">predložený </w:t>
            </w:r>
            <w:r>
              <w:rPr>
                <w:sz w:val="20"/>
                <w:szCs w:val="20"/>
              </w:rPr>
              <w:t>návrhu nariadenia vlády Slovenskej republiky</w:t>
            </w:r>
            <w:r w:rsidRPr="00574B35">
              <w:rPr>
                <w:sz w:val="20"/>
                <w:szCs w:val="20"/>
              </w:rPr>
              <w:t xml:space="preserve"> </w:t>
            </w:r>
            <w:r w:rsidR="00D150B4">
              <w:rPr>
                <w:sz w:val="20"/>
                <w:szCs w:val="20"/>
              </w:rPr>
              <w:t>ne</w:t>
            </w:r>
            <w:r>
              <w:rPr>
                <w:sz w:val="20"/>
                <w:szCs w:val="20"/>
              </w:rPr>
              <w:t xml:space="preserve">predpokladá </w:t>
            </w:r>
            <w:r w:rsidRPr="00574B35">
              <w:rPr>
                <w:sz w:val="20"/>
                <w:szCs w:val="20"/>
              </w:rPr>
              <w:t xml:space="preserve">výdavky dotknutých spotrebiteľov. </w:t>
            </w:r>
            <w:r>
              <w:rPr>
                <w:sz w:val="20"/>
                <w:szCs w:val="20"/>
              </w:rPr>
              <w:t xml:space="preserve">Terminálne letecké navigačné služby sú poskytnuté len používateľom vzdušného priestoru, ktorí ich poskytnutie požadujú. </w:t>
            </w:r>
            <w:r w:rsidR="00D150B4">
              <w:rPr>
                <w:sz w:val="20"/>
                <w:szCs w:val="20"/>
              </w:rPr>
              <w:t>V prípade obchodnej leteckej dopravy</w:t>
            </w:r>
            <w:r w:rsidR="00E94574">
              <w:rPr>
                <w:sz w:val="20"/>
                <w:szCs w:val="20"/>
              </w:rPr>
              <w:t>, aj s ohľadom na liberalizáciu,</w:t>
            </w:r>
            <w:r w:rsidR="00D150B4">
              <w:rPr>
                <w:sz w:val="20"/>
                <w:szCs w:val="20"/>
              </w:rPr>
              <w:t xml:space="preserve"> v</w:t>
            </w:r>
            <w:r>
              <w:rPr>
                <w:sz w:val="20"/>
                <w:szCs w:val="20"/>
              </w:rPr>
              <w:t>o vzťahu k cestujúcim a cene letenky možno konštatovať, že náklady na letecké navigačné služby (traťové a aj terminálne) predstavujú minimálnu časť nákladov vstupujúcich do výpočtu ceny letenky a cena letenky závisí od obchodnej politiky daného leteckého dopravcu.</w:t>
            </w:r>
            <w:r w:rsidR="00E94574">
              <w:rPr>
                <w:sz w:val="20"/>
                <w:szCs w:val="20"/>
              </w:rPr>
              <w:t xml:space="preserve"> </w:t>
            </w:r>
          </w:p>
          <w:p w:rsidR="00E364D1" w:rsidRDefault="00E364D1" w:rsidP="0046180D">
            <w:pPr>
              <w:pStyle w:val="Normlnywebov"/>
              <w:spacing w:before="0" w:beforeAutospacing="0" w:after="0" w:afterAutospacing="0"/>
              <w:jc w:val="both"/>
              <w:rPr>
                <w:sz w:val="20"/>
                <w:szCs w:val="20"/>
              </w:rPr>
            </w:pPr>
          </w:p>
          <w:p w:rsidR="0046180D" w:rsidRPr="002E3AFA" w:rsidRDefault="0046180D" w:rsidP="0075198A">
            <w:pPr>
              <w:pStyle w:val="Normlnywebov"/>
              <w:spacing w:before="0" w:beforeAutospacing="0" w:after="0" w:afterAutospacing="0"/>
              <w:jc w:val="both"/>
              <w:rPr>
                <w:sz w:val="20"/>
                <w:szCs w:val="20"/>
              </w:rPr>
            </w:pPr>
            <w:r>
              <w:rPr>
                <w:sz w:val="20"/>
                <w:szCs w:val="20"/>
              </w:rPr>
              <w:t xml:space="preserve">Štruktúra oprávnených nákladov, systém zdieľania rizika či samotný vzorec na </w:t>
            </w:r>
            <w:r w:rsidR="0075198A">
              <w:rPr>
                <w:sz w:val="20"/>
                <w:szCs w:val="20"/>
              </w:rPr>
              <w:t>určenie</w:t>
            </w:r>
            <w:r>
              <w:rPr>
                <w:sz w:val="20"/>
                <w:szCs w:val="20"/>
              </w:rPr>
              <w:t xml:space="preserve"> terminálnej jednotkovej sadzby a vzorec na výpočet terminálnej odplaty predstavujú len spôsob výpočtu, podľa ktorého postupuje poskytovateľ terminálnych leteckých navigačných služieb. Samotná výška terminálnej jednotkovej sadzby a následne vypočítanej terminálnej odplaty však závisia od výsledných nákladov stanovených poskytovateľom terminálnych leteckých navigačných služieb a od odhadu prevádzkových výkonov.</w:t>
            </w:r>
          </w:p>
        </w:tc>
      </w:tr>
      <w:tr w:rsidR="00517DFE" w:rsidRPr="00C05B9F" w:rsidTr="005C147B">
        <w:trPr>
          <w:divId w:val="981544908"/>
          <w:jc w:val="center"/>
        </w:trPr>
        <w:tc>
          <w:tcPr>
            <w:tcW w:w="250" w:type="pct"/>
            <w:tcBorders>
              <w:top w:val="outset" w:sz="6" w:space="0" w:color="000000"/>
              <w:bottom w:val="outset" w:sz="6" w:space="0" w:color="000000"/>
            </w:tcBorders>
            <w:shd w:val="clear" w:color="auto" w:fill="E6E6E6"/>
            <w:hideMark/>
          </w:tcPr>
          <w:p w:rsidR="00517DFE" w:rsidRPr="00A92AA0" w:rsidRDefault="00517DFE" w:rsidP="00E23BB3">
            <w:pPr>
              <w:rPr>
                <w:b/>
                <w:bCs/>
                <w:sz w:val="20"/>
                <w:szCs w:val="20"/>
              </w:rPr>
            </w:pPr>
            <w:r w:rsidRPr="00A92AA0">
              <w:rPr>
                <w:b/>
                <w:bCs/>
                <w:sz w:val="20"/>
                <w:szCs w:val="20"/>
              </w:rPr>
              <w:lastRenderedPageBreak/>
              <w:t>11. Kontakt na spracovateľa</w:t>
            </w:r>
          </w:p>
        </w:tc>
      </w:tr>
      <w:tr w:rsidR="00517DFE" w:rsidRPr="00C05B9F" w:rsidTr="005C147B">
        <w:trPr>
          <w:divId w:val="981544908"/>
          <w:jc w:val="center"/>
        </w:trPr>
        <w:tc>
          <w:tcPr>
            <w:tcW w:w="250" w:type="pct"/>
            <w:tcBorders>
              <w:top w:val="outset" w:sz="6" w:space="0" w:color="000000"/>
              <w:bottom w:val="outset" w:sz="6" w:space="0" w:color="000000"/>
            </w:tcBorders>
            <w:hideMark/>
          </w:tcPr>
          <w:p w:rsidR="00517DFE" w:rsidRPr="00A92AA0" w:rsidRDefault="00363969" w:rsidP="00E23BB3">
            <w:pPr>
              <w:rPr>
                <w:i/>
                <w:sz w:val="20"/>
                <w:szCs w:val="20"/>
              </w:rPr>
            </w:pPr>
            <w:r w:rsidRPr="00A92AA0">
              <w:rPr>
                <w:i/>
                <w:sz w:val="20"/>
                <w:szCs w:val="20"/>
              </w:rPr>
              <w:t>Uveďte údaje na kontaktnú osobu, ktorú je možné kontaktovať v súvislosti s posúdením vybraných vplyvov:</w:t>
            </w:r>
          </w:p>
          <w:p w:rsidR="006564AC" w:rsidRPr="00A92AA0" w:rsidRDefault="006564AC" w:rsidP="00E23BB3">
            <w:pPr>
              <w:jc w:val="both"/>
              <w:rPr>
                <w:sz w:val="20"/>
                <w:szCs w:val="20"/>
              </w:rPr>
            </w:pPr>
          </w:p>
          <w:p w:rsidR="005E673C" w:rsidRPr="00E36D82" w:rsidRDefault="008E2D1C" w:rsidP="00E23BB3">
            <w:pPr>
              <w:jc w:val="both"/>
              <w:rPr>
                <w:color w:val="0000FF" w:themeColor="hyperlink"/>
                <w:sz w:val="20"/>
                <w:szCs w:val="20"/>
                <w:u w:val="single"/>
              </w:rPr>
            </w:pPr>
            <w:r w:rsidRPr="00A92AA0">
              <w:rPr>
                <w:sz w:val="20"/>
                <w:szCs w:val="20"/>
              </w:rPr>
              <w:t xml:space="preserve">Michal Hýsek, odbor civilného letectva, sekcia civilného letectva, Ministerstvo dopravy a výstavby Slovenskej republiky, 02/59494617, </w:t>
            </w:r>
            <w:hyperlink r:id="rId9" w:history="1">
              <w:r w:rsidRPr="00A92AA0">
                <w:rPr>
                  <w:rStyle w:val="Hypertextovprepojenie"/>
                  <w:sz w:val="20"/>
                  <w:szCs w:val="20"/>
                </w:rPr>
                <w:t>michal.hysek@mindop.sk</w:t>
              </w:r>
            </w:hyperlink>
          </w:p>
        </w:tc>
      </w:tr>
      <w:tr w:rsidR="00517DFE" w:rsidRPr="00C05B9F" w:rsidTr="005C147B">
        <w:trPr>
          <w:divId w:val="981544908"/>
          <w:jc w:val="center"/>
        </w:trPr>
        <w:tc>
          <w:tcPr>
            <w:tcW w:w="250" w:type="pct"/>
            <w:tcBorders>
              <w:top w:val="outset" w:sz="6" w:space="0" w:color="000000"/>
              <w:bottom w:val="outset" w:sz="6" w:space="0" w:color="000000"/>
            </w:tcBorders>
            <w:shd w:val="clear" w:color="auto" w:fill="E6E6E6"/>
            <w:hideMark/>
          </w:tcPr>
          <w:p w:rsidR="00517DFE" w:rsidRPr="00A92AA0" w:rsidRDefault="008E2D1C" w:rsidP="00F2284E">
            <w:pPr>
              <w:keepNext/>
              <w:rPr>
                <w:b/>
                <w:bCs/>
                <w:sz w:val="20"/>
                <w:szCs w:val="20"/>
              </w:rPr>
            </w:pPr>
            <w:r w:rsidRPr="00A92AA0">
              <w:rPr>
                <w:b/>
                <w:bCs/>
                <w:sz w:val="20"/>
                <w:szCs w:val="20"/>
              </w:rPr>
              <w:t>12.</w:t>
            </w:r>
            <w:r w:rsidR="00517DFE" w:rsidRPr="00A92AA0">
              <w:rPr>
                <w:b/>
                <w:bCs/>
                <w:sz w:val="20"/>
                <w:szCs w:val="20"/>
              </w:rPr>
              <w:t xml:space="preserve"> Zdroje</w:t>
            </w:r>
          </w:p>
        </w:tc>
      </w:tr>
      <w:tr w:rsidR="00517DFE" w:rsidRPr="00C05B9F" w:rsidTr="005C147B">
        <w:trPr>
          <w:divId w:val="981544908"/>
          <w:jc w:val="center"/>
        </w:trPr>
        <w:tc>
          <w:tcPr>
            <w:tcW w:w="250" w:type="pct"/>
            <w:tcBorders>
              <w:top w:val="outset" w:sz="6" w:space="0" w:color="000000"/>
              <w:bottom w:val="outset" w:sz="6" w:space="0" w:color="000000"/>
            </w:tcBorders>
            <w:hideMark/>
          </w:tcPr>
          <w:p w:rsidR="008E2D1C" w:rsidRPr="00A92AA0" w:rsidRDefault="008E2D1C" w:rsidP="00E23BB3">
            <w:pPr>
              <w:rPr>
                <w:i/>
                <w:sz w:val="20"/>
                <w:szCs w:val="20"/>
              </w:rPr>
            </w:pPr>
            <w:r w:rsidRPr="00A92AA0">
              <w:rPr>
                <w:i/>
                <w:sz w:val="20"/>
                <w:szCs w:val="20"/>
              </w:rPr>
              <w:t>Uveďte zdroje (štatistiky, prieskumy, spoluprácu s odborníkmi a iné), z ktorých ste pri vypracovávaní doložky, príp. analýz vplyvov vychádzali.</w:t>
            </w:r>
          </w:p>
          <w:p w:rsidR="005C147B" w:rsidRDefault="005C147B" w:rsidP="00E23BB3">
            <w:pPr>
              <w:jc w:val="both"/>
              <w:rPr>
                <w:color w:val="000000"/>
                <w:spacing w:val="1"/>
                <w:sz w:val="20"/>
                <w:szCs w:val="20"/>
              </w:rPr>
            </w:pPr>
          </w:p>
          <w:p w:rsidR="005E673C" w:rsidRPr="00E36D82" w:rsidRDefault="00A50847" w:rsidP="004C2815">
            <w:pPr>
              <w:jc w:val="both"/>
              <w:rPr>
                <w:color w:val="000000"/>
                <w:spacing w:val="1"/>
                <w:sz w:val="20"/>
                <w:szCs w:val="20"/>
              </w:rPr>
            </w:pPr>
            <w:r>
              <w:rPr>
                <w:color w:val="000000"/>
                <w:spacing w:val="1"/>
                <w:sz w:val="20"/>
                <w:szCs w:val="20"/>
              </w:rPr>
              <w:t>P</w:t>
            </w:r>
            <w:r w:rsidRPr="00A50847">
              <w:rPr>
                <w:color w:val="000000"/>
                <w:spacing w:val="1"/>
                <w:sz w:val="20"/>
                <w:szCs w:val="20"/>
              </w:rPr>
              <w:t xml:space="preserve">redkladateľ </w:t>
            </w:r>
            <w:r w:rsidR="001803DA">
              <w:rPr>
                <w:color w:val="000000"/>
                <w:spacing w:val="1"/>
                <w:sz w:val="20"/>
                <w:szCs w:val="20"/>
              </w:rPr>
              <w:t>vychádzal z</w:t>
            </w:r>
            <w:r w:rsidR="003A4524">
              <w:rPr>
                <w:color w:val="000000"/>
                <w:spacing w:val="1"/>
                <w:sz w:val="20"/>
                <w:szCs w:val="20"/>
              </w:rPr>
              <w:t> </w:t>
            </w:r>
            <w:r w:rsidR="001803DA">
              <w:rPr>
                <w:color w:val="000000"/>
                <w:spacing w:val="1"/>
                <w:sz w:val="20"/>
                <w:szCs w:val="20"/>
              </w:rPr>
              <w:t>pokladov</w:t>
            </w:r>
            <w:r w:rsidR="003A4524">
              <w:rPr>
                <w:color w:val="000000"/>
                <w:spacing w:val="1"/>
                <w:sz w:val="20"/>
                <w:szCs w:val="20"/>
              </w:rPr>
              <w:t xml:space="preserve"> poskytnutých</w:t>
            </w:r>
            <w:r w:rsidR="001803DA">
              <w:rPr>
                <w:color w:val="000000"/>
                <w:spacing w:val="1"/>
                <w:sz w:val="20"/>
                <w:szCs w:val="20"/>
              </w:rPr>
              <w:t xml:space="preserve"> poskytovateľmi leteckých navigačných </w:t>
            </w:r>
            <w:r w:rsidR="003A4524">
              <w:rPr>
                <w:color w:val="000000"/>
                <w:spacing w:val="1"/>
                <w:sz w:val="20"/>
                <w:szCs w:val="20"/>
              </w:rPr>
              <w:t>služieb</w:t>
            </w:r>
            <w:r w:rsidR="0011659A">
              <w:rPr>
                <w:color w:val="000000"/>
                <w:spacing w:val="1"/>
                <w:sz w:val="20"/>
                <w:szCs w:val="20"/>
              </w:rPr>
              <w:t xml:space="preserve">, </w:t>
            </w:r>
            <w:r w:rsidR="00064ADB">
              <w:rPr>
                <w:color w:val="000000"/>
                <w:spacing w:val="1"/>
                <w:sz w:val="20"/>
                <w:szCs w:val="20"/>
              </w:rPr>
              <w:t xml:space="preserve">podkladov od Európskej organizácie pre bezpečnosť </w:t>
            </w:r>
            <w:r w:rsidR="0011659A">
              <w:rPr>
                <w:color w:val="000000"/>
                <w:spacing w:val="1"/>
                <w:sz w:val="20"/>
                <w:szCs w:val="20"/>
              </w:rPr>
              <w:t xml:space="preserve">letovej prevádzky </w:t>
            </w:r>
            <w:r w:rsidR="00064ADB">
              <w:rPr>
                <w:color w:val="000000"/>
                <w:spacing w:val="1"/>
                <w:sz w:val="20"/>
                <w:szCs w:val="20"/>
              </w:rPr>
              <w:t>(</w:t>
            </w:r>
            <w:proofErr w:type="spellStart"/>
            <w:r w:rsidR="00064ADB">
              <w:rPr>
                <w:color w:val="000000"/>
                <w:spacing w:val="1"/>
                <w:sz w:val="20"/>
                <w:szCs w:val="20"/>
              </w:rPr>
              <w:t>Eurocontrol</w:t>
            </w:r>
            <w:proofErr w:type="spellEnd"/>
            <w:r w:rsidR="00064ADB">
              <w:rPr>
                <w:color w:val="000000"/>
                <w:spacing w:val="1"/>
                <w:sz w:val="20"/>
                <w:szCs w:val="20"/>
              </w:rPr>
              <w:t>)</w:t>
            </w:r>
            <w:r w:rsidR="0011659A">
              <w:rPr>
                <w:color w:val="000000"/>
                <w:spacing w:val="1"/>
                <w:sz w:val="20"/>
                <w:szCs w:val="20"/>
              </w:rPr>
              <w:t xml:space="preserve"> a odporúčaní Medzinárodnej organizácie civilného letectva</w:t>
            </w:r>
            <w:r w:rsidR="00CA6C08">
              <w:rPr>
                <w:color w:val="000000"/>
                <w:spacing w:val="1"/>
                <w:sz w:val="20"/>
                <w:szCs w:val="20"/>
              </w:rPr>
              <w:t xml:space="preserve"> </w:t>
            </w:r>
            <w:r w:rsidR="0011659A">
              <w:rPr>
                <w:color w:val="000000"/>
                <w:spacing w:val="1"/>
                <w:sz w:val="20"/>
                <w:szCs w:val="20"/>
              </w:rPr>
              <w:t xml:space="preserve">(napr. </w:t>
            </w:r>
            <w:r w:rsidR="004C2815">
              <w:rPr>
                <w:sz w:val="20"/>
                <w:szCs w:val="20"/>
              </w:rPr>
              <w:t xml:space="preserve">dokument </w:t>
            </w:r>
            <w:proofErr w:type="spellStart"/>
            <w:r w:rsidR="004C2815">
              <w:rPr>
                <w:sz w:val="20"/>
                <w:szCs w:val="20"/>
              </w:rPr>
              <w:t>Doc</w:t>
            </w:r>
            <w:proofErr w:type="spellEnd"/>
            <w:r w:rsidR="004C2815">
              <w:rPr>
                <w:sz w:val="20"/>
                <w:szCs w:val="20"/>
              </w:rPr>
              <w:t xml:space="preserve"> 9082</w:t>
            </w:r>
            <w:r w:rsidR="004C2815">
              <w:rPr>
                <w:color w:val="000000"/>
                <w:spacing w:val="1"/>
                <w:sz w:val="20"/>
                <w:szCs w:val="20"/>
              </w:rPr>
              <w:t xml:space="preserve"> ICAO pravidlá v oblasti letiskových odplát a odplát za poskytovanie leteckých navigačných služieb, dokument </w:t>
            </w:r>
            <w:proofErr w:type="spellStart"/>
            <w:r w:rsidR="004C2815">
              <w:rPr>
                <w:color w:val="000000"/>
                <w:spacing w:val="1"/>
                <w:sz w:val="20"/>
                <w:szCs w:val="20"/>
              </w:rPr>
              <w:t>Doc</w:t>
            </w:r>
            <w:proofErr w:type="spellEnd"/>
            <w:r w:rsidR="004C2815">
              <w:rPr>
                <w:color w:val="000000"/>
                <w:spacing w:val="1"/>
                <w:sz w:val="20"/>
                <w:szCs w:val="20"/>
              </w:rPr>
              <w:t xml:space="preserve"> 9161 Manuál ekonomickej oblasti leteckých navigačných služieb</w:t>
            </w:r>
            <w:r w:rsidR="0011659A">
              <w:rPr>
                <w:color w:val="000000"/>
                <w:spacing w:val="1"/>
                <w:sz w:val="20"/>
                <w:szCs w:val="20"/>
              </w:rPr>
              <w:t>)</w:t>
            </w:r>
            <w:r w:rsidR="003A4524">
              <w:rPr>
                <w:color w:val="000000"/>
                <w:spacing w:val="1"/>
                <w:sz w:val="20"/>
                <w:szCs w:val="20"/>
              </w:rPr>
              <w:t>.</w:t>
            </w:r>
          </w:p>
        </w:tc>
      </w:tr>
      <w:tr w:rsidR="00517DFE" w:rsidRPr="00C05B9F" w:rsidTr="005C147B">
        <w:trPr>
          <w:divId w:val="981544908"/>
          <w:jc w:val="center"/>
        </w:trPr>
        <w:tc>
          <w:tcPr>
            <w:tcW w:w="250" w:type="pct"/>
            <w:tcBorders>
              <w:top w:val="outset" w:sz="6" w:space="0" w:color="000000"/>
              <w:bottom w:val="outset" w:sz="6" w:space="0" w:color="000000"/>
            </w:tcBorders>
            <w:shd w:val="clear" w:color="auto" w:fill="E6E6E6"/>
            <w:hideMark/>
          </w:tcPr>
          <w:p w:rsidR="00517DFE" w:rsidRPr="00A92AA0" w:rsidRDefault="00517DFE" w:rsidP="00E23BB3">
            <w:pPr>
              <w:rPr>
                <w:b/>
                <w:bCs/>
                <w:sz w:val="20"/>
                <w:szCs w:val="20"/>
              </w:rPr>
            </w:pPr>
            <w:r w:rsidRPr="00A92AA0">
              <w:rPr>
                <w:b/>
                <w:bCs/>
                <w:sz w:val="20"/>
                <w:szCs w:val="20"/>
              </w:rPr>
              <w:t>  13.  Stanovisko Komisie pre posudzovanie vybraných vplyvov z PPK</w:t>
            </w:r>
          </w:p>
        </w:tc>
      </w:tr>
      <w:tr w:rsidR="00517DFE" w:rsidRPr="00C05B9F" w:rsidTr="005C147B">
        <w:trPr>
          <w:divId w:val="981544908"/>
          <w:jc w:val="center"/>
        </w:trPr>
        <w:tc>
          <w:tcPr>
            <w:tcW w:w="250" w:type="pct"/>
            <w:tcBorders>
              <w:top w:val="outset" w:sz="6" w:space="0" w:color="000000"/>
              <w:bottom w:val="outset" w:sz="6" w:space="0" w:color="000000"/>
            </w:tcBorders>
            <w:hideMark/>
          </w:tcPr>
          <w:p w:rsidR="008E2D1C" w:rsidRPr="00A92AA0" w:rsidRDefault="008E2D1C" w:rsidP="00E23BB3">
            <w:pPr>
              <w:rPr>
                <w:i/>
                <w:sz w:val="20"/>
                <w:szCs w:val="20"/>
              </w:rPr>
            </w:pPr>
            <w:r w:rsidRPr="00A92AA0">
              <w:rPr>
                <w:i/>
                <w:sz w:val="20"/>
                <w:szCs w:val="20"/>
              </w:rPr>
              <w:t>Uveďte stanovisko Komisie pre posudzovanie vybraných vplyvov, ktoré Vám bolo zaslané v rámci predbežného pripomienkového konania</w:t>
            </w:r>
          </w:p>
          <w:p w:rsidR="00D13742" w:rsidRPr="00A92AA0" w:rsidRDefault="00D13742" w:rsidP="00E23BB3">
            <w:pPr>
              <w:rPr>
                <w:i/>
                <w:sz w:val="20"/>
                <w:szCs w:val="20"/>
              </w:rPr>
            </w:pPr>
          </w:p>
          <w:p w:rsidR="00053DF0" w:rsidRPr="00053DF0" w:rsidRDefault="00053DF0" w:rsidP="00053DF0">
            <w:pPr>
              <w:pStyle w:val="Nadpis4"/>
              <w:numPr>
                <w:ilvl w:val="3"/>
                <w:numId w:val="9"/>
              </w:numPr>
              <w:rPr>
                <w:sz w:val="20"/>
              </w:rPr>
            </w:pPr>
            <w:r w:rsidRPr="00053DF0">
              <w:rPr>
                <w:spacing w:val="20"/>
                <w:sz w:val="20"/>
              </w:rPr>
              <w:t>stanovisko komisie</w:t>
            </w:r>
            <w:r w:rsidRPr="00053DF0">
              <w:rPr>
                <w:sz w:val="20"/>
              </w:rPr>
              <w:t xml:space="preserve"> </w:t>
            </w:r>
          </w:p>
          <w:p w:rsidR="00053DF0" w:rsidRPr="00053DF0" w:rsidRDefault="00053DF0" w:rsidP="00053DF0">
            <w:pPr>
              <w:ind w:right="-2"/>
              <w:jc w:val="center"/>
              <w:rPr>
                <w:b/>
                <w:smallCaps/>
                <w:sz w:val="20"/>
                <w:szCs w:val="20"/>
              </w:rPr>
            </w:pPr>
            <w:r w:rsidRPr="00053DF0">
              <w:rPr>
                <w:b/>
                <w:smallCaps/>
                <w:sz w:val="20"/>
                <w:szCs w:val="20"/>
              </w:rPr>
              <w:t>(predbežné pripomienkové konanie)</w:t>
            </w:r>
          </w:p>
          <w:p w:rsidR="00053DF0" w:rsidRPr="00053DF0" w:rsidRDefault="00053DF0" w:rsidP="00053DF0">
            <w:pPr>
              <w:ind w:right="-2"/>
              <w:jc w:val="center"/>
              <w:rPr>
                <w:b/>
                <w:smallCaps/>
                <w:sz w:val="20"/>
                <w:szCs w:val="20"/>
              </w:rPr>
            </w:pPr>
            <w:r w:rsidRPr="00053DF0">
              <w:rPr>
                <w:b/>
                <w:smallCaps/>
                <w:sz w:val="20"/>
                <w:szCs w:val="20"/>
              </w:rPr>
              <w:t>k materiálu</w:t>
            </w:r>
          </w:p>
          <w:p w:rsidR="00053DF0" w:rsidRPr="00053DF0" w:rsidRDefault="00053DF0" w:rsidP="00053DF0">
            <w:pPr>
              <w:ind w:right="-2"/>
              <w:jc w:val="center"/>
              <w:rPr>
                <w:b/>
                <w:smallCaps/>
                <w:sz w:val="20"/>
                <w:szCs w:val="20"/>
              </w:rPr>
            </w:pPr>
          </w:p>
          <w:p w:rsidR="00053DF0" w:rsidRPr="00053DF0" w:rsidRDefault="00053DF0" w:rsidP="00053DF0">
            <w:pPr>
              <w:pBdr>
                <w:bottom w:val="single" w:sz="4" w:space="1" w:color="000000"/>
              </w:pBdr>
              <w:ind w:right="-2"/>
              <w:jc w:val="center"/>
              <w:rPr>
                <w:b/>
                <w:smallCaps/>
                <w:sz w:val="20"/>
                <w:szCs w:val="20"/>
              </w:rPr>
            </w:pPr>
            <w:r w:rsidRPr="00053DF0">
              <w:rPr>
                <w:b/>
                <w:smallCaps/>
                <w:sz w:val="20"/>
                <w:szCs w:val="20"/>
              </w:rPr>
              <w:t>Návrh nariadenia vlády Slovenskej republiky, ktorým sa ustanovuje postup určovania a výpočtu výšky odplaty za poskytovanie leteckých navigačných služieb a zóny spoplatňovania</w:t>
            </w:r>
          </w:p>
          <w:p w:rsidR="00053DF0" w:rsidRPr="00053DF0" w:rsidRDefault="00053DF0" w:rsidP="00053DF0">
            <w:pPr>
              <w:jc w:val="both"/>
              <w:rPr>
                <w:b/>
                <w:bCs/>
                <w:sz w:val="20"/>
                <w:szCs w:val="20"/>
              </w:rPr>
            </w:pPr>
          </w:p>
          <w:p w:rsidR="00053DF0" w:rsidRPr="00053DF0" w:rsidRDefault="00053DF0" w:rsidP="00053DF0">
            <w:pPr>
              <w:jc w:val="both"/>
              <w:rPr>
                <w:iCs/>
                <w:sz w:val="20"/>
                <w:szCs w:val="20"/>
              </w:rPr>
            </w:pPr>
            <w:r w:rsidRPr="00053DF0">
              <w:rPr>
                <w:b/>
                <w:bCs/>
                <w:sz w:val="20"/>
                <w:szCs w:val="20"/>
              </w:rPr>
              <w:t xml:space="preserve">I. Úvod: </w:t>
            </w:r>
            <w:r w:rsidRPr="00053DF0">
              <w:rPr>
                <w:bCs/>
                <w:sz w:val="20"/>
                <w:szCs w:val="20"/>
              </w:rPr>
              <w:t>Ministerstvo dopravy a výstavby SR dňa 11. októbra 2019 predložilo Stálej pracovnej komisii na posudzovanie vybr</w:t>
            </w:r>
            <w:r w:rsidRPr="00053DF0">
              <w:rPr>
                <w:iCs/>
                <w:sz w:val="20"/>
                <w:szCs w:val="20"/>
              </w:rPr>
              <w:t>aných vplyvov (ďalej len „Komisia“) na predbežné pripomienkové konanie materiál:</w:t>
            </w:r>
            <w:r w:rsidRPr="00053DF0">
              <w:rPr>
                <w:i/>
                <w:iCs/>
                <w:sz w:val="20"/>
                <w:szCs w:val="20"/>
              </w:rPr>
              <w:t xml:space="preserve"> </w:t>
            </w:r>
            <w:r w:rsidRPr="00053DF0">
              <w:rPr>
                <w:rFonts w:eastAsia="Arial"/>
                <w:i/>
                <w:iCs/>
                <w:sz w:val="20"/>
                <w:szCs w:val="20"/>
              </w:rPr>
              <w:t>„Návrh nariadenia vlády Slovenskej republiky, ktorým sa ustanovuje postup určovania a výpočtu výšky odplaty za poskytovanie leteckých navigačných služieb a zóny spoplatňovania</w:t>
            </w:r>
            <w:r w:rsidRPr="00053DF0">
              <w:rPr>
                <w:i/>
                <w:iCs/>
                <w:sz w:val="20"/>
                <w:szCs w:val="20"/>
              </w:rPr>
              <w:t xml:space="preserve">“, </w:t>
            </w:r>
            <w:r w:rsidRPr="00053DF0">
              <w:rPr>
                <w:iCs/>
                <w:sz w:val="20"/>
                <w:szCs w:val="20"/>
              </w:rPr>
              <w:t>spolu so žiadosťou o skrátenie PPK. Komisia tejto žiadosti vyhovela. Materiál predpokladá pozitívno-negatívne vplyvy na podnikateľské prostredie, vrátane pozitívno-negatívnych vplyvov na malé a stredné podniky.</w:t>
            </w:r>
          </w:p>
          <w:p w:rsidR="00053DF0" w:rsidRPr="00053DF0" w:rsidRDefault="00053DF0" w:rsidP="00053DF0">
            <w:pPr>
              <w:jc w:val="both"/>
              <w:rPr>
                <w:b/>
                <w:bCs/>
                <w:sz w:val="20"/>
                <w:szCs w:val="20"/>
              </w:rPr>
            </w:pPr>
          </w:p>
          <w:p w:rsidR="00053DF0" w:rsidRPr="00053DF0" w:rsidRDefault="00053DF0" w:rsidP="00053DF0">
            <w:pPr>
              <w:jc w:val="both"/>
              <w:rPr>
                <w:bCs/>
                <w:sz w:val="20"/>
                <w:szCs w:val="20"/>
              </w:rPr>
            </w:pPr>
            <w:r w:rsidRPr="00053DF0">
              <w:rPr>
                <w:b/>
                <w:bCs/>
                <w:sz w:val="20"/>
                <w:szCs w:val="20"/>
              </w:rPr>
              <w:t>II. P</w:t>
            </w:r>
            <w:r w:rsidRPr="00053DF0">
              <w:rPr>
                <w:b/>
                <w:sz w:val="20"/>
                <w:szCs w:val="20"/>
              </w:rPr>
              <w:t>r</w:t>
            </w:r>
            <w:r w:rsidRPr="00053DF0">
              <w:rPr>
                <w:b/>
                <w:bCs/>
                <w:sz w:val="20"/>
                <w:szCs w:val="20"/>
              </w:rPr>
              <w:t>ipomienky a návrhy zm</w:t>
            </w:r>
            <w:r w:rsidRPr="00053DF0">
              <w:rPr>
                <w:b/>
                <w:sz w:val="20"/>
                <w:szCs w:val="20"/>
              </w:rPr>
              <w:t>ie</w:t>
            </w:r>
            <w:r w:rsidRPr="00053DF0">
              <w:rPr>
                <w:b/>
                <w:bCs/>
                <w:sz w:val="20"/>
                <w:szCs w:val="20"/>
              </w:rPr>
              <w:t xml:space="preserve">n: </w:t>
            </w:r>
            <w:r w:rsidRPr="00053DF0">
              <w:rPr>
                <w:bCs/>
                <w:sz w:val="20"/>
                <w:szCs w:val="20"/>
              </w:rPr>
              <w:t>Komisia uplatňuje k materiálu nasledovné pripomienky a odporúčania:</w:t>
            </w:r>
          </w:p>
          <w:p w:rsidR="00053DF0" w:rsidRPr="00053DF0" w:rsidRDefault="00053DF0" w:rsidP="00053DF0">
            <w:pPr>
              <w:tabs>
                <w:tab w:val="center" w:pos="6379"/>
              </w:tabs>
              <w:ind w:right="-2"/>
              <w:jc w:val="both"/>
              <w:rPr>
                <w:bCs/>
                <w:sz w:val="20"/>
                <w:szCs w:val="20"/>
              </w:rPr>
            </w:pPr>
          </w:p>
          <w:p w:rsidR="00053DF0" w:rsidRPr="00053DF0" w:rsidRDefault="00053DF0" w:rsidP="00053DF0">
            <w:pPr>
              <w:tabs>
                <w:tab w:val="center" w:pos="6379"/>
              </w:tabs>
              <w:ind w:right="-2"/>
              <w:jc w:val="both"/>
              <w:rPr>
                <w:b/>
                <w:bCs/>
                <w:sz w:val="20"/>
                <w:szCs w:val="20"/>
              </w:rPr>
            </w:pPr>
            <w:r w:rsidRPr="00053DF0">
              <w:rPr>
                <w:b/>
                <w:bCs/>
                <w:sz w:val="20"/>
                <w:szCs w:val="20"/>
              </w:rPr>
              <w:t xml:space="preserve">K doložke vybraných vplyvov, </w:t>
            </w:r>
          </w:p>
          <w:p w:rsidR="00053DF0" w:rsidRPr="00053DF0" w:rsidRDefault="00053DF0" w:rsidP="00053DF0">
            <w:pPr>
              <w:tabs>
                <w:tab w:val="center" w:pos="6379"/>
              </w:tabs>
              <w:ind w:right="-2"/>
              <w:jc w:val="both"/>
              <w:rPr>
                <w:bCs/>
                <w:sz w:val="20"/>
                <w:szCs w:val="20"/>
              </w:rPr>
            </w:pPr>
            <w:r w:rsidRPr="00053DF0">
              <w:rPr>
                <w:bCs/>
                <w:sz w:val="20"/>
                <w:szCs w:val="20"/>
              </w:rPr>
              <w:t xml:space="preserve">V časti 10 Poznámky predkladateľ neidentifikoval žiadny sociálny vplyv; to znamená, že predložený návrh nebude mať ani žiadny vplyv na výdavky dotknutých spotrebiteľov. Uvedenú skutočnosť odporúča Komisia deklarovať aj v bode </w:t>
            </w:r>
            <w:r w:rsidRPr="00053DF0">
              <w:rPr>
                <w:bCs/>
                <w:sz w:val="20"/>
                <w:szCs w:val="20"/>
              </w:rPr>
              <w:br/>
              <w:t>10 Poznámky doložky vybraných vplyvov.</w:t>
            </w:r>
          </w:p>
          <w:p w:rsidR="00053DF0" w:rsidRPr="00053DF0" w:rsidRDefault="00053DF0" w:rsidP="00053DF0">
            <w:pPr>
              <w:tabs>
                <w:tab w:val="center" w:pos="6379"/>
              </w:tabs>
              <w:ind w:right="-2"/>
              <w:jc w:val="both"/>
              <w:rPr>
                <w:b/>
                <w:bCs/>
                <w:sz w:val="20"/>
                <w:szCs w:val="20"/>
              </w:rPr>
            </w:pPr>
          </w:p>
          <w:p w:rsidR="00053DF0" w:rsidRPr="00053DF0" w:rsidRDefault="00053DF0" w:rsidP="00053DF0">
            <w:pPr>
              <w:tabs>
                <w:tab w:val="center" w:pos="6379"/>
              </w:tabs>
              <w:ind w:right="-2"/>
              <w:jc w:val="both"/>
              <w:rPr>
                <w:b/>
                <w:bCs/>
                <w:sz w:val="20"/>
                <w:szCs w:val="20"/>
              </w:rPr>
            </w:pPr>
            <w:r w:rsidRPr="00053DF0">
              <w:rPr>
                <w:b/>
                <w:bCs/>
                <w:sz w:val="20"/>
                <w:szCs w:val="20"/>
              </w:rPr>
              <w:t>K doložke vybraných vplyvov na podnikateľské prostredie</w:t>
            </w:r>
          </w:p>
          <w:p w:rsidR="00053DF0" w:rsidRPr="00053DF0" w:rsidRDefault="00053DF0" w:rsidP="00053DF0">
            <w:pPr>
              <w:tabs>
                <w:tab w:val="center" w:pos="6379"/>
              </w:tabs>
              <w:ind w:right="-2"/>
              <w:jc w:val="both"/>
              <w:rPr>
                <w:bCs/>
                <w:sz w:val="20"/>
                <w:szCs w:val="20"/>
              </w:rPr>
            </w:pPr>
            <w:r w:rsidRPr="00053DF0">
              <w:rPr>
                <w:bCs/>
                <w:sz w:val="20"/>
                <w:szCs w:val="20"/>
              </w:rPr>
              <w:t>V analýze vplyvov na podnikateľské prostredie, však v časti náklady regulácie nie sú tieto vplyvy opísané ani vyčíslené a uvádza sa, že predložený návrh nariadenia vlády SR nezakladá priame, nepriame ani administratívne náklady. Návrhom nariadenia sa však mení spôsob určenia terminálnych jednotiek služieb a výpočet terminálnej odplaty.</w:t>
            </w:r>
          </w:p>
          <w:p w:rsidR="00053DF0" w:rsidRPr="00053DF0" w:rsidRDefault="00053DF0" w:rsidP="00053DF0">
            <w:pPr>
              <w:tabs>
                <w:tab w:val="center" w:pos="6379"/>
              </w:tabs>
              <w:ind w:right="-2"/>
              <w:jc w:val="both"/>
              <w:rPr>
                <w:bCs/>
                <w:sz w:val="20"/>
                <w:szCs w:val="20"/>
              </w:rPr>
            </w:pPr>
          </w:p>
          <w:p w:rsidR="00053DF0" w:rsidRPr="00053DF0" w:rsidRDefault="00053DF0" w:rsidP="00053DF0">
            <w:pPr>
              <w:tabs>
                <w:tab w:val="center" w:pos="6379"/>
              </w:tabs>
              <w:ind w:right="-2"/>
              <w:jc w:val="both"/>
              <w:rPr>
                <w:bCs/>
                <w:sz w:val="20"/>
                <w:szCs w:val="20"/>
              </w:rPr>
            </w:pPr>
            <w:r w:rsidRPr="00053DF0">
              <w:rPr>
                <w:bCs/>
                <w:sz w:val="20"/>
                <w:szCs w:val="20"/>
              </w:rPr>
              <w:t>Komisia preto odporúča preto využiť informácie už uvedené v časti 10 Poznámky  Doložky vybraných vplyvov a</w:t>
            </w:r>
            <w:r w:rsidR="00B42658">
              <w:rPr>
                <w:bCs/>
                <w:sz w:val="20"/>
                <w:szCs w:val="20"/>
              </w:rPr>
              <w:t> </w:t>
            </w:r>
            <w:r w:rsidRPr="00053DF0">
              <w:rPr>
                <w:bCs/>
                <w:sz w:val="20"/>
                <w:szCs w:val="20"/>
              </w:rPr>
              <w:t>dopracovať  Analýzu vybraných vplyvov na podnikateľské prostredie, vyčísliť náklady na základe odborného odhadu a</w:t>
            </w:r>
            <w:r w:rsidR="00B42658">
              <w:rPr>
                <w:bCs/>
                <w:sz w:val="20"/>
                <w:szCs w:val="20"/>
              </w:rPr>
              <w:t> </w:t>
            </w:r>
            <w:r w:rsidRPr="00053DF0">
              <w:rPr>
                <w:bCs/>
                <w:sz w:val="20"/>
                <w:szCs w:val="20"/>
              </w:rPr>
              <w:t>doplniť vplyvy popisným spôsobom. V analýze je potrebné uviesť základné skutočnosti, ktoré zakladajú pozitívny a</w:t>
            </w:r>
            <w:r w:rsidR="00B42658">
              <w:rPr>
                <w:bCs/>
                <w:sz w:val="20"/>
                <w:szCs w:val="20"/>
              </w:rPr>
              <w:t> </w:t>
            </w:r>
            <w:r w:rsidRPr="00053DF0">
              <w:rPr>
                <w:bCs/>
                <w:sz w:val="20"/>
                <w:szCs w:val="20"/>
              </w:rPr>
              <w:t xml:space="preserve">negatívny vplyv na prostredie: </w:t>
            </w:r>
          </w:p>
          <w:p w:rsidR="00053DF0" w:rsidRPr="00053DF0" w:rsidRDefault="00053DF0" w:rsidP="00053DF0">
            <w:pPr>
              <w:tabs>
                <w:tab w:val="center" w:pos="6379"/>
              </w:tabs>
              <w:ind w:right="-2"/>
              <w:jc w:val="both"/>
              <w:rPr>
                <w:bCs/>
                <w:sz w:val="20"/>
                <w:szCs w:val="20"/>
              </w:rPr>
            </w:pPr>
          </w:p>
          <w:p w:rsidR="00053DF0" w:rsidRPr="00053DF0" w:rsidRDefault="00053DF0" w:rsidP="00A91698">
            <w:pPr>
              <w:numPr>
                <w:ilvl w:val="0"/>
                <w:numId w:val="10"/>
              </w:numPr>
              <w:suppressAutoHyphens/>
              <w:spacing w:line="100" w:lineRule="atLeast"/>
              <w:ind w:left="284" w:hanging="284"/>
              <w:jc w:val="both"/>
              <w:rPr>
                <w:bCs/>
                <w:sz w:val="20"/>
                <w:szCs w:val="20"/>
              </w:rPr>
            </w:pPr>
            <w:r w:rsidRPr="00053DF0">
              <w:rPr>
                <w:bCs/>
                <w:sz w:val="20"/>
                <w:szCs w:val="20"/>
              </w:rPr>
              <w:t>aplikácia návrhu nariadenia vlády SR umožní zjednodušiť činnosť poskytovateľa terminálnych leteckých navigačných služieb, keďže nebude povinný splniť požiadavky podľa vykonávacieho nariadenia (EÚ) 2019/317, t.</w:t>
            </w:r>
            <w:r w:rsidR="00B42658">
              <w:rPr>
                <w:bCs/>
                <w:sz w:val="20"/>
                <w:szCs w:val="20"/>
              </w:rPr>
              <w:t> </w:t>
            </w:r>
            <w:r w:rsidRPr="00053DF0">
              <w:rPr>
                <w:bCs/>
                <w:sz w:val="20"/>
                <w:szCs w:val="20"/>
              </w:rPr>
              <w:t>j. nezahŕňa vypracovanie plánu výkonnosti posudzovaného Európskou komisiou, do ktorého by museli byť zapracované záväzné národné ciele výkonnosti alebo záväzné ciele výkonnosti funkčných blokov vzdušného priestoru stanovené na základe kľúčových ukazovateľov výkonnosti, (nezahŕňa stimuly finančnej povahy);</w:t>
            </w:r>
          </w:p>
          <w:p w:rsidR="00053DF0" w:rsidRPr="00053DF0" w:rsidRDefault="00053DF0" w:rsidP="00A91698">
            <w:pPr>
              <w:numPr>
                <w:ilvl w:val="0"/>
                <w:numId w:val="10"/>
              </w:numPr>
              <w:suppressAutoHyphens/>
              <w:spacing w:line="100" w:lineRule="atLeast"/>
              <w:ind w:left="284" w:hanging="284"/>
              <w:jc w:val="both"/>
              <w:rPr>
                <w:bCs/>
                <w:sz w:val="20"/>
                <w:szCs w:val="20"/>
              </w:rPr>
            </w:pPr>
            <w:r w:rsidRPr="00053DF0">
              <w:rPr>
                <w:bCs/>
                <w:sz w:val="20"/>
                <w:szCs w:val="20"/>
              </w:rPr>
              <w:t>zjednotí sa systém určenia terminálnej jednotkovej sadzby a následne aj výpočet terminálnej odplaty;</w:t>
            </w:r>
          </w:p>
          <w:p w:rsidR="00053DF0" w:rsidRPr="00053DF0" w:rsidRDefault="00053DF0" w:rsidP="00A91698">
            <w:pPr>
              <w:numPr>
                <w:ilvl w:val="0"/>
                <w:numId w:val="10"/>
              </w:numPr>
              <w:suppressAutoHyphens/>
              <w:spacing w:line="100" w:lineRule="atLeast"/>
              <w:ind w:left="284" w:hanging="284"/>
              <w:jc w:val="both"/>
              <w:rPr>
                <w:bCs/>
                <w:sz w:val="20"/>
                <w:szCs w:val="20"/>
              </w:rPr>
            </w:pPr>
            <w:r w:rsidRPr="00053DF0">
              <w:rPr>
                <w:bCs/>
                <w:sz w:val="20"/>
                <w:szCs w:val="20"/>
              </w:rPr>
              <w:t>predpokladajú sa pozitívne vplyvy na výsledky hospodárenia poskytovateľov terminálnych leteckých navigačných služieb aj s ohľadom na zabezpečenie zachovania leteckej prevádzky na letiskách prevádzkovaných letiskovými spoločnosťami;</w:t>
            </w:r>
          </w:p>
          <w:p w:rsidR="00053DF0" w:rsidRPr="00053DF0" w:rsidRDefault="00053DF0" w:rsidP="00A91698">
            <w:pPr>
              <w:numPr>
                <w:ilvl w:val="0"/>
                <w:numId w:val="10"/>
              </w:numPr>
              <w:suppressAutoHyphens/>
              <w:spacing w:line="100" w:lineRule="atLeast"/>
              <w:ind w:left="284" w:hanging="284"/>
              <w:jc w:val="both"/>
              <w:rPr>
                <w:bCs/>
                <w:sz w:val="20"/>
                <w:szCs w:val="20"/>
              </w:rPr>
            </w:pPr>
            <w:r w:rsidRPr="00053DF0">
              <w:rPr>
                <w:bCs/>
                <w:sz w:val="20"/>
                <w:szCs w:val="20"/>
              </w:rPr>
              <w:t>vzorec výpočtu terminálnej odplaty podľa návrhu nariadenia vlády SR možno považovať za výhodnejší pre používateľa vzdušného priestoru prevádzkujúceho lietadlo s nižšou MTOW, t. j. približne do 50 ton. Pričom do tejto kategórie možno zahrnúť väčšinu všeobecného letectva, ktorá je na zmenu výšky terminálnej jednotkovej sadzby a</w:t>
            </w:r>
            <w:r w:rsidR="00B42658">
              <w:rPr>
                <w:bCs/>
                <w:sz w:val="20"/>
                <w:szCs w:val="20"/>
              </w:rPr>
              <w:t> </w:t>
            </w:r>
            <w:r w:rsidRPr="00053DF0">
              <w:rPr>
                <w:bCs/>
                <w:sz w:val="20"/>
                <w:szCs w:val="20"/>
              </w:rPr>
              <w:t>následne vypočítanej terminálnej odplaty najcitlivejšia.</w:t>
            </w:r>
          </w:p>
          <w:p w:rsidR="00053DF0" w:rsidRPr="00053DF0" w:rsidRDefault="00053DF0" w:rsidP="00053DF0">
            <w:pPr>
              <w:tabs>
                <w:tab w:val="center" w:pos="6379"/>
              </w:tabs>
              <w:ind w:right="-2"/>
              <w:jc w:val="both"/>
              <w:rPr>
                <w:bCs/>
                <w:sz w:val="20"/>
                <w:szCs w:val="20"/>
              </w:rPr>
            </w:pPr>
          </w:p>
          <w:p w:rsidR="00053DF0" w:rsidRPr="00053DF0" w:rsidRDefault="00053DF0" w:rsidP="00053DF0">
            <w:pPr>
              <w:tabs>
                <w:tab w:val="center" w:pos="6379"/>
              </w:tabs>
              <w:ind w:right="-2"/>
              <w:jc w:val="both"/>
              <w:rPr>
                <w:b/>
                <w:bCs/>
                <w:sz w:val="20"/>
                <w:szCs w:val="20"/>
              </w:rPr>
            </w:pPr>
            <w:r w:rsidRPr="00053DF0">
              <w:rPr>
                <w:bCs/>
                <w:sz w:val="20"/>
                <w:szCs w:val="20"/>
              </w:rPr>
              <w:t>Tým, že je známe určenie terminálnej jednotkovej sadzby podľa variantu č. 2 a  terminálnej zóny spoplatňovania podľa variantu č. 4, je známa štruktúra oprávnených nákladov, či samotný vzorec na určenie terminálnej jednotkovej sadzby a</w:t>
            </w:r>
            <w:r w:rsidR="00B42658">
              <w:rPr>
                <w:bCs/>
                <w:sz w:val="20"/>
                <w:szCs w:val="20"/>
              </w:rPr>
              <w:t> </w:t>
            </w:r>
            <w:r w:rsidRPr="00053DF0">
              <w:rPr>
                <w:bCs/>
                <w:sz w:val="20"/>
                <w:szCs w:val="20"/>
              </w:rPr>
              <w:t>vzorec na výpočet terminálnej odplaty, podľa ktorého postupuje poskytovateľ terminálnych leteckých navigačných služieb, bolo by vhodné porovnať celkové náklady na prostredie pri súčasnom systéme platnom do 31. 12. 2019 a</w:t>
            </w:r>
            <w:r w:rsidR="00B42658">
              <w:rPr>
                <w:bCs/>
                <w:sz w:val="20"/>
                <w:szCs w:val="20"/>
              </w:rPr>
              <w:t> </w:t>
            </w:r>
            <w:r w:rsidRPr="00053DF0">
              <w:rPr>
                <w:bCs/>
                <w:sz w:val="20"/>
                <w:szCs w:val="20"/>
              </w:rPr>
              <w:t>navrhovaným stavom po 1.1.2020 po prijatí „národnej metodiky“ pre stanovenia terminálnej jednotkovej sadzby a</w:t>
            </w:r>
            <w:r w:rsidR="00B42658">
              <w:rPr>
                <w:bCs/>
                <w:sz w:val="20"/>
                <w:szCs w:val="20"/>
              </w:rPr>
              <w:t> </w:t>
            </w:r>
            <w:r w:rsidRPr="00053DF0">
              <w:rPr>
                <w:bCs/>
                <w:sz w:val="20"/>
                <w:szCs w:val="20"/>
              </w:rPr>
              <w:t>výpočtu terminálnej odplaty.</w:t>
            </w:r>
          </w:p>
          <w:p w:rsidR="00053DF0" w:rsidRPr="00053DF0" w:rsidRDefault="00053DF0" w:rsidP="00053DF0">
            <w:pPr>
              <w:tabs>
                <w:tab w:val="center" w:pos="6379"/>
              </w:tabs>
              <w:ind w:right="-2"/>
              <w:jc w:val="both"/>
              <w:rPr>
                <w:bCs/>
                <w:sz w:val="20"/>
                <w:szCs w:val="20"/>
              </w:rPr>
            </w:pPr>
          </w:p>
          <w:p w:rsidR="00053DF0" w:rsidRPr="00053DF0" w:rsidRDefault="00053DF0" w:rsidP="00053DF0">
            <w:pPr>
              <w:tabs>
                <w:tab w:val="center" w:pos="6379"/>
              </w:tabs>
              <w:ind w:right="-2"/>
              <w:jc w:val="both"/>
              <w:rPr>
                <w:bCs/>
                <w:sz w:val="20"/>
                <w:szCs w:val="20"/>
              </w:rPr>
            </w:pPr>
            <w:r w:rsidRPr="00053DF0">
              <w:rPr>
                <w:b/>
                <w:bCs/>
                <w:sz w:val="20"/>
                <w:szCs w:val="20"/>
              </w:rPr>
              <w:t xml:space="preserve">III. Záver: </w:t>
            </w:r>
            <w:r w:rsidRPr="00053DF0">
              <w:rPr>
                <w:bCs/>
                <w:sz w:val="20"/>
                <w:szCs w:val="20"/>
              </w:rPr>
              <w:t xml:space="preserve">Stála pracovná komisia na posudzovanie vybraných vplyvov vyjadruje </w:t>
            </w:r>
          </w:p>
          <w:p w:rsidR="00053DF0" w:rsidRPr="00053DF0" w:rsidRDefault="00053DF0" w:rsidP="00053DF0">
            <w:pPr>
              <w:tabs>
                <w:tab w:val="center" w:pos="6379"/>
              </w:tabs>
              <w:ind w:right="-2"/>
              <w:jc w:val="both"/>
              <w:rPr>
                <w:bCs/>
                <w:sz w:val="20"/>
                <w:szCs w:val="20"/>
              </w:rPr>
            </w:pPr>
          </w:p>
          <w:p w:rsidR="00053DF0" w:rsidRPr="00053DF0" w:rsidRDefault="00053DF0" w:rsidP="00053DF0">
            <w:pPr>
              <w:tabs>
                <w:tab w:val="center" w:pos="6379"/>
              </w:tabs>
              <w:jc w:val="center"/>
              <w:rPr>
                <w:bCs/>
                <w:sz w:val="20"/>
                <w:szCs w:val="20"/>
              </w:rPr>
            </w:pPr>
            <w:r w:rsidRPr="00053DF0">
              <w:rPr>
                <w:b/>
                <w:bCs/>
                <w:sz w:val="20"/>
                <w:szCs w:val="20"/>
              </w:rPr>
              <w:t>súhlasné stanovisko s návrhom na dopracovanie</w:t>
            </w:r>
          </w:p>
          <w:p w:rsidR="00053DF0" w:rsidRPr="00053DF0" w:rsidRDefault="00053DF0" w:rsidP="00053DF0">
            <w:pPr>
              <w:tabs>
                <w:tab w:val="center" w:pos="6379"/>
              </w:tabs>
              <w:jc w:val="both"/>
              <w:rPr>
                <w:bCs/>
                <w:sz w:val="20"/>
                <w:szCs w:val="20"/>
              </w:rPr>
            </w:pPr>
          </w:p>
          <w:p w:rsidR="00053DF0" w:rsidRPr="00053DF0" w:rsidRDefault="00053DF0" w:rsidP="00053DF0">
            <w:pPr>
              <w:tabs>
                <w:tab w:val="center" w:pos="6379"/>
              </w:tabs>
              <w:jc w:val="both"/>
              <w:rPr>
                <w:b/>
                <w:bCs/>
                <w:sz w:val="20"/>
                <w:szCs w:val="20"/>
              </w:rPr>
            </w:pPr>
            <w:r w:rsidRPr="00053DF0">
              <w:rPr>
                <w:bCs/>
                <w:sz w:val="20"/>
                <w:szCs w:val="20"/>
              </w:rPr>
              <w:t>s materiálom predloženým na predbežné pripomienkové konanie s odporúčaním na</w:t>
            </w:r>
            <w:r w:rsidR="00B00C43">
              <w:rPr>
                <w:bCs/>
                <w:sz w:val="20"/>
                <w:szCs w:val="20"/>
              </w:rPr>
              <w:t xml:space="preserve"> </w:t>
            </w:r>
            <w:r w:rsidRPr="00053DF0">
              <w:rPr>
                <w:bCs/>
                <w:sz w:val="20"/>
                <w:szCs w:val="20"/>
              </w:rPr>
              <w:t>jeho dopracovanie podľa pripomienok v bode II.</w:t>
            </w:r>
          </w:p>
          <w:p w:rsidR="00053DF0" w:rsidRPr="00053DF0" w:rsidRDefault="00053DF0" w:rsidP="00053DF0">
            <w:pPr>
              <w:rPr>
                <w:b/>
                <w:bCs/>
                <w:sz w:val="20"/>
                <w:szCs w:val="20"/>
              </w:rPr>
            </w:pPr>
          </w:p>
          <w:p w:rsidR="00053DF0" w:rsidRPr="00053DF0" w:rsidRDefault="00053DF0" w:rsidP="00053DF0">
            <w:pPr>
              <w:jc w:val="both"/>
              <w:rPr>
                <w:sz w:val="20"/>
                <w:szCs w:val="20"/>
              </w:rPr>
            </w:pPr>
            <w:r w:rsidRPr="00053DF0">
              <w:rPr>
                <w:b/>
                <w:bCs/>
                <w:sz w:val="20"/>
                <w:szCs w:val="20"/>
              </w:rPr>
              <w:t>IV. Poznámka:</w:t>
            </w:r>
            <w:r w:rsidRPr="00053DF0">
              <w:rPr>
                <w:iCs/>
                <w:sz w:val="20"/>
                <w:szCs w:val="20"/>
              </w:rPr>
              <w:t xml:space="preserve"> Predkladateľ zapracuje pripomienky a odporúčania na úpravu uvedené v bode II a uvedie stanovisko Komisie do doložky vybraných vplyvov spolu s vyhodnotením pripomienok.</w:t>
            </w:r>
          </w:p>
          <w:p w:rsidR="00517DFE" w:rsidRPr="00A92AA0" w:rsidRDefault="00517DFE" w:rsidP="00E23BB3">
            <w:pPr>
              <w:rPr>
                <w:sz w:val="20"/>
                <w:szCs w:val="20"/>
              </w:rPr>
            </w:pPr>
          </w:p>
        </w:tc>
      </w:tr>
    </w:tbl>
    <w:p w:rsidR="006931EC" w:rsidRPr="00C05B9F" w:rsidRDefault="006931EC" w:rsidP="00E23BB3">
      <w:pPr>
        <w:pStyle w:val="Normlnywebov"/>
        <w:spacing w:before="0" w:beforeAutospacing="0" w:after="0" w:afterAutospacing="0"/>
        <w:rPr>
          <w:bCs/>
          <w:sz w:val="20"/>
          <w:szCs w:val="20"/>
        </w:rPr>
      </w:pPr>
    </w:p>
    <w:sectPr w:rsidR="006931EC" w:rsidRPr="00C05B9F" w:rsidSect="002614F6">
      <w:footerReference w:type="default" r:id="rId10"/>
      <w:pgSz w:w="11906" w:h="16838"/>
      <w:pgMar w:top="153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866" w:rsidRDefault="001F0866">
      <w:r>
        <w:separator/>
      </w:r>
    </w:p>
  </w:endnote>
  <w:endnote w:type="continuationSeparator" w:id="0">
    <w:p w:rsidR="001F0866" w:rsidRDefault="001F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05" w:rsidRPr="003327C0" w:rsidRDefault="00BD0705" w:rsidP="003327C0">
    <w:pPr>
      <w:pStyle w:val="Pta"/>
      <w:tabs>
        <w:tab w:val="clear" w:pos="4536"/>
        <w:tab w:val="clear" w:pos="9072"/>
        <w:tab w:val="left" w:pos="946"/>
      </w:tabs>
      <w:jc w:val="right"/>
    </w:pPr>
    <w:r>
      <w:t>s</w:t>
    </w:r>
    <w:r w:rsidRPr="003327C0">
      <w:t xml:space="preserve">trana </w:t>
    </w:r>
    <w:r w:rsidRPr="003327C0">
      <w:rPr>
        <w:bCs/>
      </w:rPr>
      <w:fldChar w:fldCharType="begin"/>
    </w:r>
    <w:r w:rsidRPr="003327C0">
      <w:rPr>
        <w:bCs/>
      </w:rPr>
      <w:instrText>PAGE  \* Arabic  \* MERGEFORMAT</w:instrText>
    </w:r>
    <w:r w:rsidRPr="003327C0">
      <w:rPr>
        <w:bCs/>
      </w:rPr>
      <w:fldChar w:fldCharType="separate"/>
    </w:r>
    <w:r w:rsidR="00A438F3">
      <w:rPr>
        <w:bCs/>
        <w:noProof/>
      </w:rPr>
      <w:t>1</w:t>
    </w:r>
    <w:r w:rsidRPr="003327C0">
      <w:rPr>
        <w:bCs/>
      </w:rPr>
      <w:fldChar w:fldCharType="end"/>
    </w:r>
    <w:r w:rsidRPr="003327C0">
      <w:t xml:space="preserve"> z </w:t>
    </w:r>
    <w:r w:rsidRPr="003327C0">
      <w:rPr>
        <w:bCs/>
      </w:rPr>
      <w:fldChar w:fldCharType="begin"/>
    </w:r>
    <w:r w:rsidRPr="003327C0">
      <w:rPr>
        <w:bCs/>
      </w:rPr>
      <w:instrText>NUMPAGES  \* Arabic  \* MERGEFORMAT</w:instrText>
    </w:r>
    <w:r w:rsidRPr="003327C0">
      <w:rPr>
        <w:bCs/>
      </w:rPr>
      <w:fldChar w:fldCharType="separate"/>
    </w:r>
    <w:r w:rsidR="00A438F3">
      <w:rPr>
        <w:bCs/>
        <w:noProof/>
      </w:rPr>
      <w:t>8</w:t>
    </w:r>
    <w:r w:rsidRPr="003327C0">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866" w:rsidRDefault="001F0866">
      <w:r>
        <w:separator/>
      </w:r>
    </w:p>
  </w:footnote>
  <w:footnote w:type="continuationSeparator" w:id="0">
    <w:p w:rsidR="001F0866" w:rsidRDefault="001F0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D808A5"/>
    <w:multiLevelType w:val="hybridMultilevel"/>
    <w:tmpl w:val="0532D280"/>
    <w:lvl w:ilvl="0" w:tplc="96AA850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C43470"/>
    <w:multiLevelType w:val="hybridMultilevel"/>
    <w:tmpl w:val="0FBCDEF8"/>
    <w:lvl w:ilvl="0" w:tplc="0474392E">
      <w:start w:val="1"/>
      <w:numFmt w:val="lowerLetter"/>
      <w:lvlText w:val="%1)"/>
      <w:lvlJc w:val="left"/>
      <w:pPr>
        <w:ind w:left="720" w:hanging="360"/>
      </w:pPr>
      <w:rPr>
        <w:rFonts w:eastAsiaTheme="minorHAnsi"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536057"/>
    <w:multiLevelType w:val="hybridMultilevel"/>
    <w:tmpl w:val="FC3AC9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DE628E"/>
    <w:multiLevelType w:val="hybridMultilevel"/>
    <w:tmpl w:val="802EC6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EF4814"/>
    <w:multiLevelType w:val="hybridMultilevel"/>
    <w:tmpl w:val="F94218D2"/>
    <w:lvl w:ilvl="0" w:tplc="B4EA0594">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4"/>
        <w:u w:val="none"/>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2C404F"/>
    <w:multiLevelType w:val="multilevel"/>
    <w:tmpl w:val="CA84DA0C"/>
    <w:lvl w:ilvl="0">
      <w:start w:val="1"/>
      <w:numFmt w:val="upperLetter"/>
      <w:lvlText w:val="%1."/>
      <w:lvlJc w:val="left"/>
      <w:pPr>
        <w:ind w:left="567" w:hanging="567"/>
      </w:pPr>
      <w:rPr>
        <w:rFonts w:ascii="Times New Roman" w:hAnsi="Times New Roman" w:hint="default"/>
        <w:b/>
        <w:i w:val="0"/>
        <w:sz w:val="24"/>
      </w:rPr>
    </w:lvl>
    <w:lvl w:ilvl="1">
      <w:start w:val="1"/>
      <w:numFmt w:val="decimal"/>
      <w:lvlText w:val="%1.%2."/>
      <w:lvlJc w:val="left"/>
      <w:pPr>
        <w:ind w:left="567" w:hanging="567"/>
      </w:pPr>
      <w:rPr>
        <w:rFonts w:ascii="Times New Roman" w:hAnsi="Times New Roman" w:hint="default"/>
        <w:b/>
        <w:i/>
        <w:sz w:val="24"/>
      </w:rPr>
    </w:lvl>
    <w:lvl w:ilvl="2">
      <w:start w:val="1"/>
      <w:numFmt w:val="upperRoman"/>
      <w:lvlText w:val="%1.%2.%3."/>
      <w:lvlJc w:val="left"/>
      <w:pPr>
        <w:ind w:left="851" w:hanging="851"/>
      </w:pPr>
      <w:rPr>
        <w:rFonts w:ascii="Times New Roman" w:hAnsi="Times New Roman" w:hint="default"/>
        <w:b w:val="0"/>
        <w:i/>
        <w:sz w:val="24"/>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6BCF2047"/>
    <w:multiLevelType w:val="hybridMultilevel"/>
    <w:tmpl w:val="4FD62A3E"/>
    <w:lvl w:ilvl="0" w:tplc="0B9EEAB8">
      <w:start w:val="1"/>
      <w:numFmt w:val="lowerLetter"/>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80231F9"/>
    <w:multiLevelType w:val="hybridMultilevel"/>
    <w:tmpl w:val="B768B2B8"/>
    <w:lvl w:ilvl="0" w:tplc="89CE121A">
      <w:start w:val="6"/>
      <w:numFmt w:val="bullet"/>
      <w:lvlText w:val="-"/>
      <w:lvlJc w:val="left"/>
      <w:pPr>
        <w:ind w:left="720" w:hanging="360"/>
      </w:pPr>
      <w:rPr>
        <w:rFonts w:ascii="Times" w:eastAsia="Times New Roman" w:hAnsi="Time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pStyle w:val="Nadpis4"/>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8"/>
  </w:num>
  <w:num w:numId="2">
    <w:abstractNumId w:val="9"/>
  </w:num>
  <w:num w:numId="3">
    <w:abstractNumId w:val="1"/>
  </w:num>
  <w:num w:numId="4">
    <w:abstractNumId w:val="5"/>
  </w:num>
  <w:num w:numId="5">
    <w:abstractNumId w:val="3"/>
  </w:num>
  <w:num w:numId="6">
    <w:abstractNumId w:val="2"/>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4523"/>
    <w:rsid w:val="000065A9"/>
    <w:rsid w:val="00007944"/>
    <w:rsid w:val="00012287"/>
    <w:rsid w:val="00015200"/>
    <w:rsid w:val="00021860"/>
    <w:rsid w:val="000234EE"/>
    <w:rsid w:val="00031343"/>
    <w:rsid w:val="00032327"/>
    <w:rsid w:val="00036137"/>
    <w:rsid w:val="00036B8A"/>
    <w:rsid w:val="00037C3F"/>
    <w:rsid w:val="00041DE9"/>
    <w:rsid w:val="00042608"/>
    <w:rsid w:val="000457DA"/>
    <w:rsid w:val="000477B8"/>
    <w:rsid w:val="000503E3"/>
    <w:rsid w:val="00052109"/>
    <w:rsid w:val="00053DF0"/>
    <w:rsid w:val="0005425E"/>
    <w:rsid w:val="00055184"/>
    <w:rsid w:val="00055DE8"/>
    <w:rsid w:val="00062B7D"/>
    <w:rsid w:val="00064ADB"/>
    <w:rsid w:val="00065A30"/>
    <w:rsid w:val="000665C2"/>
    <w:rsid w:val="00071BF8"/>
    <w:rsid w:val="0007385D"/>
    <w:rsid w:val="000776BF"/>
    <w:rsid w:val="0008045D"/>
    <w:rsid w:val="0008212B"/>
    <w:rsid w:val="000831A5"/>
    <w:rsid w:val="00084C99"/>
    <w:rsid w:val="000853E4"/>
    <w:rsid w:val="000854C1"/>
    <w:rsid w:val="000854F8"/>
    <w:rsid w:val="00087647"/>
    <w:rsid w:val="000901BA"/>
    <w:rsid w:val="00090387"/>
    <w:rsid w:val="0009352A"/>
    <w:rsid w:val="00093BE2"/>
    <w:rsid w:val="0009419E"/>
    <w:rsid w:val="00094BB4"/>
    <w:rsid w:val="000958FA"/>
    <w:rsid w:val="00095D1A"/>
    <w:rsid w:val="00097170"/>
    <w:rsid w:val="000B0731"/>
    <w:rsid w:val="000B0953"/>
    <w:rsid w:val="000B33F3"/>
    <w:rsid w:val="000B5E23"/>
    <w:rsid w:val="000B6C31"/>
    <w:rsid w:val="000C12F5"/>
    <w:rsid w:val="000C22E2"/>
    <w:rsid w:val="000C6A00"/>
    <w:rsid w:val="000D0A24"/>
    <w:rsid w:val="000D0E54"/>
    <w:rsid w:val="000D1196"/>
    <w:rsid w:val="000D603A"/>
    <w:rsid w:val="000D70C9"/>
    <w:rsid w:val="000D7A6C"/>
    <w:rsid w:val="000E00FA"/>
    <w:rsid w:val="000E1BA8"/>
    <w:rsid w:val="000E3405"/>
    <w:rsid w:val="000E4B19"/>
    <w:rsid w:val="000E56A7"/>
    <w:rsid w:val="000E619D"/>
    <w:rsid w:val="000E6D63"/>
    <w:rsid w:val="000F2103"/>
    <w:rsid w:val="000F2DE6"/>
    <w:rsid w:val="000F3A93"/>
    <w:rsid w:val="000F3AC3"/>
    <w:rsid w:val="000F5020"/>
    <w:rsid w:val="000F5AC8"/>
    <w:rsid w:val="000F60AF"/>
    <w:rsid w:val="00102E44"/>
    <w:rsid w:val="00103117"/>
    <w:rsid w:val="00105689"/>
    <w:rsid w:val="001072B2"/>
    <w:rsid w:val="001113E9"/>
    <w:rsid w:val="001113FA"/>
    <w:rsid w:val="00111539"/>
    <w:rsid w:val="00111D86"/>
    <w:rsid w:val="0011659A"/>
    <w:rsid w:val="0012053A"/>
    <w:rsid w:val="00122243"/>
    <w:rsid w:val="0012230A"/>
    <w:rsid w:val="00123EE7"/>
    <w:rsid w:val="001265B8"/>
    <w:rsid w:val="001304DB"/>
    <w:rsid w:val="00137343"/>
    <w:rsid w:val="001443A8"/>
    <w:rsid w:val="001447DA"/>
    <w:rsid w:val="001453C3"/>
    <w:rsid w:val="0015103A"/>
    <w:rsid w:val="001514A3"/>
    <w:rsid w:val="0015186E"/>
    <w:rsid w:val="00152AA7"/>
    <w:rsid w:val="00153FF2"/>
    <w:rsid w:val="00154671"/>
    <w:rsid w:val="00154762"/>
    <w:rsid w:val="00161130"/>
    <w:rsid w:val="00161CA7"/>
    <w:rsid w:val="00162927"/>
    <w:rsid w:val="00163200"/>
    <w:rsid w:val="001649CD"/>
    <w:rsid w:val="00167EB4"/>
    <w:rsid w:val="00170808"/>
    <w:rsid w:val="0017502B"/>
    <w:rsid w:val="00175442"/>
    <w:rsid w:val="001773C6"/>
    <w:rsid w:val="001778BF"/>
    <w:rsid w:val="001803DA"/>
    <w:rsid w:val="001808A1"/>
    <w:rsid w:val="0018252F"/>
    <w:rsid w:val="00186DEA"/>
    <w:rsid w:val="00194E08"/>
    <w:rsid w:val="001A1180"/>
    <w:rsid w:val="001A1BBF"/>
    <w:rsid w:val="001A284A"/>
    <w:rsid w:val="001A2E20"/>
    <w:rsid w:val="001B09C4"/>
    <w:rsid w:val="001B0F66"/>
    <w:rsid w:val="001B1812"/>
    <w:rsid w:val="001B57EC"/>
    <w:rsid w:val="001C2890"/>
    <w:rsid w:val="001C28EE"/>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866"/>
    <w:rsid w:val="001F0C1D"/>
    <w:rsid w:val="001F1847"/>
    <w:rsid w:val="001F340C"/>
    <w:rsid w:val="001F4454"/>
    <w:rsid w:val="001F4E5E"/>
    <w:rsid w:val="001F4EAD"/>
    <w:rsid w:val="001F5FD6"/>
    <w:rsid w:val="001F7064"/>
    <w:rsid w:val="001F75A2"/>
    <w:rsid w:val="002021FE"/>
    <w:rsid w:val="00203DD9"/>
    <w:rsid w:val="0020462E"/>
    <w:rsid w:val="00211B26"/>
    <w:rsid w:val="00213E4E"/>
    <w:rsid w:val="0021684F"/>
    <w:rsid w:val="00217E9E"/>
    <w:rsid w:val="0022225F"/>
    <w:rsid w:val="00222D3B"/>
    <w:rsid w:val="0022300E"/>
    <w:rsid w:val="00225014"/>
    <w:rsid w:val="00225201"/>
    <w:rsid w:val="002255D1"/>
    <w:rsid w:val="00226F3B"/>
    <w:rsid w:val="0022739B"/>
    <w:rsid w:val="00227888"/>
    <w:rsid w:val="00231117"/>
    <w:rsid w:val="00233C4E"/>
    <w:rsid w:val="00234806"/>
    <w:rsid w:val="0023498F"/>
    <w:rsid w:val="002355DF"/>
    <w:rsid w:val="0023590B"/>
    <w:rsid w:val="002375E6"/>
    <w:rsid w:val="00240AE8"/>
    <w:rsid w:val="00240F6D"/>
    <w:rsid w:val="00241182"/>
    <w:rsid w:val="00241449"/>
    <w:rsid w:val="00242484"/>
    <w:rsid w:val="00242D1E"/>
    <w:rsid w:val="00244651"/>
    <w:rsid w:val="00245FA9"/>
    <w:rsid w:val="00246C1E"/>
    <w:rsid w:val="002532E5"/>
    <w:rsid w:val="002574A3"/>
    <w:rsid w:val="002607E8"/>
    <w:rsid w:val="002614F6"/>
    <w:rsid w:val="00263A8F"/>
    <w:rsid w:val="00267B5C"/>
    <w:rsid w:val="0027012B"/>
    <w:rsid w:val="0027146B"/>
    <w:rsid w:val="00282E6B"/>
    <w:rsid w:val="00282F9E"/>
    <w:rsid w:val="00284095"/>
    <w:rsid w:val="00284647"/>
    <w:rsid w:val="00284C1D"/>
    <w:rsid w:val="002851F3"/>
    <w:rsid w:val="0029143A"/>
    <w:rsid w:val="00291528"/>
    <w:rsid w:val="0029167F"/>
    <w:rsid w:val="002928E4"/>
    <w:rsid w:val="00294A4C"/>
    <w:rsid w:val="002961EA"/>
    <w:rsid w:val="00296B7F"/>
    <w:rsid w:val="002A643E"/>
    <w:rsid w:val="002A67FB"/>
    <w:rsid w:val="002A6BA2"/>
    <w:rsid w:val="002A7CB2"/>
    <w:rsid w:val="002A7FCD"/>
    <w:rsid w:val="002B0F6B"/>
    <w:rsid w:val="002B5986"/>
    <w:rsid w:val="002B7706"/>
    <w:rsid w:val="002C2145"/>
    <w:rsid w:val="002C2805"/>
    <w:rsid w:val="002C55F1"/>
    <w:rsid w:val="002C6AC9"/>
    <w:rsid w:val="002D0473"/>
    <w:rsid w:val="002D08FC"/>
    <w:rsid w:val="002D13CE"/>
    <w:rsid w:val="002D646B"/>
    <w:rsid w:val="002E2D5C"/>
    <w:rsid w:val="002E3AFA"/>
    <w:rsid w:val="002E40FB"/>
    <w:rsid w:val="002E4D4B"/>
    <w:rsid w:val="002E5846"/>
    <w:rsid w:val="002E6125"/>
    <w:rsid w:val="002E6729"/>
    <w:rsid w:val="002F2033"/>
    <w:rsid w:val="002F364A"/>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1BC1"/>
    <w:rsid w:val="00322386"/>
    <w:rsid w:val="00323C98"/>
    <w:rsid w:val="00325440"/>
    <w:rsid w:val="0033054E"/>
    <w:rsid w:val="00330EB4"/>
    <w:rsid w:val="003311B1"/>
    <w:rsid w:val="003327C0"/>
    <w:rsid w:val="003338D6"/>
    <w:rsid w:val="003345E4"/>
    <w:rsid w:val="003349E2"/>
    <w:rsid w:val="00334D93"/>
    <w:rsid w:val="00335511"/>
    <w:rsid w:val="00335F0E"/>
    <w:rsid w:val="003366CC"/>
    <w:rsid w:val="0033717A"/>
    <w:rsid w:val="003377BA"/>
    <w:rsid w:val="003409D2"/>
    <w:rsid w:val="00341294"/>
    <w:rsid w:val="00341E70"/>
    <w:rsid w:val="00342CB6"/>
    <w:rsid w:val="00344849"/>
    <w:rsid w:val="00347709"/>
    <w:rsid w:val="00351D80"/>
    <w:rsid w:val="00351FAA"/>
    <w:rsid w:val="003562FC"/>
    <w:rsid w:val="00357F38"/>
    <w:rsid w:val="003606E9"/>
    <w:rsid w:val="00361845"/>
    <w:rsid w:val="00362A9B"/>
    <w:rsid w:val="003636C0"/>
    <w:rsid w:val="00363969"/>
    <w:rsid w:val="0036409B"/>
    <w:rsid w:val="00366FF3"/>
    <w:rsid w:val="0037646F"/>
    <w:rsid w:val="00376C16"/>
    <w:rsid w:val="00376D9B"/>
    <w:rsid w:val="0038328E"/>
    <w:rsid w:val="003847BD"/>
    <w:rsid w:val="0038500A"/>
    <w:rsid w:val="00385E91"/>
    <w:rsid w:val="00385F5D"/>
    <w:rsid w:val="00387867"/>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A4524"/>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4D67"/>
    <w:rsid w:val="003F64F2"/>
    <w:rsid w:val="0040002F"/>
    <w:rsid w:val="00400686"/>
    <w:rsid w:val="00402377"/>
    <w:rsid w:val="00402F4C"/>
    <w:rsid w:val="00405601"/>
    <w:rsid w:val="00411217"/>
    <w:rsid w:val="00412989"/>
    <w:rsid w:val="00412C4F"/>
    <w:rsid w:val="00413805"/>
    <w:rsid w:val="00414253"/>
    <w:rsid w:val="00420D4B"/>
    <w:rsid w:val="00422ED4"/>
    <w:rsid w:val="00426884"/>
    <w:rsid w:val="00430749"/>
    <w:rsid w:val="00432A7E"/>
    <w:rsid w:val="0043509F"/>
    <w:rsid w:val="00436035"/>
    <w:rsid w:val="00437EE9"/>
    <w:rsid w:val="004444B0"/>
    <w:rsid w:val="00444FBF"/>
    <w:rsid w:val="00445D2F"/>
    <w:rsid w:val="00451618"/>
    <w:rsid w:val="004541DB"/>
    <w:rsid w:val="004554B0"/>
    <w:rsid w:val="004570D2"/>
    <w:rsid w:val="00457459"/>
    <w:rsid w:val="00457498"/>
    <w:rsid w:val="00457BCF"/>
    <w:rsid w:val="00457CFF"/>
    <w:rsid w:val="0046180D"/>
    <w:rsid w:val="004638F4"/>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1D39"/>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B7D13"/>
    <w:rsid w:val="004C0DDE"/>
    <w:rsid w:val="004C2815"/>
    <w:rsid w:val="004C2B59"/>
    <w:rsid w:val="004C303D"/>
    <w:rsid w:val="004C37A3"/>
    <w:rsid w:val="004C453D"/>
    <w:rsid w:val="004C789B"/>
    <w:rsid w:val="004D1041"/>
    <w:rsid w:val="004D1916"/>
    <w:rsid w:val="004D1D36"/>
    <w:rsid w:val="004D5A7E"/>
    <w:rsid w:val="004D761F"/>
    <w:rsid w:val="004E05FA"/>
    <w:rsid w:val="004E27DD"/>
    <w:rsid w:val="004E7580"/>
    <w:rsid w:val="004F4FD2"/>
    <w:rsid w:val="004F7808"/>
    <w:rsid w:val="005000B4"/>
    <w:rsid w:val="00500C00"/>
    <w:rsid w:val="00501139"/>
    <w:rsid w:val="00503637"/>
    <w:rsid w:val="005061D4"/>
    <w:rsid w:val="0050640D"/>
    <w:rsid w:val="00506849"/>
    <w:rsid w:val="00510909"/>
    <w:rsid w:val="00511ED1"/>
    <w:rsid w:val="00512358"/>
    <w:rsid w:val="0051538F"/>
    <w:rsid w:val="00517DFE"/>
    <w:rsid w:val="00521E7E"/>
    <w:rsid w:val="00523E6E"/>
    <w:rsid w:val="00524565"/>
    <w:rsid w:val="0052486E"/>
    <w:rsid w:val="0052539E"/>
    <w:rsid w:val="00530691"/>
    <w:rsid w:val="00531FE4"/>
    <w:rsid w:val="00533C60"/>
    <w:rsid w:val="00533D74"/>
    <w:rsid w:val="0053410A"/>
    <w:rsid w:val="00535A79"/>
    <w:rsid w:val="00535BD1"/>
    <w:rsid w:val="00536881"/>
    <w:rsid w:val="005375AC"/>
    <w:rsid w:val="00537925"/>
    <w:rsid w:val="00540576"/>
    <w:rsid w:val="005414EA"/>
    <w:rsid w:val="00543B8E"/>
    <w:rsid w:val="00544D8A"/>
    <w:rsid w:val="00546163"/>
    <w:rsid w:val="00550D16"/>
    <w:rsid w:val="00556931"/>
    <w:rsid w:val="005572DE"/>
    <w:rsid w:val="0055756C"/>
    <w:rsid w:val="0055799B"/>
    <w:rsid w:val="00560A9D"/>
    <w:rsid w:val="00561ABD"/>
    <w:rsid w:val="00564192"/>
    <w:rsid w:val="005652F5"/>
    <w:rsid w:val="00572E47"/>
    <w:rsid w:val="005738CA"/>
    <w:rsid w:val="00574338"/>
    <w:rsid w:val="00574B35"/>
    <w:rsid w:val="00575A83"/>
    <w:rsid w:val="00576C9B"/>
    <w:rsid w:val="00577551"/>
    <w:rsid w:val="00577A30"/>
    <w:rsid w:val="00581F1A"/>
    <w:rsid w:val="0058207A"/>
    <w:rsid w:val="0058799F"/>
    <w:rsid w:val="005906C5"/>
    <w:rsid w:val="00590B43"/>
    <w:rsid w:val="00591017"/>
    <w:rsid w:val="005924B2"/>
    <w:rsid w:val="0059354D"/>
    <w:rsid w:val="00593640"/>
    <w:rsid w:val="005A16C6"/>
    <w:rsid w:val="005A1884"/>
    <w:rsid w:val="005A4789"/>
    <w:rsid w:val="005A4A17"/>
    <w:rsid w:val="005A4F8C"/>
    <w:rsid w:val="005B0ED8"/>
    <w:rsid w:val="005B2622"/>
    <w:rsid w:val="005B2876"/>
    <w:rsid w:val="005B35B5"/>
    <w:rsid w:val="005B4619"/>
    <w:rsid w:val="005B560A"/>
    <w:rsid w:val="005C0018"/>
    <w:rsid w:val="005C147B"/>
    <w:rsid w:val="005C26C7"/>
    <w:rsid w:val="005C55C9"/>
    <w:rsid w:val="005C5A15"/>
    <w:rsid w:val="005C6855"/>
    <w:rsid w:val="005C69C0"/>
    <w:rsid w:val="005D0441"/>
    <w:rsid w:val="005D170A"/>
    <w:rsid w:val="005D1DD7"/>
    <w:rsid w:val="005D3593"/>
    <w:rsid w:val="005D555A"/>
    <w:rsid w:val="005D6F85"/>
    <w:rsid w:val="005E20A2"/>
    <w:rsid w:val="005E20EA"/>
    <w:rsid w:val="005E3070"/>
    <w:rsid w:val="005E5741"/>
    <w:rsid w:val="005E673C"/>
    <w:rsid w:val="005E6925"/>
    <w:rsid w:val="005E7189"/>
    <w:rsid w:val="005F06A7"/>
    <w:rsid w:val="005F1A92"/>
    <w:rsid w:val="005F3DF8"/>
    <w:rsid w:val="005F4C60"/>
    <w:rsid w:val="005F664A"/>
    <w:rsid w:val="006031C2"/>
    <w:rsid w:val="00605BA4"/>
    <w:rsid w:val="00605C59"/>
    <w:rsid w:val="006220BB"/>
    <w:rsid w:val="006228E8"/>
    <w:rsid w:val="00622FC3"/>
    <w:rsid w:val="00623418"/>
    <w:rsid w:val="00625F21"/>
    <w:rsid w:val="00626827"/>
    <w:rsid w:val="00626E9A"/>
    <w:rsid w:val="00627B86"/>
    <w:rsid w:val="006314A5"/>
    <w:rsid w:val="006330CB"/>
    <w:rsid w:val="006346F5"/>
    <w:rsid w:val="00635D62"/>
    <w:rsid w:val="006411E7"/>
    <w:rsid w:val="00643296"/>
    <w:rsid w:val="00644B1D"/>
    <w:rsid w:val="00645F38"/>
    <w:rsid w:val="006507F3"/>
    <w:rsid w:val="006512E3"/>
    <w:rsid w:val="006516F7"/>
    <w:rsid w:val="00655048"/>
    <w:rsid w:val="00656031"/>
    <w:rsid w:val="006564AC"/>
    <w:rsid w:val="00663B78"/>
    <w:rsid w:val="00664475"/>
    <w:rsid w:val="00664B75"/>
    <w:rsid w:val="00665BFA"/>
    <w:rsid w:val="00667256"/>
    <w:rsid w:val="00670836"/>
    <w:rsid w:val="006708C1"/>
    <w:rsid w:val="00672384"/>
    <w:rsid w:val="00675DAD"/>
    <w:rsid w:val="00680623"/>
    <w:rsid w:val="00680B4D"/>
    <w:rsid w:val="00681FA6"/>
    <w:rsid w:val="00683A89"/>
    <w:rsid w:val="00683BB8"/>
    <w:rsid w:val="00685D81"/>
    <w:rsid w:val="006865CC"/>
    <w:rsid w:val="00691AFB"/>
    <w:rsid w:val="006931EC"/>
    <w:rsid w:val="006964CA"/>
    <w:rsid w:val="00697B2A"/>
    <w:rsid w:val="006A01C6"/>
    <w:rsid w:val="006A1ECF"/>
    <w:rsid w:val="006A2626"/>
    <w:rsid w:val="006A582C"/>
    <w:rsid w:val="006A5861"/>
    <w:rsid w:val="006A6004"/>
    <w:rsid w:val="006A605D"/>
    <w:rsid w:val="006B073B"/>
    <w:rsid w:val="006B1F1B"/>
    <w:rsid w:val="006B63E0"/>
    <w:rsid w:val="006C20D2"/>
    <w:rsid w:val="006C3494"/>
    <w:rsid w:val="006C37BB"/>
    <w:rsid w:val="006C401A"/>
    <w:rsid w:val="006C4D59"/>
    <w:rsid w:val="006C65B9"/>
    <w:rsid w:val="006C76F3"/>
    <w:rsid w:val="006C7AE6"/>
    <w:rsid w:val="006D035A"/>
    <w:rsid w:val="006D17D0"/>
    <w:rsid w:val="006D37B6"/>
    <w:rsid w:val="006D3E1F"/>
    <w:rsid w:val="006D4351"/>
    <w:rsid w:val="006D516E"/>
    <w:rsid w:val="006D5E1B"/>
    <w:rsid w:val="006E1B9C"/>
    <w:rsid w:val="006E2437"/>
    <w:rsid w:val="006E3AFD"/>
    <w:rsid w:val="006E7FFC"/>
    <w:rsid w:val="006F06E6"/>
    <w:rsid w:val="006F0CFB"/>
    <w:rsid w:val="006F177B"/>
    <w:rsid w:val="006F1BD0"/>
    <w:rsid w:val="006F42A3"/>
    <w:rsid w:val="006F46FE"/>
    <w:rsid w:val="00701402"/>
    <w:rsid w:val="00703D54"/>
    <w:rsid w:val="0070401B"/>
    <w:rsid w:val="0070423F"/>
    <w:rsid w:val="007060EF"/>
    <w:rsid w:val="00706551"/>
    <w:rsid w:val="0071161D"/>
    <w:rsid w:val="007130E4"/>
    <w:rsid w:val="007144AA"/>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2792"/>
    <w:rsid w:val="0075062D"/>
    <w:rsid w:val="0075198A"/>
    <w:rsid w:val="0075242C"/>
    <w:rsid w:val="007542D5"/>
    <w:rsid w:val="00754DE6"/>
    <w:rsid w:val="0075734D"/>
    <w:rsid w:val="0076023A"/>
    <w:rsid w:val="00760C82"/>
    <w:rsid w:val="007618DE"/>
    <w:rsid w:val="00762121"/>
    <w:rsid w:val="007626AC"/>
    <w:rsid w:val="00762C11"/>
    <w:rsid w:val="00762DE1"/>
    <w:rsid w:val="0076724B"/>
    <w:rsid w:val="0076767E"/>
    <w:rsid w:val="00770399"/>
    <w:rsid w:val="00770FFA"/>
    <w:rsid w:val="007722FA"/>
    <w:rsid w:val="00774741"/>
    <w:rsid w:val="00775F98"/>
    <w:rsid w:val="0077671B"/>
    <w:rsid w:val="0077799E"/>
    <w:rsid w:val="00782411"/>
    <w:rsid w:val="00783D49"/>
    <w:rsid w:val="007850A3"/>
    <w:rsid w:val="00785A52"/>
    <w:rsid w:val="0078679A"/>
    <w:rsid w:val="00786D6F"/>
    <w:rsid w:val="00791736"/>
    <w:rsid w:val="007929F6"/>
    <w:rsid w:val="007931FC"/>
    <w:rsid w:val="00793D54"/>
    <w:rsid w:val="007943B2"/>
    <w:rsid w:val="00795D18"/>
    <w:rsid w:val="007A49F3"/>
    <w:rsid w:val="007A58AF"/>
    <w:rsid w:val="007A72E4"/>
    <w:rsid w:val="007B0173"/>
    <w:rsid w:val="007B3184"/>
    <w:rsid w:val="007B3B5F"/>
    <w:rsid w:val="007B4920"/>
    <w:rsid w:val="007B4A7D"/>
    <w:rsid w:val="007B6815"/>
    <w:rsid w:val="007C17DA"/>
    <w:rsid w:val="007C1E6F"/>
    <w:rsid w:val="007C24C1"/>
    <w:rsid w:val="007C357A"/>
    <w:rsid w:val="007C4FB8"/>
    <w:rsid w:val="007C68C8"/>
    <w:rsid w:val="007D1B49"/>
    <w:rsid w:val="007D32C0"/>
    <w:rsid w:val="007D3352"/>
    <w:rsid w:val="007D468D"/>
    <w:rsid w:val="007D51CF"/>
    <w:rsid w:val="007D58AC"/>
    <w:rsid w:val="007D5D38"/>
    <w:rsid w:val="007D636A"/>
    <w:rsid w:val="007D6878"/>
    <w:rsid w:val="007D693F"/>
    <w:rsid w:val="007D6D87"/>
    <w:rsid w:val="007E0C31"/>
    <w:rsid w:val="007E0FA6"/>
    <w:rsid w:val="007E37A8"/>
    <w:rsid w:val="007E5079"/>
    <w:rsid w:val="007E5C78"/>
    <w:rsid w:val="007E7919"/>
    <w:rsid w:val="007F5D4D"/>
    <w:rsid w:val="007F6BA3"/>
    <w:rsid w:val="007F6EBD"/>
    <w:rsid w:val="007F6FB5"/>
    <w:rsid w:val="007F7A66"/>
    <w:rsid w:val="008015A6"/>
    <w:rsid w:val="00803180"/>
    <w:rsid w:val="00804266"/>
    <w:rsid w:val="0080605E"/>
    <w:rsid w:val="0080656D"/>
    <w:rsid w:val="00806983"/>
    <w:rsid w:val="00807BED"/>
    <w:rsid w:val="0081099A"/>
    <w:rsid w:val="008120CD"/>
    <w:rsid w:val="00814156"/>
    <w:rsid w:val="00814827"/>
    <w:rsid w:val="00814E3E"/>
    <w:rsid w:val="008152AB"/>
    <w:rsid w:val="00820485"/>
    <w:rsid w:val="00820EEA"/>
    <w:rsid w:val="00821659"/>
    <w:rsid w:val="008229F9"/>
    <w:rsid w:val="00822E28"/>
    <w:rsid w:val="00823142"/>
    <w:rsid w:val="00825171"/>
    <w:rsid w:val="00825E73"/>
    <w:rsid w:val="00826341"/>
    <w:rsid w:val="00831111"/>
    <w:rsid w:val="00834969"/>
    <w:rsid w:val="00835460"/>
    <w:rsid w:val="00835852"/>
    <w:rsid w:val="008412DC"/>
    <w:rsid w:val="008421C9"/>
    <w:rsid w:val="00842D59"/>
    <w:rsid w:val="00844AEB"/>
    <w:rsid w:val="00844C1E"/>
    <w:rsid w:val="008459F9"/>
    <w:rsid w:val="0084740D"/>
    <w:rsid w:val="00847BB5"/>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5B96"/>
    <w:rsid w:val="00886D54"/>
    <w:rsid w:val="00891BCD"/>
    <w:rsid w:val="00891C05"/>
    <w:rsid w:val="00895D84"/>
    <w:rsid w:val="00896163"/>
    <w:rsid w:val="00897104"/>
    <w:rsid w:val="00897197"/>
    <w:rsid w:val="008975F1"/>
    <w:rsid w:val="008A0F6D"/>
    <w:rsid w:val="008A1C3B"/>
    <w:rsid w:val="008A25EE"/>
    <w:rsid w:val="008A6049"/>
    <w:rsid w:val="008A604E"/>
    <w:rsid w:val="008B1C37"/>
    <w:rsid w:val="008B4638"/>
    <w:rsid w:val="008C0D63"/>
    <w:rsid w:val="008C211C"/>
    <w:rsid w:val="008C3671"/>
    <w:rsid w:val="008C56B5"/>
    <w:rsid w:val="008C671F"/>
    <w:rsid w:val="008D0F8F"/>
    <w:rsid w:val="008D3640"/>
    <w:rsid w:val="008D4A92"/>
    <w:rsid w:val="008D4DEE"/>
    <w:rsid w:val="008D5A75"/>
    <w:rsid w:val="008D6B5B"/>
    <w:rsid w:val="008E0A7F"/>
    <w:rsid w:val="008E2D1C"/>
    <w:rsid w:val="008E65BD"/>
    <w:rsid w:val="008F0893"/>
    <w:rsid w:val="008F2B41"/>
    <w:rsid w:val="008F3E3A"/>
    <w:rsid w:val="008F58DB"/>
    <w:rsid w:val="008F5EDC"/>
    <w:rsid w:val="008F7D71"/>
    <w:rsid w:val="00906A48"/>
    <w:rsid w:val="0090789B"/>
    <w:rsid w:val="00911B20"/>
    <w:rsid w:val="009149BA"/>
    <w:rsid w:val="0091637A"/>
    <w:rsid w:val="009167E1"/>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52CCD"/>
    <w:rsid w:val="00961731"/>
    <w:rsid w:val="0096184D"/>
    <w:rsid w:val="009654C6"/>
    <w:rsid w:val="00965708"/>
    <w:rsid w:val="00965970"/>
    <w:rsid w:val="0096653D"/>
    <w:rsid w:val="009668BE"/>
    <w:rsid w:val="00970054"/>
    <w:rsid w:val="00973374"/>
    <w:rsid w:val="00981C59"/>
    <w:rsid w:val="00984DA0"/>
    <w:rsid w:val="00987719"/>
    <w:rsid w:val="0099012E"/>
    <w:rsid w:val="00990F4E"/>
    <w:rsid w:val="0099179B"/>
    <w:rsid w:val="00993E60"/>
    <w:rsid w:val="009940EE"/>
    <w:rsid w:val="00994EB9"/>
    <w:rsid w:val="00994EDA"/>
    <w:rsid w:val="00995F62"/>
    <w:rsid w:val="00996751"/>
    <w:rsid w:val="0099679A"/>
    <w:rsid w:val="00997DEF"/>
    <w:rsid w:val="009A0E63"/>
    <w:rsid w:val="009A1B17"/>
    <w:rsid w:val="009A1BCA"/>
    <w:rsid w:val="009A73E4"/>
    <w:rsid w:val="009A7DBC"/>
    <w:rsid w:val="009A7FCA"/>
    <w:rsid w:val="009B02BD"/>
    <w:rsid w:val="009B45F2"/>
    <w:rsid w:val="009B5F5F"/>
    <w:rsid w:val="009B7C67"/>
    <w:rsid w:val="009C0655"/>
    <w:rsid w:val="009C0EAA"/>
    <w:rsid w:val="009C28D4"/>
    <w:rsid w:val="009C2DD2"/>
    <w:rsid w:val="009C591A"/>
    <w:rsid w:val="009D0434"/>
    <w:rsid w:val="009D0E1B"/>
    <w:rsid w:val="009D53DB"/>
    <w:rsid w:val="009D6278"/>
    <w:rsid w:val="009D6AE1"/>
    <w:rsid w:val="009D7E2E"/>
    <w:rsid w:val="009E3E41"/>
    <w:rsid w:val="009E4312"/>
    <w:rsid w:val="009E5A06"/>
    <w:rsid w:val="009E5E68"/>
    <w:rsid w:val="009E71D7"/>
    <w:rsid w:val="009F02B7"/>
    <w:rsid w:val="009F1786"/>
    <w:rsid w:val="009F247C"/>
    <w:rsid w:val="009F5FF7"/>
    <w:rsid w:val="00A01E4D"/>
    <w:rsid w:val="00A06AE8"/>
    <w:rsid w:val="00A12688"/>
    <w:rsid w:val="00A127B2"/>
    <w:rsid w:val="00A14BBE"/>
    <w:rsid w:val="00A15E45"/>
    <w:rsid w:val="00A16467"/>
    <w:rsid w:val="00A24E99"/>
    <w:rsid w:val="00A259AB"/>
    <w:rsid w:val="00A25E3A"/>
    <w:rsid w:val="00A300E9"/>
    <w:rsid w:val="00A32A59"/>
    <w:rsid w:val="00A344E9"/>
    <w:rsid w:val="00A34D6A"/>
    <w:rsid w:val="00A410B8"/>
    <w:rsid w:val="00A438F3"/>
    <w:rsid w:val="00A4397D"/>
    <w:rsid w:val="00A43B44"/>
    <w:rsid w:val="00A43C14"/>
    <w:rsid w:val="00A44A85"/>
    <w:rsid w:val="00A4575A"/>
    <w:rsid w:val="00A45AAA"/>
    <w:rsid w:val="00A47FC6"/>
    <w:rsid w:val="00A50847"/>
    <w:rsid w:val="00A5149F"/>
    <w:rsid w:val="00A52335"/>
    <w:rsid w:val="00A5243B"/>
    <w:rsid w:val="00A53EA2"/>
    <w:rsid w:val="00A650CA"/>
    <w:rsid w:val="00A6621B"/>
    <w:rsid w:val="00A70D06"/>
    <w:rsid w:val="00A71048"/>
    <w:rsid w:val="00A71570"/>
    <w:rsid w:val="00A71AD6"/>
    <w:rsid w:val="00A71FE6"/>
    <w:rsid w:val="00A72A8B"/>
    <w:rsid w:val="00A76DEF"/>
    <w:rsid w:val="00A77DE1"/>
    <w:rsid w:val="00A77F39"/>
    <w:rsid w:val="00A77FD6"/>
    <w:rsid w:val="00A81D9D"/>
    <w:rsid w:val="00A83A62"/>
    <w:rsid w:val="00A86688"/>
    <w:rsid w:val="00A9017E"/>
    <w:rsid w:val="00A91698"/>
    <w:rsid w:val="00A92694"/>
    <w:rsid w:val="00A92AA0"/>
    <w:rsid w:val="00A930DC"/>
    <w:rsid w:val="00A93B39"/>
    <w:rsid w:val="00A93CEC"/>
    <w:rsid w:val="00A93DF0"/>
    <w:rsid w:val="00A96ED3"/>
    <w:rsid w:val="00A973C7"/>
    <w:rsid w:val="00AA09B8"/>
    <w:rsid w:val="00AA0D56"/>
    <w:rsid w:val="00AA26A6"/>
    <w:rsid w:val="00AA2B3A"/>
    <w:rsid w:val="00AA30C8"/>
    <w:rsid w:val="00AA3771"/>
    <w:rsid w:val="00AA3EC3"/>
    <w:rsid w:val="00AA4633"/>
    <w:rsid w:val="00AA7258"/>
    <w:rsid w:val="00AB029F"/>
    <w:rsid w:val="00AB18CD"/>
    <w:rsid w:val="00AB2B4E"/>
    <w:rsid w:val="00AB3936"/>
    <w:rsid w:val="00AB63D0"/>
    <w:rsid w:val="00AB787B"/>
    <w:rsid w:val="00AC0B91"/>
    <w:rsid w:val="00AC1042"/>
    <w:rsid w:val="00AC1D35"/>
    <w:rsid w:val="00AC323E"/>
    <w:rsid w:val="00AC40E0"/>
    <w:rsid w:val="00AC5D0D"/>
    <w:rsid w:val="00AC705D"/>
    <w:rsid w:val="00AC7672"/>
    <w:rsid w:val="00AD0983"/>
    <w:rsid w:val="00AD1059"/>
    <w:rsid w:val="00AD2636"/>
    <w:rsid w:val="00AD2D31"/>
    <w:rsid w:val="00AD5977"/>
    <w:rsid w:val="00AD6A1C"/>
    <w:rsid w:val="00AD7255"/>
    <w:rsid w:val="00AE0EBD"/>
    <w:rsid w:val="00AE276C"/>
    <w:rsid w:val="00AF11D8"/>
    <w:rsid w:val="00AF283B"/>
    <w:rsid w:val="00AF29A3"/>
    <w:rsid w:val="00AF4E37"/>
    <w:rsid w:val="00AF5784"/>
    <w:rsid w:val="00AF7427"/>
    <w:rsid w:val="00AF7728"/>
    <w:rsid w:val="00B00C43"/>
    <w:rsid w:val="00B01F83"/>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2537F"/>
    <w:rsid w:val="00B33194"/>
    <w:rsid w:val="00B344BF"/>
    <w:rsid w:val="00B34C8F"/>
    <w:rsid w:val="00B34E23"/>
    <w:rsid w:val="00B40842"/>
    <w:rsid w:val="00B40AC5"/>
    <w:rsid w:val="00B42658"/>
    <w:rsid w:val="00B435BD"/>
    <w:rsid w:val="00B46137"/>
    <w:rsid w:val="00B501B8"/>
    <w:rsid w:val="00B50D0B"/>
    <w:rsid w:val="00B514FA"/>
    <w:rsid w:val="00B53972"/>
    <w:rsid w:val="00B55A3C"/>
    <w:rsid w:val="00B56678"/>
    <w:rsid w:val="00B60BB8"/>
    <w:rsid w:val="00B6374E"/>
    <w:rsid w:val="00B63E64"/>
    <w:rsid w:val="00B64F52"/>
    <w:rsid w:val="00B66CB9"/>
    <w:rsid w:val="00B67293"/>
    <w:rsid w:val="00B70E69"/>
    <w:rsid w:val="00B71812"/>
    <w:rsid w:val="00B73EF8"/>
    <w:rsid w:val="00B74991"/>
    <w:rsid w:val="00B769C6"/>
    <w:rsid w:val="00B76CA7"/>
    <w:rsid w:val="00B818F7"/>
    <w:rsid w:val="00B8197E"/>
    <w:rsid w:val="00B82E6F"/>
    <w:rsid w:val="00B83568"/>
    <w:rsid w:val="00B84DE0"/>
    <w:rsid w:val="00B946F4"/>
    <w:rsid w:val="00B97520"/>
    <w:rsid w:val="00B97824"/>
    <w:rsid w:val="00BA0A86"/>
    <w:rsid w:val="00BA30E9"/>
    <w:rsid w:val="00BA333F"/>
    <w:rsid w:val="00BA3720"/>
    <w:rsid w:val="00BA380E"/>
    <w:rsid w:val="00BB1663"/>
    <w:rsid w:val="00BB2E4A"/>
    <w:rsid w:val="00BB6BFB"/>
    <w:rsid w:val="00BC073F"/>
    <w:rsid w:val="00BC49DA"/>
    <w:rsid w:val="00BC681F"/>
    <w:rsid w:val="00BC6888"/>
    <w:rsid w:val="00BC6B75"/>
    <w:rsid w:val="00BD0705"/>
    <w:rsid w:val="00BD7A52"/>
    <w:rsid w:val="00BE20C1"/>
    <w:rsid w:val="00BF2483"/>
    <w:rsid w:val="00BF311D"/>
    <w:rsid w:val="00BF3ADC"/>
    <w:rsid w:val="00BF5440"/>
    <w:rsid w:val="00C01643"/>
    <w:rsid w:val="00C02377"/>
    <w:rsid w:val="00C03AE7"/>
    <w:rsid w:val="00C05B9F"/>
    <w:rsid w:val="00C05EE0"/>
    <w:rsid w:val="00C071D0"/>
    <w:rsid w:val="00C1046D"/>
    <w:rsid w:val="00C10487"/>
    <w:rsid w:val="00C10718"/>
    <w:rsid w:val="00C113C0"/>
    <w:rsid w:val="00C12FCD"/>
    <w:rsid w:val="00C14ABA"/>
    <w:rsid w:val="00C15928"/>
    <w:rsid w:val="00C16EE9"/>
    <w:rsid w:val="00C220E7"/>
    <w:rsid w:val="00C252AB"/>
    <w:rsid w:val="00C27626"/>
    <w:rsid w:val="00C30B2C"/>
    <w:rsid w:val="00C31859"/>
    <w:rsid w:val="00C32040"/>
    <w:rsid w:val="00C3363B"/>
    <w:rsid w:val="00C33ECC"/>
    <w:rsid w:val="00C34F5A"/>
    <w:rsid w:val="00C35095"/>
    <w:rsid w:val="00C40052"/>
    <w:rsid w:val="00C40190"/>
    <w:rsid w:val="00C40833"/>
    <w:rsid w:val="00C438BC"/>
    <w:rsid w:val="00C440AC"/>
    <w:rsid w:val="00C45ED6"/>
    <w:rsid w:val="00C47C59"/>
    <w:rsid w:val="00C50909"/>
    <w:rsid w:val="00C515E5"/>
    <w:rsid w:val="00C557B3"/>
    <w:rsid w:val="00C55AC4"/>
    <w:rsid w:val="00C565A0"/>
    <w:rsid w:val="00C579E9"/>
    <w:rsid w:val="00C602E8"/>
    <w:rsid w:val="00C618B2"/>
    <w:rsid w:val="00C62CE9"/>
    <w:rsid w:val="00C62E34"/>
    <w:rsid w:val="00C7131E"/>
    <w:rsid w:val="00C71476"/>
    <w:rsid w:val="00C72B0B"/>
    <w:rsid w:val="00C75C67"/>
    <w:rsid w:val="00C75DD0"/>
    <w:rsid w:val="00C83584"/>
    <w:rsid w:val="00C83DE9"/>
    <w:rsid w:val="00C86FFC"/>
    <w:rsid w:val="00C97286"/>
    <w:rsid w:val="00C974D3"/>
    <w:rsid w:val="00C97AF8"/>
    <w:rsid w:val="00CA2786"/>
    <w:rsid w:val="00CA3632"/>
    <w:rsid w:val="00CA3DC2"/>
    <w:rsid w:val="00CA5630"/>
    <w:rsid w:val="00CA6C08"/>
    <w:rsid w:val="00CA6D43"/>
    <w:rsid w:val="00CB1AD4"/>
    <w:rsid w:val="00CB1ECB"/>
    <w:rsid w:val="00CB2856"/>
    <w:rsid w:val="00CB47D5"/>
    <w:rsid w:val="00CB53B9"/>
    <w:rsid w:val="00CB6769"/>
    <w:rsid w:val="00CC24FC"/>
    <w:rsid w:val="00CC4020"/>
    <w:rsid w:val="00CC7445"/>
    <w:rsid w:val="00CD3ED1"/>
    <w:rsid w:val="00CD51CB"/>
    <w:rsid w:val="00CD7368"/>
    <w:rsid w:val="00CE07E4"/>
    <w:rsid w:val="00CE212E"/>
    <w:rsid w:val="00CE5E05"/>
    <w:rsid w:val="00CE6204"/>
    <w:rsid w:val="00CF18ED"/>
    <w:rsid w:val="00CF43C8"/>
    <w:rsid w:val="00D0094D"/>
    <w:rsid w:val="00D0245F"/>
    <w:rsid w:val="00D03F32"/>
    <w:rsid w:val="00D04A1B"/>
    <w:rsid w:val="00D04DAD"/>
    <w:rsid w:val="00D05495"/>
    <w:rsid w:val="00D10C68"/>
    <w:rsid w:val="00D11E95"/>
    <w:rsid w:val="00D13742"/>
    <w:rsid w:val="00D14F2A"/>
    <w:rsid w:val="00D150B4"/>
    <w:rsid w:val="00D207E9"/>
    <w:rsid w:val="00D27C91"/>
    <w:rsid w:val="00D27F78"/>
    <w:rsid w:val="00D30292"/>
    <w:rsid w:val="00D325F0"/>
    <w:rsid w:val="00D37209"/>
    <w:rsid w:val="00D40AE4"/>
    <w:rsid w:val="00D42915"/>
    <w:rsid w:val="00D47339"/>
    <w:rsid w:val="00D526CC"/>
    <w:rsid w:val="00D540F7"/>
    <w:rsid w:val="00D573C9"/>
    <w:rsid w:val="00D57CB2"/>
    <w:rsid w:val="00D57D2E"/>
    <w:rsid w:val="00D64089"/>
    <w:rsid w:val="00D7000E"/>
    <w:rsid w:val="00D719FF"/>
    <w:rsid w:val="00D72553"/>
    <w:rsid w:val="00D743B0"/>
    <w:rsid w:val="00D74616"/>
    <w:rsid w:val="00D750E6"/>
    <w:rsid w:val="00D80743"/>
    <w:rsid w:val="00D8181E"/>
    <w:rsid w:val="00D82A34"/>
    <w:rsid w:val="00D836EA"/>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1A7E"/>
    <w:rsid w:val="00DB43AC"/>
    <w:rsid w:val="00DB55B9"/>
    <w:rsid w:val="00DB73E3"/>
    <w:rsid w:val="00DC0438"/>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277"/>
    <w:rsid w:val="00DF176B"/>
    <w:rsid w:val="00DF3B08"/>
    <w:rsid w:val="00DF507F"/>
    <w:rsid w:val="00E01674"/>
    <w:rsid w:val="00E04068"/>
    <w:rsid w:val="00E04144"/>
    <w:rsid w:val="00E04581"/>
    <w:rsid w:val="00E0622F"/>
    <w:rsid w:val="00E13221"/>
    <w:rsid w:val="00E13930"/>
    <w:rsid w:val="00E13FDC"/>
    <w:rsid w:val="00E15121"/>
    <w:rsid w:val="00E1525B"/>
    <w:rsid w:val="00E15C10"/>
    <w:rsid w:val="00E15EAE"/>
    <w:rsid w:val="00E16B52"/>
    <w:rsid w:val="00E23BB3"/>
    <w:rsid w:val="00E240A1"/>
    <w:rsid w:val="00E26472"/>
    <w:rsid w:val="00E3062D"/>
    <w:rsid w:val="00E31FD8"/>
    <w:rsid w:val="00E3247E"/>
    <w:rsid w:val="00E3631E"/>
    <w:rsid w:val="00E363AC"/>
    <w:rsid w:val="00E364D1"/>
    <w:rsid w:val="00E36A11"/>
    <w:rsid w:val="00E36D82"/>
    <w:rsid w:val="00E40EB6"/>
    <w:rsid w:val="00E421B5"/>
    <w:rsid w:val="00E42B82"/>
    <w:rsid w:val="00E42E94"/>
    <w:rsid w:val="00E50907"/>
    <w:rsid w:val="00E5198E"/>
    <w:rsid w:val="00E54694"/>
    <w:rsid w:val="00E553A3"/>
    <w:rsid w:val="00E55CB4"/>
    <w:rsid w:val="00E56781"/>
    <w:rsid w:val="00E579E7"/>
    <w:rsid w:val="00E64414"/>
    <w:rsid w:val="00E65761"/>
    <w:rsid w:val="00E733CB"/>
    <w:rsid w:val="00E82B9B"/>
    <w:rsid w:val="00E83979"/>
    <w:rsid w:val="00E85AD7"/>
    <w:rsid w:val="00E87224"/>
    <w:rsid w:val="00E87FDF"/>
    <w:rsid w:val="00E905EF"/>
    <w:rsid w:val="00E9095B"/>
    <w:rsid w:val="00E91C41"/>
    <w:rsid w:val="00E91CEE"/>
    <w:rsid w:val="00E94574"/>
    <w:rsid w:val="00E9477B"/>
    <w:rsid w:val="00E95325"/>
    <w:rsid w:val="00E95E9C"/>
    <w:rsid w:val="00E96BDD"/>
    <w:rsid w:val="00E96D4E"/>
    <w:rsid w:val="00E970F5"/>
    <w:rsid w:val="00EA28BA"/>
    <w:rsid w:val="00EA6FEC"/>
    <w:rsid w:val="00EB089E"/>
    <w:rsid w:val="00EB354A"/>
    <w:rsid w:val="00EB5E55"/>
    <w:rsid w:val="00EB7541"/>
    <w:rsid w:val="00EC026F"/>
    <w:rsid w:val="00EC2A72"/>
    <w:rsid w:val="00EC3A1D"/>
    <w:rsid w:val="00EC4061"/>
    <w:rsid w:val="00EC4518"/>
    <w:rsid w:val="00EC5FB2"/>
    <w:rsid w:val="00EC7638"/>
    <w:rsid w:val="00ED3C56"/>
    <w:rsid w:val="00ED687A"/>
    <w:rsid w:val="00ED69CC"/>
    <w:rsid w:val="00EE62E7"/>
    <w:rsid w:val="00EE7B82"/>
    <w:rsid w:val="00EF0662"/>
    <w:rsid w:val="00EF11B7"/>
    <w:rsid w:val="00EF1C74"/>
    <w:rsid w:val="00EF21CF"/>
    <w:rsid w:val="00EF2876"/>
    <w:rsid w:val="00EF6DFB"/>
    <w:rsid w:val="00EF7342"/>
    <w:rsid w:val="00EF7E83"/>
    <w:rsid w:val="00F02F40"/>
    <w:rsid w:val="00F0322F"/>
    <w:rsid w:val="00F0333A"/>
    <w:rsid w:val="00F07440"/>
    <w:rsid w:val="00F074BE"/>
    <w:rsid w:val="00F074E3"/>
    <w:rsid w:val="00F07E76"/>
    <w:rsid w:val="00F12BFD"/>
    <w:rsid w:val="00F13A83"/>
    <w:rsid w:val="00F1651E"/>
    <w:rsid w:val="00F22237"/>
    <w:rsid w:val="00F2284E"/>
    <w:rsid w:val="00F241B8"/>
    <w:rsid w:val="00F2464E"/>
    <w:rsid w:val="00F25683"/>
    <w:rsid w:val="00F25B70"/>
    <w:rsid w:val="00F25C72"/>
    <w:rsid w:val="00F306FF"/>
    <w:rsid w:val="00F3170B"/>
    <w:rsid w:val="00F3396E"/>
    <w:rsid w:val="00F35FC7"/>
    <w:rsid w:val="00F36577"/>
    <w:rsid w:val="00F371DC"/>
    <w:rsid w:val="00F4013B"/>
    <w:rsid w:val="00F40744"/>
    <w:rsid w:val="00F43E15"/>
    <w:rsid w:val="00F469EA"/>
    <w:rsid w:val="00F46B2E"/>
    <w:rsid w:val="00F46C4E"/>
    <w:rsid w:val="00F46F35"/>
    <w:rsid w:val="00F507D7"/>
    <w:rsid w:val="00F5213E"/>
    <w:rsid w:val="00F530E4"/>
    <w:rsid w:val="00F56B10"/>
    <w:rsid w:val="00F57467"/>
    <w:rsid w:val="00F61282"/>
    <w:rsid w:val="00F66819"/>
    <w:rsid w:val="00F704C5"/>
    <w:rsid w:val="00F704C6"/>
    <w:rsid w:val="00F75FF1"/>
    <w:rsid w:val="00F76A45"/>
    <w:rsid w:val="00F80786"/>
    <w:rsid w:val="00F81974"/>
    <w:rsid w:val="00F83322"/>
    <w:rsid w:val="00F8478F"/>
    <w:rsid w:val="00F86430"/>
    <w:rsid w:val="00F86AF9"/>
    <w:rsid w:val="00F9130B"/>
    <w:rsid w:val="00F94280"/>
    <w:rsid w:val="00F94B75"/>
    <w:rsid w:val="00F95AEC"/>
    <w:rsid w:val="00F9755D"/>
    <w:rsid w:val="00FA0463"/>
    <w:rsid w:val="00FA1DD2"/>
    <w:rsid w:val="00FA43E4"/>
    <w:rsid w:val="00FA786E"/>
    <w:rsid w:val="00FB1660"/>
    <w:rsid w:val="00FB2678"/>
    <w:rsid w:val="00FB6359"/>
    <w:rsid w:val="00FB64CA"/>
    <w:rsid w:val="00FB704B"/>
    <w:rsid w:val="00FB7DC9"/>
    <w:rsid w:val="00FC0A10"/>
    <w:rsid w:val="00FC1719"/>
    <w:rsid w:val="00FC496D"/>
    <w:rsid w:val="00FC63E5"/>
    <w:rsid w:val="00FD04BD"/>
    <w:rsid w:val="00FD12BF"/>
    <w:rsid w:val="00FD2978"/>
    <w:rsid w:val="00FD36F3"/>
    <w:rsid w:val="00FD54A0"/>
    <w:rsid w:val="00FD5AAF"/>
    <w:rsid w:val="00FE0A9B"/>
    <w:rsid w:val="00FE0D3F"/>
    <w:rsid w:val="00FE2869"/>
    <w:rsid w:val="00FE2D30"/>
    <w:rsid w:val="00FE4F26"/>
    <w:rsid w:val="00FE5728"/>
    <w:rsid w:val="00FE591D"/>
    <w:rsid w:val="00FF2BD4"/>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8B8A3"/>
  <w14:defaultImageDpi w14:val="0"/>
  <w15:docId w15:val="{21BEF8AE-D212-4FC2-B03E-EEAFEAF4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qFormat/>
    <w:rsid w:val="00053DF0"/>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paragraph" w:styleId="Textbubliny">
    <w:name w:val="Balloon Text"/>
    <w:basedOn w:val="Normlny"/>
    <w:link w:val="TextbublinyChar"/>
    <w:uiPriority w:val="99"/>
    <w:semiHidden/>
    <w:unhideWhenUsed/>
    <w:rsid w:val="008A0F6D"/>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A0F6D"/>
    <w:rPr>
      <w:rFonts w:ascii="Segoe UI" w:hAnsi="Segoe UI" w:cs="Segoe UI"/>
      <w:sz w:val="18"/>
      <w:szCs w:val="18"/>
    </w:rPr>
  </w:style>
  <w:style w:type="paragraph" w:styleId="Odsekzoznamu">
    <w:name w:val="List Paragraph"/>
    <w:basedOn w:val="Normlny"/>
    <w:uiPriority w:val="34"/>
    <w:qFormat/>
    <w:rsid w:val="002614F6"/>
    <w:pPr>
      <w:ind w:left="720"/>
      <w:contextualSpacing/>
    </w:pPr>
  </w:style>
  <w:style w:type="table" w:styleId="Mriekatabuky">
    <w:name w:val="Table Grid"/>
    <w:basedOn w:val="Normlnatabuka"/>
    <w:rsid w:val="002614F6"/>
    <w:pPr>
      <w:spacing w:after="0" w:line="240" w:lineRule="auto"/>
    </w:pPr>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E2D1C"/>
    <w:rPr>
      <w:rFonts w:cs="Times New Roman"/>
      <w:color w:val="0000FF" w:themeColor="hyperlink"/>
      <w:u w:val="single"/>
    </w:rPr>
  </w:style>
  <w:style w:type="character" w:styleId="Odkaznapoznmkupodiarou">
    <w:name w:val="footnote reference"/>
    <w:basedOn w:val="Predvolenpsmoodseku"/>
    <w:uiPriority w:val="99"/>
    <w:rsid w:val="00EB354A"/>
    <w:rPr>
      <w:rFonts w:cs="Times New Roman"/>
      <w:vertAlign w:val="superscript"/>
    </w:rPr>
  </w:style>
  <w:style w:type="character" w:customStyle="1" w:styleId="Nadpis4Char">
    <w:name w:val="Nadpis 4 Char"/>
    <w:basedOn w:val="Predvolenpsmoodseku"/>
    <w:link w:val="Nadpis4"/>
    <w:rsid w:val="00053DF0"/>
    <w:rPr>
      <w:b/>
      <w:smallCaps/>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44907">
      <w:marLeft w:val="0"/>
      <w:marRight w:val="0"/>
      <w:marTop w:val="0"/>
      <w:marBottom w:val="0"/>
      <w:divBdr>
        <w:top w:val="none" w:sz="0" w:space="0" w:color="auto"/>
        <w:left w:val="none" w:sz="0" w:space="0" w:color="auto"/>
        <w:bottom w:val="none" w:sz="0" w:space="0" w:color="auto"/>
        <w:right w:val="none" w:sz="0" w:space="0" w:color="auto"/>
      </w:divBdr>
    </w:div>
    <w:div w:id="981544908">
      <w:marLeft w:val="0"/>
      <w:marRight w:val="0"/>
      <w:marTop w:val="0"/>
      <w:marBottom w:val="0"/>
      <w:divBdr>
        <w:top w:val="none" w:sz="0" w:space="0" w:color="auto"/>
        <w:left w:val="none" w:sz="0" w:space="0" w:color="auto"/>
        <w:bottom w:val="none" w:sz="0" w:space="0" w:color="auto"/>
        <w:right w:val="none" w:sz="0" w:space="0" w:color="auto"/>
      </w:divBdr>
    </w:div>
    <w:div w:id="981544909">
      <w:marLeft w:val="0"/>
      <w:marRight w:val="0"/>
      <w:marTop w:val="0"/>
      <w:marBottom w:val="0"/>
      <w:divBdr>
        <w:top w:val="none" w:sz="0" w:space="0" w:color="auto"/>
        <w:left w:val="none" w:sz="0" w:space="0" w:color="auto"/>
        <w:bottom w:val="none" w:sz="0" w:space="0" w:color="auto"/>
        <w:right w:val="none" w:sz="0" w:space="0" w:color="auto"/>
      </w:divBdr>
      <w:divsChild>
        <w:div w:id="981544910">
          <w:marLeft w:val="0"/>
          <w:marRight w:val="0"/>
          <w:marTop w:val="0"/>
          <w:marBottom w:val="0"/>
          <w:divBdr>
            <w:top w:val="none" w:sz="0" w:space="0" w:color="auto"/>
            <w:left w:val="none" w:sz="0" w:space="0" w:color="auto"/>
            <w:bottom w:val="none" w:sz="0" w:space="0" w:color="auto"/>
            <w:right w:val="none" w:sz="0" w:space="0" w:color="auto"/>
          </w:divBdr>
        </w:div>
      </w:divsChild>
    </w:div>
    <w:div w:id="981544911">
      <w:marLeft w:val="0"/>
      <w:marRight w:val="0"/>
      <w:marTop w:val="0"/>
      <w:marBottom w:val="0"/>
      <w:divBdr>
        <w:top w:val="none" w:sz="0" w:space="0" w:color="auto"/>
        <w:left w:val="none" w:sz="0" w:space="0" w:color="auto"/>
        <w:bottom w:val="none" w:sz="0" w:space="0" w:color="auto"/>
        <w:right w:val="none" w:sz="0" w:space="0" w:color="auto"/>
      </w:divBdr>
    </w:div>
    <w:div w:id="981544912">
      <w:marLeft w:val="0"/>
      <w:marRight w:val="0"/>
      <w:marTop w:val="0"/>
      <w:marBottom w:val="0"/>
      <w:divBdr>
        <w:top w:val="none" w:sz="0" w:space="0" w:color="auto"/>
        <w:left w:val="none" w:sz="0" w:space="0" w:color="auto"/>
        <w:bottom w:val="none" w:sz="0" w:space="0" w:color="auto"/>
        <w:right w:val="none" w:sz="0" w:space="0" w:color="auto"/>
      </w:divBdr>
    </w:div>
    <w:div w:id="981544913">
      <w:marLeft w:val="0"/>
      <w:marRight w:val="0"/>
      <w:marTop w:val="0"/>
      <w:marBottom w:val="0"/>
      <w:divBdr>
        <w:top w:val="none" w:sz="0" w:space="0" w:color="auto"/>
        <w:left w:val="none" w:sz="0" w:space="0" w:color="auto"/>
        <w:bottom w:val="none" w:sz="0" w:space="0" w:color="auto"/>
        <w:right w:val="none" w:sz="0" w:space="0" w:color="auto"/>
      </w:divBdr>
    </w:div>
    <w:div w:id="981544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ichal.hysek@mindop.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6.8.2018 10:34:28"/>
    <f:field ref="objchangedby" par="" text="Administrator, System"/>
    <f:field ref="objmodifiedat" par="" text="6.8.2018 10:34:32"/>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16472FB-01AD-4870-8524-E5E5196A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8</Pages>
  <Words>4595</Words>
  <Characters>26197</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subject/>
  <dc:creator>Michal.Hysek@mindop.sk</dc:creator>
  <cp:keywords/>
  <dc:description/>
  <cp:lastModifiedBy>Hýsek, Michal</cp:lastModifiedBy>
  <cp:revision>129</cp:revision>
  <cp:lastPrinted>2018-08-23T08:34:00Z</cp:lastPrinted>
  <dcterms:created xsi:type="dcterms:W3CDTF">2018-11-07T15:57:00Z</dcterms:created>
  <dcterms:modified xsi:type="dcterms:W3CDTF">2019-11-18T05:10:00Z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Finančné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Michala Borovská</vt:lpwstr>
  </property>
  <property fmtid="{D5CDD505-2E9C-101B-9397-08002B2CF9AE}" pid="9" name="FSC#SKEDITIONSLOVLEX@103.510:zodppredkladatel">
    <vt:lpwstr>Ing. Peter Žiga</vt:lpwstr>
  </property>
  <property fmtid="{D5CDD505-2E9C-101B-9397-08002B2CF9AE}" pid="10" name="FSC#SKEDITIONSLOVLEX@103.510:nazovpredpis">
    <vt:lpwstr>, ktorým sa mení a dopĺňa zákon č. 71/2013 Z. z. o poskytovaní dotácií v pôsobnosti Ministerstva hospodárstva Slovenskej republiky v znení neskorších predpisov a ktorým sa mení zákon č. 290/2016 Z. z. o podpore malého a stredného podnikania a o zmene a d</vt:lpwstr>
  </property>
  <property fmtid="{D5CDD505-2E9C-101B-9397-08002B2CF9AE}" pid="11" name="FSC#SKEDITIONSLOVLEX@103.510:cislopredpis">
    <vt:lpwstr/>
  </property>
  <property fmtid="{D5CDD505-2E9C-101B-9397-08002B2CF9AE}" pid="12" name="FSC#SKEDITIONSLOVLEX@103.510:zodpinstitucia">
    <vt:lpwstr>Ministerstvo hospodárstva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Úloha B.6. z uznesenia vlády SR č. 153 z 5. apríla 2017_x000d__x000d_</vt:lpwstr>
  </property>
  <property fmtid="{D5CDD505-2E9C-101B-9397-08002B2CF9AE}" pid="16" name="FSC#SKEDITIONSLOVLEX@103.510:plnynazovpredpis">
    <vt:lpwstr> Zákon, ktorým sa mení a dopĺňa zákon č. 71/2013 Z. z. o poskytovaní dotácií v pôsobnosti Ministerstva hospodárstva Slovenskej republiky v znení neskorších predpisov a ktorým sa mení zákon č. 290/2016 Z. z. o podpore malého a stredného podnikania a o zmen</vt:lpwstr>
  </property>
  <property fmtid="{D5CDD505-2E9C-101B-9397-08002B2CF9AE}" pid="17" name="FSC#SKEDITIONSLOVLEX@103.510:rezortcislopredpis">
    <vt:lpwstr>16251/2018-2062-30690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LP/2018/403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Zmluva o fungovaní Európskej únie – článok 114 Aproximácia práva </vt:lpwstr>
  </property>
  <property fmtid="{D5CDD505-2E9C-101B-9397-08002B2CF9AE}" pid="37" name="FSC#SKEDITIONSLOVLEX@103.510:AttrStrListDocPropSekundarneLegPravoPO">
    <vt:lpwstr>Smernica Európskeho parlamentu a Rady 2012/27/EÚ z 25. októbra 2012 o energetickej efektívnosti, ktorou sa menia a dopĺňajú smernice 2009/125/ES a 2010/30/EÚ a ktorou sa zrušujú smernice 2004/8/ES a 2006/32/ES (Ú. v. EÚ L 315, 14.11.2012)_x000d__x000d_Smernica Európs</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1._Smernica Európskeho parlamentu a Rady 2009/28/ES z 23. apríla 2009 o podpore využívania energie z obnoviteľných zdrojov energie a o zmene a doplnení a následnom zrušení smerníc 2001/77/ES a 2003/30/ES (Ú. v. EÚ L 140, 5. 6. 2009)</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hospodárstva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Návrhom zákona sa rozširuje okruh oprávnených prijímateľov dotácie na podporu ochrany spotrebiteľa podľa § 2 písm. d) zákona č. 71/2013 Z. z. Vymedzenie tohto okruhu v § 6 tohto zákona sa zosúlaďuje s vymedzením pojmu „združenie“, resp. spotrebiteľské zdr</vt:lpwstr>
  </property>
  <property fmtid="{D5CDD505-2E9C-101B-9397-08002B2CF9AE}" pid="56" name="FSC#SKEDITIONSLOVLEX@103.510:AttrStrListDocPropAltRiesenia">
    <vt:lpwstr>Nie sú žiadne alternatívne riešenia</vt:lpwstr>
  </property>
  <property fmtid="{D5CDD505-2E9C-101B-9397-08002B2CF9AE}" pid="57" name="FSC#SKEDITIONSLOVLEX@103.510:AttrStrListDocPropStanoviskoGest">
    <vt:lpwstr>Materiál v súlade s Jednotnou metodikou na posudzovanie vybraných vplyvov nebol predmetom PPK.</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republiky_x000d__x000d_minister hospodárstva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71/2013 Z. z. o poskytovaní dotácií &amp;nbsp;&amp;nbsp;&amp;nbsp;v pôsobnosti Ministerstva hospodárstva Slovenskej republiky v znení neskorších predpisov &amp;nbsp;&amp;nbsp;&amp;nbsp;&amp;nbsp;a mení zá</vt:lpwstr>
  </property>
  <property fmtid="{D5CDD505-2E9C-101B-9397-08002B2CF9AE}" pid="130" name="FSC#COOSYSTEM@1.1:Container">
    <vt:lpwstr>COO.2145.1000.3.2909874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style="width: 631px;" width="631"&gt;_&lt;tbody&gt;__&lt;tr&gt;___&lt;td colspan="5" style="width: 631px; height: 16px;"&gt;___&lt;p align="center"&gt;&lt;strong&gt;Správa o účasti verejnosti na tvorbe právneho predpisu&lt;/strong&gt;&lt;/p&gt;___&lt;p&gt;</vt:lpwstr>
  </property>
  <property fmtid="{D5CDD505-2E9C-101B-9397-08002B2CF9AE}" pid="134" name="FSC#SKEDITIONSLOVLEX@103.510:cisloparlamenttlac">
    <vt:lpwstr/>
  </property>
  <property fmtid="{D5CDD505-2E9C-101B-9397-08002B2CF9AE}" pid="135" name="FSC#SKEDITIONSLOVLEX@103.510:nazovpredpis1">
    <vt:lpwstr>oplnení zákona č. 71/2013 Z. z. o poskytovaní dotácií v pôsobnosti Ministerstva hospodárstva Slovenskej republiky v znení neskorších predpisov v znení zákona č. 177/2018 Z. z.</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e a doplnení zákona č. 71/2013 Z. z. o poskytovaní dotácií v pôsobnosti Ministerstva hospodárstva Slovenskej republiky v znení neskorších predpisov v znení zákona č. 177/2018 Z. z.</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hospodárstva Slovenskej republiky</vt:lpwstr>
  </property>
  <property fmtid="{D5CDD505-2E9C-101B-9397-08002B2CF9AE}" pid="145" name="FSC#SKEDITIONSLOVLEX@103.510:funkciaZodpPredAkuzativ">
    <vt:lpwstr>ministerovi hospodárstva Slovenskej republiky</vt:lpwstr>
  </property>
  <property fmtid="{D5CDD505-2E9C-101B-9397-08002B2CF9AE}" pid="146" name="FSC#SKEDITIONSLOVLEX@103.510:funkciaZodpPredDativ">
    <vt:lpwstr>ministera hospodárstva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Peter Žiga_x000d__x000d_minister hospodárstva Slovenskej republiky</vt:lpwstr>
  </property>
  <property fmtid="{D5CDD505-2E9C-101B-9397-08002B2CF9AE}" pid="151" name="FSC#SKEDITIONSLOVLEX@103.510:aktualnyrok">
    <vt:lpwstr>2018</vt:lpwstr>
  </property>
  <property fmtid="{D5CDD505-2E9C-101B-9397-08002B2CF9AE}" pid="152" name="FSC#SKEDITIONSLOVLEX@103.510:vytvorenedna">
    <vt:lpwstr>6. 8. 2018</vt:lpwstr>
  </property>
</Properties>
</file>