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4E" w:rsidRPr="000A3A93" w:rsidRDefault="008E1C4E" w:rsidP="008E1C4E">
      <w:pPr>
        <w:jc w:val="center"/>
        <w:rPr>
          <w:b/>
          <w:caps/>
          <w:spacing w:val="20"/>
          <w:sz w:val="18"/>
          <w:szCs w:val="18"/>
        </w:rPr>
      </w:pPr>
      <w:r w:rsidRPr="000A3A93">
        <w:rPr>
          <w:b/>
          <w:caps/>
          <w:spacing w:val="20"/>
          <w:sz w:val="18"/>
          <w:szCs w:val="18"/>
        </w:rPr>
        <w:t>Tabuľka zhody</w:t>
      </w:r>
    </w:p>
    <w:p w:rsidR="008E1C4E" w:rsidRPr="000A3A93" w:rsidRDefault="008E1C4E" w:rsidP="008E1C4E">
      <w:pPr>
        <w:jc w:val="center"/>
        <w:rPr>
          <w:b/>
          <w:sz w:val="18"/>
          <w:szCs w:val="18"/>
        </w:rPr>
      </w:pPr>
      <w:r w:rsidRPr="000A3A93">
        <w:rPr>
          <w:b/>
          <w:sz w:val="18"/>
          <w:szCs w:val="18"/>
        </w:rPr>
        <w:t>právneho predpisu</w:t>
      </w:r>
    </w:p>
    <w:p w:rsidR="008E1C4E" w:rsidRPr="000A3A93" w:rsidRDefault="008E1C4E" w:rsidP="008E1C4E">
      <w:pPr>
        <w:jc w:val="center"/>
        <w:rPr>
          <w:b/>
          <w:bCs/>
          <w:sz w:val="18"/>
          <w:szCs w:val="18"/>
        </w:rPr>
      </w:pPr>
      <w:r w:rsidRPr="000A3A93">
        <w:rPr>
          <w:b/>
          <w:bCs/>
          <w:sz w:val="18"/>
          <w:szCs w:val="18"/>
        </w:rPr>
        <w:t>s  právom Európskej únie</w:t>
      </w:r>
    </w:p>
    <w:p w:rsidR="008E1C4E" w:rsidRPr="000A3A93" w:rsidRDefault="008E1C4E" w:rsidP="008E1C4E">
      <w:pPr>
        <w:rPr>
          <w:b/>
          <w:sz w:val="18"/>
          <w:szCs w:val="18"/>
        </w:rPr>
      </w:pP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245"/>
        <w:gridCol w:w="668"/>
        <w:gridCol w:w="630"/>
        <w:gridCol w:w="687"/>
        <w:gridCol w:w="5244"/>
        <w:gridCol w:w="567"/>
        <w:gridCol w:w="1701"/>
      </w:tblGrid>
      <w:tr w:rsidR="008E1C4E" w:rsidRPr="000A3A93" w:rsidTr="008E1C4E">
        <w:tc>
          <w:tcPr>
            <w:tcW w:w="6067" w:type="dxa"/>
            <w:gridSpan w:val="2"/>
            <w:shd w:val="clear" w:color="auto" w:fill="auto"/>
          </w:tcPr>
          <w:p w:rsidR="008E1C4E" w:rsidRPr="000A3A93" w:rsidRDefault="008E1C4E" w:rsidP="003925CB">
            <w:pPr>
              <w:jc w:val="center"/>
              <w:rPr>
                <w:bCs/>
                <w:sz w:val="18"/>
                <w:szCs w:val="18"/>
              </w:rPr>
            </w:pPr>
          </w:p>
          <w:p w:rsidR="008E1C4E" w:rsidRPr="000A3A93" w:rsidRDefault="008E1C4E" w:rsidP="003925CB">
            <w:pPr>
              <w:jc w:val="center"/>
              <w:rPr>
                <w:sz w:val="18"/>
                <w:szCs w:val="18"/>
              </w:rPr>
            </w:pPr>
            <w:r w:rsidRPr="000A3A93">
              <w:rPr>
                <w:sz w:val="18"/>
                <w:szCs w:val="18"/>
              </w:rPr>
              <w:t>Smernica Európskeho parlamentu a Rady 2006/118/ES z 12. decembra 2006 o ochrane podzemných vôd pred znečistením a zhoršením kvality</w:t>
            </w:r>
          </w:p>
        </w:tc>
        <w:tc>
          <w:tcPr>
            <w:tcW w:w="9497" w:type="dxa"/>
            <w:gridSpan w:val="6"/>
            <w:shd w:val="clear" w:color="auto" w:fill="auto"/>
          </w:tcPr>
          <w:p w:rsidR="008E1C4E" w:rsidRPr="000A3A93" w:rsidRDefault="008E1C4E" w:rsidP="003925CB">
            <w:pPr>
              <w:rPr>
                <w:sz w:val="18"/>
                <w:szCs w:val="18"/>
              </w:rPr>
            </w:pPr>
            <w:r w:rsidRPr="000A3A93">
              <w:rPr>
                <w:sz w:val="18"/>
                <w:szCs w:val="18"/>
              </w:rPr>
              <w:t>Právne predpisy Slovenskej republiky:</w:t>
            </w:r>
          </w:p>
          <w:p w:rsidR="008E1C4E" w:rsidRPr="000A3A93" w:rsidRDefault="008E1C4E" w:rsidP="000A3A93">
            <w:pPr>
              <w:rPr>
                <w:bCs/>
                <w:sz w:val="18"/>
                <w:szCs w:val="18"/>
              </w:rPr>
            </w:pPr>
            <w:r w:rsidRPr="000A3A93">
              <w:rPr>
                <w:bCs/>
                <w:sz w:val="18"/>
                <w:szCs w:val="18"/>
              </w:rPr>
              <w:t>zákon č. 364/2004 Z. z. o vodách a o zmene zákona Slovenskej národnej rady č. 372/1990 Zb. o priestupkoch v znení neskorších prepisov (vodný zákon) v znení neskorších predpisov</w:t>
            </w:r>
            <w:r w:rsidR="000A3A93" w:rsidRPr="000A3A93">
              <w:rPr>
                <w:bCs/>
                <w:sz w:val="18"/>
                <w:szCs w:val="18"/>
              </w:rPr>
              <w:t xml:space="preserve"> (364/2004)</w:t>
            </w:r>
            <w:r w:rsidRPr="000A3A93">
              <w:rPr>
                <w:bCs/>
                <w:sz w:val="18"/>
                <w:szCs w:val="18"/>
              </w:rPr>
              <w:t>;</w:t>
            </w:r>
          </w:p>
          <w:p w:rsidR="008E1C4E" w:rsidRPr="000A3A93" w:rsidRDefault="000A3A93" w:rsidP="003925CB">
            <w:pPr>
              <w:rPr>
                <w:bCs/>
                <w:color w:val="00B050"/>
                <w:sz w:val="18"/>
                <w:szCs w:val="18"/>
              </w:rPr>
            </w:pPr>
            <w:r w:rsidRPr="000A3A93">
              <w:rPr>
                <w:bCs/>
                <w:sz w:val="18"/>
                <w:szCs w:val="18"/>
              </w:rPr>
              <w:t>návrh nariadenia vlády Slovenskej republiky, ktorým sa mení a dopĺňa nariadenie vlády Slovenskej republiky č. 282/2010 Z. z., ktorým sa ustanovujú prahové hodnoty a zoznam útvarov podzemných vôd (NNV)</w:t>
            </w:r>
          </w:p>
        </w:tc>
      </w:tr>
      <w:tr w:rsidR="008E1C4E" w:rsidRPr="000A3A93" w:rsidTr="008E1C4E">
        <w:tc>
          <w:tcPr>
            <w:tcW w:w="822" w:type="dxa"/>
            <w:shd w:val="clear" w:color="auto" w:fill="auto"/>
          </w:tcPr>
          <w:p w:rsidR="008E1C4E" w:rsidRPr="000A3A93" w:rsidRDefault="008E1C4E" w:rsidP="003925CB">
            <w:pPr>
              <w:jc w:val="center"/>
              <w:rPr>
                <w:sz w:val="18"/>
                <w:szCs w:val="18"/>
              </w:rPr>
            </w:pPr>
            <w:r w:rsidRPr="000A3A93">
              <w:rPr>
                <w:sz w:val="18"/>
                <w:szCs w:val="18"/>
              </w:rPr>
              <w:t>1</w:t>
            </w:r>
          </w:p>
        </w:tc>
        <w:tc>
          <w:tcPr>
            <w:tcW w:w="5245" w:type="dxa"/>
            <w:shd w:val="clear" w:color="auto" w:fill="auto"/>
          </w:tcPr>
          <w:p w:rsidR="008E1C4E" w:rsidRPr="000A3A93" w:rsidRDefault="008E1C4E" w:rsidP="003925CB">
            <w:pPr>
              <w:jc w:val="center"/>
              <w:rPr>
                <w:sz w:val="18"/>
                <w:szCs w:val="18"/>
              </w:rPr>
            </w:pPr>
            <w:r w:rsidRPr="000A3A93">
              <w:rPr>
                <w:sz w:val="18"/>
                <w:szCs w:val="18"/>
              </w:rPr>
              <w:t>2</w:t>
            </w:r>
          </w:p>
        </w:tc>
        <w:tc>
          <w:tcPr>
            <w:tcW w:w="668" w:type="dxa"/>
            <w:shd w:val="clear" w:color="auto" w:fill="auto"/>
          </w:tcPr>
          <w:p w:rsidR="008E1C4E" w:rsidRPr="000A3A93" w:rsidRDefault="008E1C4E" w:rsidP="003925CB">
            <w:pPr>
              <w:jc w:val="center"/>
              <w:rPr>
                <w:sz w:val="18"/>
                <w:szCs w:val="18"/>
              </w:rPr>
            </w:pPr>
            <w:r w:rsidRPr="000A3A93">
              <w:rPr>
                <w:sz w:val="18"/>
                <w:szCs w:val="18"/>
              </w:rPr>
              <w:t>3</w:t>
            </w:r>
          </w:p>
        </w:tc>
        <w:tc>
          <w:tcPr>
            <w:tcW w:w="630" w:type="dxa"/>
            <w:shd w:val="clear" w:color="auto" w:fill="auto"/>
          </w:tcPr>
          <w:p w:rsidR="008E1C4E" w:rsidRPr="000A3A93" w:rsidRDefault="008E1C4E" w:rsidP="003925CB">
            <w:pPr>
              <w:jc w:val="center"/>
              <w:rPr>
                <w:sz w:val="18"/>
                <w:szCs w:val="18"/>
              </w:rPr>
            </w:pPr>
            <w:r w:rsidRPr="000A3A93">
              <w:rPr>
                <w:sz w:val="18"/>
                <w:szCs w:val="18"/>
              </w:rPr>
              <w:t>4</w:t>
            </w:r>
          </w:p>
        </w:tc>
        <w:tc>
          <w:tcPr>
            <w:tcW w:w="687" w:type="dxa"/>
            <w:shd w:val="clear" w:color="auto" w:fill="auto"/>
          </w:tcPr>
          <w:p w:rsidR="008E1C4E" w:rsidRPr="000A3A93" w:rsidRDefault="008E1C4E" w:rsidP="003925CB">
            <w:pPr>
              <w:jc w:val="center"/>
              <w:rPr>
                <w:sz w:val="18"/>
                <w:szCs w:val="18"/>
              </w:rPr>
            </w:pPr>
            <w:r w:rsidRPr="000A3A93">
              <w:rPr>
                <w:sz w:val="18"/>
                <w:szCs w:val="18"/>
              </w:rPr>
              <w:t>5</w:t>
            </w:r>
          </w:p>
        </w:tc>
        <w:tc>
          <w:tcPr>
            <w:tcW w:w="5244" w:type="dxa"/>
            <w:shd w:val="clear" w:color="auto" w:fill="auto"/>
          </w:tcPr>
          <w:p w:rsidR="008E1C4E" w:rsidRPr="000A3A93" w:rsidRDefault="008E1C4E" w:rsidP="003925CB">
            <w:pPr>
              <w:jc w:val="center"/>
              <w:rPr>
                <w:sz w:val="18"/>
                <w:szCs w:val="18"/>
              </w:rPr>
            </w:pPr>
            <w:r w:rsidRPr="000A3A93">
              <w:rPr>
                <w:sz w:val="18"/>
                <w:szCs w:val="18"/>
              </w:rPr>
              <w:t>6</w:t>
            </w:r>
          </w:p>
        </w:tc>
        <w:tc>
          <w:tcPr>
            <w:tcW w:w="567" w:type="dxa"/>
            <w:shd w:val="clear" w:color="auto" w:fill="auto"/>
          </w:tcPr>
          <w:p w:rsidR="008E1C4E" w:rsidRPr="000A3A93" w:rsidRDefault="008E1C4E" w:rsidP="003925CB">
            <w:pPr>
              <w:jc w:val="center"/>
              <w:rPr>
                <w:sz w:val="18"/>
                <w:szCs w:val="18"/>
              </w:rPr>
            </w:pPr>
            <w:r w:rsidRPr="000A3A93">
              <w:rPr>
                <w:sz w:val="18"/>
                <w:szCs w:val="18"/>
              </w:rPr>
              <w:t>7</w:t>
            </w:r>
          </w:p>
        </w:tc>
        <w:tc>
          <w:tcPr>
            <w:tcW w:w="1701" w:type="dxa"/>
            <w:shd w:val="clear" w:color="auto" w:fill="auto"/>
          </w:tcPr>
          <w:p w:rsidR="008E1C4E" w:rsidRPr="000A3A93" w:rsidRDefault="008E1C4E" w:rsidP="003925CB">
            <w:pPr>
              <w:jc w:val="center"/>
              <w:rPr>
                <w:sz w:val="18"/>
                <w:szCs w:val="18"/>
              </w:rPr>
            </w:pPr>
            <w:r w:rsidRPr="000A3A93">
              <w:rPr>
                <w:sz w:val="18"/>
                <w:szCs w:val="18"/>
              </w:rPr>
              <w:t>8</w:t>
            </w:r>
          </w:p>
        </w:tc>
      </w:tr>
      <w:tr w:rsidR="008E1C4E" w:rsidRPr="000A3A93" w:rsidTr="008E1C4E">
        <w:tc>
          <w:tcPr>
            <w:tcW w:w="822" w:type="dxa"/>
            <w:shd w:val="clear" w:color="auto" w:fill="auto"/>
          </w:tcPr>
          <w:p w:rsidR="008E1C4E" w:rsidRPr="000A3A93" w:rsidRDefault="008E1C4E" w:rsidP="003925CB">
            <w:pPr>
              <w:ind w:left="-144" w:right="-144"/>
              <w:jc w:val="center"/>
              <w:rPr>
                <w:sz w:val="18"/>
                <w:szCs w:val="18"/>
              </w:rPr>
            </w:pPr>
            <w:r w:rsidRPr="000A3A93">
              <w:rPr>
                <w:sz w:val="18"/>
                <w:szCs w:val="18"/>
              </w:rPr>
              <w:t>Článok</w:t>
            </w:r>
          </w:p>
          <w:p w:rsidR="008E1C4E" w:rsidRPr="000A3A93" w:rsidRDefault="008E1C4E" w:rsidP="003925CB">
            <w:pPr>
              <w:ind w:left="-144" w:right="-144"/>
              <w:jc w:val="center"/>
              <w:rPr>
                <w:sz w:val="18"/>
                <w:szCs w:val="18"/>
              </w:rPr>
            </w:pPr>
            <w:r w:rsidRPr="000A3A93">
              <w:rPr>
                <w:sz w:val="18"/>
                <w:szCs w:val="18"/>
              </w:rPr>
              <w:t>(Č, O, V, P)</w:t>
            </w:r>
          </w:p>
        </w:tc>
        <w:tc>
          <w:tcPr>
            <w:tcW w:w="5245" w:type="dxa"/>
            <w:shd w:val="clear" w:color="auto" w:fill="auto"/>
          </w:tcPr>
          <w:p w:rsidR="008E1C4E" w:rsidRPr="000A3A93" w:rsidRDefault="008E1C4E" w:rsidP="003925CB">
            <w:pPr>
              <w:ind w:left="-144" w:right="-144"/>
              <w:jc w:val="center"/>
              <w:rPr>
                <w:sz w:val="18"/>
                <w:szCs w:val="18"/>
              </w:rPr>
            </w:pPr>
            <w:r w:rsidRPr="000A3A93">
              <w:rPr>
                <w:sz w:val="18"/>
                <w:szCs w:val="18"/>
              </w:rPr>
              <w:t>Text</w:t>
            </w:r>
          </w:p>
        </w:tc>
        <w:tc>
          <w:tcPr>
            <w:tcW w:w="668" w:type="dxa"/>
            <w:shd w:val="clear" w:color="auto" w:fill="auto"/>
          </w:tcPr>
          <w:p w:rsidR="008E1C4E" w:rsidRPr="000A3A93" w:rsidRDefault="008E1C4E" w:rsidP="003925CB">
            <w:pPr>
              <w:ind w:left="-144" w:right="-144"/>
              <w:jc w:val="center"/>
              <w:rPr>
                <w:sz w:val="18"/>
                <w:szCs w:val="18"/>
              </w:rPr>
            </w:pPr>
            <w:r w:rsidRPr="000A3A93">
              <w:rPr>
                <w:sz w:val="18"/>
                <w:szCs w:val="18"/>
              </w:rPr>
              <w:t>Spôsob transpozície</w:t>
            </w:r>
          </w:p>
        </w:tc>
        <w:tc>
          <w:tcPr>
            <w:tcW w:w="630" w:type="dxa"/>
            <w:shd w:val="clear" w:color="auto" w:fill="auto"/>
          </w:tcPr>
          <w:p w:rsidR="008E1C4E" w:rsidRPr="000A3A93" w:rsidRDefault="008E1C4E" w:rsidP="003925CB">
            <w:pPr>
              <w:ind w:left="-144" w:right="-144"/>
              <w:jc w:val="center"/>
              <w:rPr>
                <w:sz w:val="18"/>
                <w:szCs w:val="18"/>
              </w:rPr>
            </w:pPr>
            <w:r w:rsidRPr="000A3A93">
              <w:rPr>
                <w:sz w:val="18"/>
                <w:szCs w:val="18"/>
              </w:rPr>
              <w:t>Číslo</w:t>
            </w:r>
          </w:p>
        </w:tc>
        <w:tc>
          <w:tcPr>
            <w:tcW w:w="687" w:type="dxa"/>
            <w:shd w:val="clear" w:color="auto" w:fill="auto"/>
          </w:tcPr>
          <w:p w:rsidR="008E1C4E" w:rsidRPr="000A3A93" w:rsidRDefault="008E1C4E" w:rsidP="003925CB">
            <w:pPr>
              <w:ind w:left="-144" w:right="-144"/>
              <w:jc w:val="center"/>
              <w:rPr>
                <w:sz w:val="18"/>
                <w:szCs w:val="18"/>
              </w:rPr>
            </w:pPr>
            <w:r w:rsidRPr="000A3A93">
              <w:rPr>
                <w:sz w:val="18"/>
                <w:szCs w:val="18"/>
              </w:rPr>
              <w:t>Článok</w:t>
            </w:r>
          </w:p>
          <w:p w:rsidR="008E1C4E" w:rsidRPr="000A3A93" w:rsidRDefault="008E1C4E" w:rsidP="003925CB">
            <w:pPr>
              <w:ind w:left="-144" w:right="-144"/>
              <w:jc w:val="center"/>
              <w:rPr>
                <w:sz w:val="18"/>
                <w:szCs w:val="18"/>
              </w:rPr>
            </w:pPr>
            <w:r w:rsidRPr="000A3A93">
              <w:rPr>
                <w:sz w:val="18"/>
                <w:szCs w:val="18"/>
              </w:rPr>
              <w:t>(Č, §, O, V, P)</w:t>
            </w:r>
          </w:p>
        </w:tc>
        <w:tc>
          <w:tcPr>
            <w:tcW w:w="5244" w:type="dxa"/>
            <w:shd w:val="clear" w:color="auto" w:fill="auto"/>
          </w:tcPr>
          <w:p w:rsidR="008E1C4E" w:rsidRPr="000A3A93" w:rsidRDefault="008E1C4E" w:rsidP="003925CB">
            <w:pPr>
              <w:ind w:left="-144" w:right="-144"/>
              <w:jc w:val="center"/>
              <w:rPr>
                <w:sz w:val="18"/>
                <w:szCs w:val="18"/>
              </w:rPr>
            </w:pPr>
            <w:r w:rsidRPr="000A3A93">
              <w:rPr>
                <w:sz w:val="18"/>
                <w:szCs w:val="18"/>
              </w:rPr>
              <w:t>Text</w:t>
            </w:r>
          </w:p>
        </w:tc>
        <w:tc>
          <w:tcPr>
            <w:tcW w:w="567" w:type="dxa"/>
            <w:shd w:val="clear" w:color="auto" w:fill="auto"/>
          </w:tcPr>
          <w:p w:rsidR="008E1C4E" w:rsidRPr="000A3A93" w:rsidRDefault="008E1C4E" w:rsidP="003925CB">
            <w:pPr>
              <w:ind w:left="-144" w:right="-144"/>
              <w:jc w:val="center"/>
              <w:rPr>
                <w:sz w:val="18"/>
                <w:szCs w:val="18"/>
              </w:rPr>
            </w:pPr>
            <w:r w:rsidRPr="000A3A93">
              <w:rPr>
                <w:sz w:val="18"/>
                <w:szCs w:val="18"/>
              </w:rPr>
              <w:t>Zhoda</w:t>
            </w:r>
          </w:p>
        </w:tc>
        <w:tc>
          <w:tcPr>
            <w:tcW w:w="1701" w:type="dxa"/>
            <w:shd w:val="clear" w:color="auto" w:fill="auto"/>
          </w:tcPr>
          <w:p w:rsidR="008E1C4E" w:rsidRPr="000A3A93" w:rsidRDefault="008E1C4E" w:rsidP="003925CB">
            <w:pPr>
              <w:ind w:left="-144" w:right="-144"/>
              <w:jc w:val="center"/>
              <w:rPr>
                <w:sz w:val="18"/>
                <w:szCs w:val="18"/>
              </w:rPr>
            </w:pPr>
            <w:r w:rsidRPr="000A3A93">
              <w:rPr>
                <w:sz w:val="18"/>
                <w:szCs w:val="18"/>
              </w:rPr>
              <w:t>Poznámky</w:t>
            </w:r>
          </w:p>
        </w:tc>
      </w:tr>
    </w:tbl>
    <w:p w:rsidR="001C0ACD" w:rsidRPr="000A3A93" w:rsidRDefault="001C0ACD">
      <w:pPr>
        <w:rPr>
          <w:sz w:val="18"/>
          <w:szCs w:val="18"/>
        </w:rPr>
      </w:pPr>
    </w:p>
    <w:tbl>
      <w:tblPr>
        <w:tblW w:w="1590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5245"/>
        <w:gridCol w:w="668"/>
        <w:gridCol w:w="630"/>
        <w:gridCol w:w="687"/>
        <w:gridCol w:w="5244"/>
        <w:gridCol w:w="567"/>
        <w:gridCol w:w="1869"/>
      </w:tblGrid>
      <w:tr w:rsidR="002C76F3" w:rsidRPr="000A3A93" w:rsidTr="002A40DA">
        <w:trPr>
          <w:cantSplit/>
          <w:trHeight w:val="270"/>
        </w:trPr>
        <w:tc>
          <w:tcPr>
            <w:tcW w:w="993" w:type="dxa"/>
            <w:tcBorders>
              <w:top w:val="single" w:sz="6" w:space="0" w:color="auto"/>
              <w:left w:val="single" w:sz="6" w:space="0" w:color="auto"/>
              <w:bottom w:val="single" w:sz="6" w:space="0" w:color="auto"/>
              <w:right w:val="single" w:sz="6" w:space="0" w:color="auto"/>
            </w:tcBorders>
          </w:tcPr>
          <w:p w:rsidR="003925CB" w:rsidRDefault="00B218B3" w:rsidP="003925CB">
            <w:pPr>
              <w:jc w:val="center"/>
              <w:rPr>
                <w:sz w:val="18"/>
                <w:szCs w:val="18"/>
              </w:rPr>
            </w:pPr>
            <w:r>
              <w:rPr>
                <w:sz w:val="18"/>
                <w:szCs w:val="18"/>
              </w:rPr>
              <w:lastRenderedPageBreak/>
              <w:t>Čl. 3</w:t>
            </w: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B218B3" w:rsidRDefault="00B218B3" w:rsidP="003925CB">
            <w:pPr>
              <w:jc w:val="center"/>
              <w:rPr>
                <w:sz w:val="18"/>
                <w:szCs w:val="18"/>
              </w:rPr>
            </w:pPr>
          </w:p>
          <w:p w:rsidR="002C76F3" w:rsidRPr="000A3A93" w:rsidRDefault="002C76F3" w:rsidP="003925CB">
            <w:pPr>
              <w:jc w:val="center"/>
              <w:rPr>
                <w:sz w:val="18"/>
                <w:szCs w:val="18"/>
              </w:rPr>
            </w:pPr>
            <w:r w:rsidRPr="000A3A93">
              <w:rPr>
                <w:sz w:val="18"/>
                <w:szCs w:val="18"/>
              </w:rPr>
              <w:t>Príloha</w:t>
            </w:r>
          </w:p>
          <w:p w:rsidR="002C76F3" w:rsidRPr="000A3A93" w:rsidRDefault="002C76F3" w:rsidP="003925CB">
            <w:pPr>
              <w:jc w:val="center"/>
              <w:rPr>
                <w:sz w:val="18"/>
                <w:szCs w:val="18"/>
              </w:rPr>
            </w:pPr>
            <w:r w:rsidRPr="000A3A93">
              <w:rPr>
                <w:sz w:val="18"/>
                <w:szCs w:val="18"/>
              </w:rPr>
              <w:t>č. II</w:t>
            </w:r>
          </w:p>
          <w:p w:rsidR="002C76F3" w:rsidRPr="000A3A93" w:rsidRDefault="002C76F3" w:rsidP="003925CB">
            <w:pPr>
              <w:jc w:val="center"/>
              <w:rPr>
                <w:sz w:val="18"/>
                <w:szCs w:val="18"/>
              </w:rPr>
            </w:pPr>
            <w:r w:rsidRPr="000A3A93">
              <w:rPr>
                <w:sz w:val="18"/>
                <w:szCs w:val="18"/>
              </w:rPr>
              <w:t>časť</w:t>
            </w:r>
          </w:p>
          <w:p w:rsidR="002C76F3" w:rsidRPr="000A3A93" w:rsidRDefault="002C76F3" w:rsidP="003925CB">
            <w:pPr>
              <w:jc w:val="center"/>
              <w:rPr>
                <w:sz w:val="18"/>
                <w:szCs w:val="18"/>
              </w:rPr>
            </w:pPr>
            <w:r w:rsidRPr="000A3A93">
              <w:rPr>
                <w:sz w:val="18"/>
                <w:szCs w:val="18"/>
              </w:rPr>
              <w:t>A</w:t>
            </w:r>
          </w:p>
        </w:tc>
        <w:tc>
          <w:tcPr>
            <w:tcW w:w="5245" w:type="dxa"/>
            <w:tcBorders>
              <w:top w:val="single" w:sz="6" w:space="0" w:color="auto"/>
              <w:left w:val="single" w:sz="6" w:space="0" w:color="auto"/>
              <w:bottom w:val="single" w:sz="6" w:space="0" w:color="auto"/>
              <w:right w:val="single" w:sz="6" w:space="0" w:color="auto"/>
            </w:tcBorders>
          </w:tcPr>
          <w:p w:rsidR="003925CB" w:rsidRPr="003925CB" w:rsidRDefault="003925CB" w:rsidP="003925CB">
            <w:pPr>
              <w:spacing w:before="100" w:beforeAutospacing="1" w:after="100" w:afterAutospacing="1"/>
              <w:rPr>
                <w:sz w:val="20"/>
                <w:szCs w:val="20"/>
              </w:rPr>
            </w:pPr>
            <w:r w:rsidRPr="003925CB">
              <w:rPr>
                <w:sz w:val="20"/>
                <w:szCs w:val="20"/>
              </w:rPr>
              <w:lastRenderedPageBreak/>
              <w:t>Kritéria pre hodnotenie chemického stavu podzemných vôd</w:t>
            </w:r>
          </w:p>
          <w:p w:rsidR="003925CB" w:rsidRPr="003925CB" w:rsidRDefault="003925CB" w:rsidP="003925CB">
            <w:pPr>
              <w:spacing w:before="100" w:beforeAutospacing="1" w:after="100" w:afterAutospacing="1"/>
              <w:rPr>
                <w:sz w:val="20"/>
                <w:szCs w:val="20"/>
              </w:rPr>
            </w:pPr>
            <w:r w:rsidRPr="003925CB">
              <w:rPr>
                <w:sz w:val="20"/>
                <w:szCs w:val="20"/>
              </w:rPr>
              <w:t>1.   Na účely hodnotenia chemického stavu útvaru alebo skupiny útvarov podzemných vôd podľa oddielu 2.3 prílohy V k smernici 2000/60/ES členské štáty používajú tieto kritéria:</w:t>
            </w:r>
          </w:p>
          <w:tbl>
            <w:tblPr>
              <w:tblW w:w="5000" w:type="pct"/>
              <w:tblCellSpacing w:w="0" w:type="dxa"/>
              <w:tblLayout w:type="fixed"/>
              <w:tblCellMar>
                <w:left w:w="0" w:type="dxa"/>
                <w:right w:w="0" w:type="dxa"/>
              </w:tblCellMar>
              <w:tblLook w:val="04A0" w:firstRow="1" w:lastRow="0" w:firstColumn="1" w:lastColumn="0" w:noHBand="0" w:noVBand="1"/>
            </w:tblPr>
            <w:tblGrid>
              <w:gridCol w:w="170"/>
              <w:gridCol w:w="4935"/>
            </w:tblGrid>
            <w:tr w:rsidR="003925CB" w:rsidRPr="003925CB" w:rsidTr="003925CB">
              <w:trPr>
                <w:tblCellSpacing w:w="0" w:type="dxa"/>
              </w:trPr>
              <w:tc>
                <w:tcPr>
                  <w:tcW w:w="287" w:type="dxa"/>
                  <w:hideMark/>
                </w:tcPr>
                <w:p w:rsidR="003925CB" w:rsidRPr="003925CB" w:rsidRDefault="003925CB" w:rsidP="003925CB">
                  <w:pPr>
                    <w:spacing w:before="100" w:beforeAutospacing="1" w:after="100" w:afterAutospacing="1"/>
                    <w:rPr>
                      <w:sz w:val="20"/>
                      <w:szCs w:val="20"/>
                    </w:rPr>
                  </w:pPr>
                  <w:r w:rsidRPr="003925CB">
                    <w:rPr>
                      <w:sz w:val="20"/>
                      <w:szCs w:val="20"/>
                    </w:rPr>
                    <w:t>a)</w:t>
                  </w:r>
                </w:p>
              </w:tc>
              <w:tc>
                <w:tcPr>
                  <w:tcW w:w="8785" w:type="dxa"/>
                  <w:hideMark/>
                </w:tcPr>
                <w:p w:rsidR="003925CB" w:rsidRPr="003925CB" w:rsidRDefault="003925CB" w:rsidP="003925CB">
                  <w:pPr>
                    <w:spacing w:before="100" w:beforeAutospacing="1" w:after="100" w:afterAutospacing="1"/>
                    <w:rPr>
                      <w:sz w:val="20"/>
                      <w:szCs w:val="20"/>
                    </w:rPr>
                  </w:pPr>
                  <w:r w:rsidRPr="003925CB">
                    <w:rPr>
                      <w:sz w:val="20"/>
                      <w:szCs w:val="20"/>
                    </w:rPr>
                    <w:t>normy kvality podzemných vôd ako sú uvedené v prílohe I;</w:t>
                  </w:r>
                </w:p>
              </w:tc>
            </w:tr>
          </w:tbl>
          <w:p w:rsidR="003925CB" w:rsidRPr="003925CB" w:rsidRDefault="003925CB" w:rsidP="003925CB">
            <w:pPr>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121"/>
              <w:gridCol w:w="4984"/>
            </w:tblGrid>
            <w:tr w:rsidR="003925CB" w:rsidRPr="003925CB" w:rsidTr="003925CB">
              <w:trPr>
                <w:tblCellSpacing w:w="0" w:type="dxa"/>
              </w:trPr>
              <w:tc>
                <w:tcPr>
                  <w:tcW w:w="200" w:type="dxa"/>
                  <w:hideMark/>
                </w:tcPr>
                <w:p w:rsidR="003925CB" w:rsidRPr="003925CB" w:rsidRDefault="00B218B3" w:rsidP="003925CB">
                  <w:pPr>
                    <w:spacing w:before="100" w:beforeAutospacing="1" w:after="100" w:afterAutospacing="1"/>
                    <w:rPr>
                      <w:sz w:val="20"/>
                      <w:szCs w:val="20"/>
                    </w:rPr>
                  </w:pPr>
                  <w:r>
                    <w:rPr>
                      <w:sz w:val="20"/>
                      <w:szCs w:val="20"/>
                    </w:rPr>
                    <w:t>b)</w:t>
                  </w:r>
                </w:p>
              </w:tc>
              <w:tc>
                <w:tcPr>
                  <w:tcW w:w="8872" w:type="dxa"/>
                  <w:hideMark/>
                </w:tcPr>
                <w:p w:rsidR="003925CB" w:rsidRPr="003925CB" w:rsidRDefault="003925CB" w:rsidP="003925CB">
                  <w:pPr>
                    <w:spacing w:before="100" w:beforeAutospacing="1" w:after="100" w:afterAutospacing="1"/>
                    <w:rPr>
                      <w:sz w:val="20"/>
                      <w:szCs w:val="20"/>
                    </w:rPr>
                  </w:pPr>
                  <w:r w:rsidRPr="003925CB">
                    <w:rPr>
                      <w:sz w:val="20"/>
                      <w:szCs w:val="20"/>
                    </w:rPr>
                    <w:t>prahové hodnoty, ktoré určia členské štáty v súlade s postupom uvedeným v prílohe II časti A pre znečisťujúce látky, skupiny znečisťujúcich látok a ukazovatele znečistenia, ktoré boli na území členského štátu identifikované ako faktor, ktorý prispieva k charakterizácii útvarov alebo skupín útvarov podzemných vôd ako rizikových, berúc do úvahy minimálne zoznamy uvedené v prílohe II časti B.</w:t>
                  </w:r>
                </w:p>
              </w:tc>
            </w:tr>
          </w:tbl>
          <w:p w:rsidR="003925CB" w:rsidRPr="003925CB" w:rsidRDefault="003925CB" w:rsidP="003925CB">
            <w:pPr>
              <w:spacing w:before="100" w:beforeAutospacing="1" w:after="100" w:afterAutospacing="1"/>
              <w:rPr>
                <w:sz w:val="20"/>
                <w:szCs w:val="20"/>
              </w:rPr>
            </w:pPr>
            <w:r w:rsidRPr="003925CB">
              <w:rPr>
                <w:sz w:val="20"/>
                <w:szCs w:val="20"/>
              </w:rPr>
              <w:t>Prahové hodnoty podzemných vôd uplatniteľné na dobrý chemický stav sú založené na ochrane útvarov podzemných vôd v súlade s prílohou II časťou A bodmi 1, 2 a 3, pričom sa berie do úvahy najmä ich vplyv na súvisiace povrchové vody a od nich priamo závislé suchozemské ekosystémy a mokrade a vzájomné vzťahy s nimi, a okrem iného zohľadňujú toxikologické a ekotoxikologické poznatky.</w:t>
            </w:r>
          </w:p>
          <w:p w:rsidR="003925CB" w:rsidRPr="003925CB" w:rsidRDefault="003925CB" w:rsidP="003925CB">
            <w:pPr>
              <w:spacing w:before="100" w:beforeAutospacing="1" w:after="100" w:afterAutospacing="1"/>
              <w:rPr>
                <w:sz w:val="20"/>
                <w:szCs w:val="20"/>
              </w:rPr>
            </w:pPr>
            <w:r w:rsidRPr="003925CB">
              <w:rPr>
                <w:sz w:val="20"/>
                <w:szCs w:val="20"/>
              </w:rPr>
              <w:t>2.   Prahové hodnoty sa môžu určiť na celoštátnej úrovni, na úrovni oblasti povodia alebo časti medzinárodnej oblasti povodia, ktoré je súčasťou územia členského štátu alebo na úrovni útvaru alebo skupiny útvarov podzemných vôd.</w:t>
            </w:r>
          </w:p>
          <w:p w:rsidR="003925CB" w:rsidRPr="003925CB" w:rsidRDefault="003925CB" w:rsidP="003925CB">
            <w:pPr>
              <w:spacing w:before="100" w:beforeAutospacing="1" w:after="100" w:afterAutospacing="1"/>
              <w:rPr>
                <w:sz w:val="20"/>
                <w:szCs w:val="20"/>
              </w:rPr>
            </w:pPr>
            <w:r w:rsidRPr="003925CB">
              <w:rPr>
                <w:sz w:val="20"/>
                <w:szCs w:val="20"/>
              </w:rPr>
              <w:t>3.   Členské štáty zabezpečia, aby pre útvary podzemných vôd, ktoré sú spoločné pre dva alebo viaceré členské štáty a pre útvary podzemných vôd, ktorých podzemné vody tečú cez hranicu členského štátu, bolo stanovenie prahových hodnôt podmienené koordináciou medzi príslušnými členskými štátmi v súlade s článkom 3 ods. 4 smernice 2000/60/ES.</w:t>
            </w:r>
          </w:p>
          <w:p w:rsidR="003925CB" w:rsidRPr="003925CB" w:rsidRDefault="003925CB" w:rsidP="003925CB">
            <w:pPr>
              <w:spacing w:before="100" w:beforeAutospacing="1" w:after="100" w:afterAutospacing="1"/>
              <w:rPr>
                <w:sz w:val="20"/>
                <w:szCs w:val="20"/>
              </w:rPr>
            </w:pPr>
            <w:r w:rsidRPr="003925CB">
              <w:rPr>
                <w:sz w:val="20"/>
                <w:szCs w:val="20"/>
              </w:rPr>
              <w:t xml:space="preserve">4.   Ak útvar podzemných vôd alebo skupina útvarov podzemných vôd presahuje územie Spoločenstva, príslušné členské štáty sa snažia stanoviť prahové hodnoty v koordinácii </w:t>
            </w:r>
            <w:r w:rsidRPr="003925CB">
              <w:rPr>
                <w:sz w:val="20"/>
                <w:szCs w:val="20"/>
              </w:rPr>
              <w:lastRenderedPageBreak/>
              <w:t>s príslušnými nečlenskými štátmi v súlade s článkom 3 ods. 5 smernice 2000/60/ES.</w:t>
            </w:r>
          </w:p>
          <w:p w:rsidR="003925CB" w:rsidRPr="003925CB" w:rsidRDefault="003925CB" w:rsidP="003925CB">
            <w:pPr>
              <w:spacing w:before="100" w:beforeAutospacing="1" w:after="100" w:afterAutospacing="1"/>
              <w:rPr>
                <w:sz w:val="20"/>
                <w:szCs w:val="20"/>
              </w:rPr>
            </w:pPr>
            <w:r w:rsidRPr="003925CB">
              <w:rPr>
                <w:sz w:val="20"/>
                <w:szCs w:val="20"/>
              </w:rPr>
              <w:t>5.   Členské štáty stanovia prahové hodnoty podľa odseku 1 písm. b) prvýkrát najneskôr do 22. decembra 2008.</w:t>
            </w:r>
          </w:p>
          <w:p w:rsidR="003925CB" w:rsidRPr="003925CB" w:rsidRDefault="003925CB" w:rsidP="003925CB">
            <w:pPr>
              <w:spacing w:before="100" w:beforeAutospacing="1" w:after="100" w:afterAutospacing="1"/>
              <w:rPr>
                <w:sz w:val="20"/>
                <w:szCs w:val="20"/>
              </w:rPr>
            </w:pPr>
            <w:r w:rsidRPr="003925CB">
              <w:rPr>
                <w:sz w:val="20"/>
                <w:szCs w:val="20"/>
              </w:rPr>
              <w:t>Všetky stanovené prahové hodnoty sa zverejnia v plánoch manažmentu povodia, ktorý sa predkladá v súlade s článkom 13 smernice 2000/60/ES a obsahuje zhrnutie informácií uvedených v prílohe II časti C k tejto smernici.</w:t>
            </w:r>
          </w:p>
          <w:p w:rsidR="003925CB" w:rsidRPr="003925CB" w:rsidRDefault="003925CB" w:rsidP="003925CB">
            <w:pPr>
              <w:spacing w:before="100" w:beforeAutospacing="1" w:after="100" w:afterAutospacing="1"/>
              <w:rPr>
                <w:sz w:val="20"/>
                <w:szCs w:val="20"/>
              </w:rPr>
            </w:pPr>
            <w:r w:rsidRPr="003925CB">
              <w:rPr>
                <w:sz w:val="20"/>
                <w:szCs w:val="20"/>
              </w:rPr>
              <w:t>6.   Členské štáty zmenia a doplnia zoznam prahových hodnôt, kedykoľvek ak nová informácia o znečisťujúcich látkach, skupinách znečisťujúcich látok alebo ukazovateľoch znečistenia naznačí, že by sa mala stanoviť prahová hodnota pre ďalšiu látku alebo, že by sa existujúca prahová hodnota mala zmeniť a doplniť alebo, že by sa do zoznamu mala opätovne uviesť už odstránená prahová hodnota, aby sa chránilo ľudské zdravie a životné prostredie.</w:t>
            </w:r>
          </w:p>
          <w:p w:rsidR="003925CB" w:rsidRPr="003925CB" w:rsidRDefault="003925CB" w:rsidP="003925CB">
            <w:pPr>
              <w:spacing w:before="100" w:beforeAutospacing="1" w:after="100" w:afterAutospacing="1"/>
              <w:rPr>
                <w:sz w:val="20"/>
                <w:szCs w:val="20"/>
              </w:rPr>
            </w:pPr>
            <w:r w:rsidRPr="003925CB">
              <w:rPr>
                <w:sz w:val="20"/>
                <w:szCs w:val="20"/>
              </w:rPr>
              <w:t>Prahové hodnoty možno zo zoznamu vyškrtnúť, ak dotknutý útvar podzemných vôd už neohrozujú zodpovedajúce znečisťujúce látky, skupiny znečisťujúcich látok alebo indikátory znečistenia.</w:t>
            </w:r>
          </w:p>
          <w:p w:rsidR="003925CB" w:rsidRPr="003925CB" w:rsidRDefault="003925CB" w:rsidP="003925CB">
            <w:pPr>
              <w:spacing w:before="100" w:beforeAutospacing="1" w:after="100" w:afterAutospacing="1"/>
              <w:rPr>
                <w:sz w:val="20"/>
                <w:szCs w:val="20"/>
              </w:rPr>
            </w:pPr>
            <w:r w:rsidRPr="003925CB">
              <w:rPr>
                <w:sz w:val="20"/>
                <w:szCs w:val="20"/>
              </w:rPr>
              <w:t>Všetky takéto zmeny zoznamu prahových hodnôt sa oznámia v rámci pravidelného prehodnotenia plánov manažmentu povodia</w:t>
            </w:r>
          </w:p>
          <w:p w:rsidR="003925CB" w:rsidRPr="003925CB" w:rsidRDefault="003925CB" w:rsidP="003925CB">
            <w:pPr>
              <w:spacing w:before="100" w:beforeAutospacing="1" w:after="100" w:afterAutospacing="1"/>
              <w:rPr>
                <w:sz w:val="20"/>
                <w:szCs w:val="20"/>
              </w:rPr>
            </w:pPr>
            <w:r w:rsidRPr="003925CB">
              <w:rPr>
                <w:sz w:val="20"/>
                <w:szCs w:val="20"/>
              </w:rPr>
              <w:t>7.   Komisia uverejní správu najneskôr do 22. decembra 2009 na základe informácií, ktoré poskytnú členské štáty v súlade s odsekom 5.</w:t>
            </w:r>
          </w:p>
          <w:p w:rsidR="003925CB" w:rsidRPr="003925CB" w:rsidRDefault="003925CB" w:rsidP="003925CB">
            <w:pPr>
              <w:pStyle w:val="Nadpis2"/>
              <w:jc w:val="both"/>
              <w:rPr>
                <w:b w:val="0"/>
                <w:bCs w:val="0"/>
                <w:lang w:val="sk-SK"/>
              </w:rPr>
            </w:pPr>
          </w:p>
          <w:p w:rsidR="002C76F3" w:rsidRPr="003925CB" w:rsidRDefault="002C76F3" w:rsidP="003925CB">
            <w:pPr>
              <w:pStyle w:val="Nadpis2"/>
              <w:jc w:val="both"/>
              <w:rPr>
                <w:b w:val="0"/>
                <w:bCs w:val="0"/>
                <w:lang w:val="sk-SK"/>
              </w:rPr>
            </w:pPr>
            <w:r w:rsidRPr="003925CB">
              <w:rPr>
                <w:b w:val="0"/>
                <w:bCs w:val="0"/>
                <w:lang w:val="sk-SK"/>
              </w:rPr>
              <w:t>Prahové hodnoty pre látky znečisťujúce podzemné vody a ukazovatele</w:t>
            </w:r>
          </w:p>
          <w:p w:rsidR="002C76F3" w:rsidRPr="003925CB" w:rsidRDefault="002C76F3" w:rsidP="003925CB">
            <w:pPr>
              <w:pStyle w:val="Nadpis2"/>
              <w:jc w:val="both"/>
              <w:rPr>
                <w:b w:val="0"/>
                <w:bCs w:val="0"/>
                <w:lang w:val="sk-SK"/>
              </w:rPr>
            </w:pPr>
            <w:r w:rsidRPr="003925CB">
              <w:rPr>
                <w:b w:val="0"/>
                <w:bCs w:val="0"/>
                <w:lang w:val="sk-SK"/>
              </w:rPr>
              <w:t xml:space="preserve"> znečistenia</w:t>
            </w:r>
          </w:p>
          <w:p w:rsidR="002C76F3" w:rsidRPr="003925CB" w:rsidRDefault="002C76F3" w:rsidP="003925CB">
            <w:pPr>
              <w:rPr>
                <w:sz w:val="20"/>
                <w:szCs w:val="20"/>
              </w:rPr>
            </w:pPr>
          </w:p>
          <w:p w:rsidR="002C76F3" w:rsidRPr="003925CB" w:rsidRDefault="002C76F3" w:rsidP="003925CB">
            <w:pPr>
              <w:rPr>
                <w:sz w:val="20"/>
                <w:szCs w:val="20"/>
              </w:rPr>
            </w:pPr>
            <w:r w:rsidRPr="003925CB">
              <w:rPr>
                <w:sz w:val="20"/>
                <w:szCs w:val="20"/>
              </w:rPr>
              <w:t>časť A</w:t>
            </w:r>
          </w:p>
          <w:p w:rsidR="002C76F3" w:rsidRDefault="002C76F3" w:rsidP="003925CB">
            <w:pPr>
              <w:rPr>
                <w:sz w:val="20"/>
                <w:szCs w:val="20"/>
              </w:rPr>
            </w:pPr>
            <w:r w:rsidRPr="003925CB">
              <w:rPr>
                <w:sz w:val="20"/>
                <w:szCs w:val="20"/>
              </w:rPr>
              <w:lastRenderedPageBreak/>
              <w:t>Usmernenie pre stanovenie prahových hodnôt členskými štátmi v súlade s článkom 3</w:t>
            </w:r>
          </w:p>
          <w:p w:rsidR="00B218B3" w:rsidRPr="00B218B3" w:rsidRDefault="00B218B3" w:rsidP="003925CB">
            <w:pPr>
              <w:rPr>
                <w:sz w:val="20"/>
                <w:szCs w:val="20"/>
              </w:rPr>
            </w:pP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Členské štáty určia prahové hodnoty pre všetky znečisťujúce látky a ukazovatele znečistenia, ktoré podľa charakterizácie</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vykonanej podľa článku 5 smernice 2000/60/ES charakterizujú útvar alebo skupiny útvarov podzemnej vody ako útvary,</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ktorým hrozí, že nedosiahnu dobrý chemický stav podzemných vôd.</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Prahové hodnoty sa stanovia takým spôsobom, že ak výsledky monitorovania na reprezentatívnych monitorovacích bodoch</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presiahnu prahové hodnoty, naznačí to riziko, že sa neplní jedna z podmienok či viacero podmienok pre dosiahnutie</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dobrého chemického stavu podzemných vôd uvedeného v článku 4 ods. 2 písm. c) bodoch (ii), (iii) a (iv).</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Pri stanovení prahových hodnôt vezmú členské štáty do úvahy tieto usmernenia:</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1. Určenie prahových hodnôt by malo byť založené na:</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a) rozsahu vzájomného pôsobenia medzi podzemnými vodami a s nimi spojenými vodnými a závislými</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suchozemskými ekosystémami;</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b) zasahovaní do skutočného alebo potencionálneho oprávneného využívania alebo funkcií podzemných vôd;</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c) všetkých znečisťujúcich látkach, ktoré charakterizujú útvary podzemných vôd ako rizikové, pričom sa do úvahy</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berú minimálne zoznamy uvedené v časti B;</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 xml:space="preserve">d) hydrogeologické vlastnosti vrátane informácií o </w:t>
            </w:r>
            <w:proofErr w:type="spellStart"/>
            <w:r w:rsidRPr="00B218B3">
              <w:rPr>
                <w:rFonts w:eastAsiaTheme="minorHAnsi"/>
                <w:sz w:val="20"/>
                <w:szCs w:val="20"/>
                <w:lang w:eastAsia="en-US"/>
              </w:rPr>
              <w:t>pozaďových</w:t>
            </w:r>
            <w:proofErr w:type="spellEnd"/>
            <w:r w:rsidRPr="00B218B3">
              <w:rPr>
                <w:rFonts w:eastAsiaTheme="minorHAnsi"/>
                <w:sz w:val="20"/>
                <w:szCs w:val="20"/>
                <w:lang w:eastAsia="en-US"/>
              </w:rPr>
              <w:t xml:space="preserve"> úrovniach a vodnej bilancii.</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2. Určenie prahových hodnôt by malo tiež vziať do úvahy pôvod znečisťujúcich látok, ich možný prirodzený výskyt,</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 xml:space="preserve">toxikologickú tendenciu a tendenciu rozptylu, stálosť a potenciál </w:t>
            </w:r>
            <w:proofErr w:type="spellStart"/>
            <w:r w:rsidRPr="00B218B3">
              <w:rPr>
                <w:rFonts w:eastAsiaTheme="minorHAnsi"/>
                <w:sz w:val="20"/>
                <w:szCs w:val="20"/>
                <w:lang w:eastAsia="en-US"/>
              </w:rPr>
              <w:t>bioakumulácie</w:t>
            </w:r>
            <w:proofErr w:type="spellEnd"/>
            <w:r w:rsidRPr="00B218B3">
              <w:rPr>
                <w:rFonts w:eastAsiaTheme="minorHAnsi"/>
                <w:sz w:val="20"/>
                <w:szCs w:val="20"/>
                <w:lang w:eastAsia="en-US"/>
              </w:rPr>
              <w:t>.</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 xml:space="preserve">3. Kedykoľvek sa z prirodzených hydrogeologických dôvodov vyskytnú zvýšené </w:t>
            </w:r>
            <w:proofErr w:type="spellStart"/>
            <w:r w:rsidRPr="00B218B3">
              <w:rPr>
                <w:rFonts w:eastAsiaTheme="minorHAnsi"/>
                <w:sz w:val="20"/>
                <w:szCs w:val="20"/>
                <w:lang w:eastAsia="en-US"/>
              </w:rPr>
              <w:t>pozaďové</w:t>
            </w:r>
            <w:proofErr w:type="spellEnd"/>
            <w:r w:rsidRPr="00B218B3">
              <w:rPr>
                <w:rFonts w:eastAsiaTheme="minorHAnsi"/>
                <w:sz w:val="20"/>
                <w:szCs w:val="20"/>
                <w:lang w:eastAsia="en-US"/>
              </w:rPr>
              <w:t xml:space="preserve"> úrovne látok, iónov alebo ich</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 xml:space="preserve">indikátorov, zohľadnia sa tieto </w:t>
            </w:r>
            <w:proofErr w:type="spellStart"/>
            <w:r w:rsidRPr="00B218B3">
              <w:rPr>
                <w:rFonts w:eastAsiaTheme="minorHAnsi"/>
                <w:sz w:val="20"/>
                <w:szCs w:val="20"/>
                <w:lang w:eastAsia="en-US"/>
              </w:rPr>
              <w:t>pozaďové</w:t>
            </w:r>
            <w:proofErr w:type="spellEnd"/>
            <w:r w:rsidRPr="00B218B3">
              <w:rPr>
                <w:rFonts w:eastAsiaTheme="minorHAnsi"/>
                <w:sz w:val="20"/>
                <w:szCs w:val="20"/>
                <w:lang w:eastAsia="en-US"/>
              </w:rPr>
              <w:t xml:space="preserve"> úrovne v príslušných útvaroch podzemných vôd pri stanovovaní prahových</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hodnôt.</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t>4. Určenie prahových hodnôt by malo byť podložené kontrolným mechanizmom pre zozbierané údaje založeným na</w:t>
            </w:r>
          </w:p>
          <w:p w:rsidR="00B218B3" w:rsidRPr="00B218B3" w:rsidRDefault="00B218B3" w:rsidP="00B218B3">
            <w:pPr>
              <w:autoSpaceDE w:val="0"/>
              <w:autoSpaceDN w:val="0"/>
              <w:adjustRightInd w:val="0"/>
              <w:rPr>
                <w:rFonts w:eastAsiaTheme="minorHAnsi"/>
                <w:sz w:val="20"/>
                <w:szCs w:val="20"/>
                <w:lang w:eastAsia="en-US"/>
              </w:rPr>
            </w:pPr>
            <w:r w:rsidRPr="00B218B3">
              <w:rPr>
                <w:rFonts w:eastAsiaTheme="minorHAnsi"/>
                <w:sz w:val="20"/>
                <w:szCs w:val="20"/>
                <w:lang w:eastAsia="en-US"/>
              </w:rPr>
              <w:lastRenderedPageBreak/>
              <w:t xml:space="preserve">vyhodnotení kvality údajov, analytických hľadiskách a </w:t>
            </w:r>
            <w:proofErr w:type="spellStart"/>
            <w:r w:rsidRPr="00B218B3">
              <w:rPr>
                <w:rFonts w:eastAsiaTheme="minorHAnsi"/>
                <w:sz w:val="20"/>
                <w:szCs w:val="20"/>
                <w:lang w:eastAsia="en-US"/>
              </w:rPr>
              <w:t>pozaďových</w:t>
            </w:r>
            <w:proofErr w:type="spellEnd"/>
            <w:r w:rsidRPr="00B218B3">
              <w:rPr>
                <w:rFonts w:eastAsiaTheme="minorHAnsi"/>
                <w:sz w:val="20"/>
                <w:szCs w:val="20"/>
                <w:lang w:eastAsia="en-US"/>
              </w:rPr>
              <w:t xml:space="preserve"> úrovniach látok, ktoré sa môžu vyskytnúť aj</w:t>
            </w:r>
          </w:p>
          <w:p w:rsidR="00B218B3" w:rsidRPr="00B218B3" w:rsidRDefault="00B218B3" w:rsidP="00B218B3">
            <w:pPr>
              <w:rPr>
                <w:sz w:val="20"/>
                <w:szCs w:val="20"/>
              </w:rPr>
            </w:pPr>
            <w:r w:rsidRPr="00B218B3">
              <w:rPr>
                <w:rFonts w:eastAsiaTheme="minorHAnsi"/>
                <w:sz w:val="20"/>
                <w:szCs w:val="20"/>
                <w:lang w:eastAsia="en-US"/>
              </w:rPr>
              <w:t>prirodzene aj ako výsledok ľudskej činnosti.</w:t>
            </w: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p w:rsidR="002C76F3" w:rsidRPr="003925CB" w:rsidRDefault="002C76F3" w:rsidP="003925CB">
            <w:pPr>
              <w:rPr>
                <w:sz w:val="20"/>
                <w:szCs w:val="20"/>
              </w:rPr>
            </w:pPr>
          </w:p>
        </w:tc>
        <w:tc>
          <w:tcPr>
            <w:tcW w:w="668" w:type="dxa"/>
            <w:tcBorders>
              <w:top w:val="single" w:sz="6" w:space="0" w:color="auto"/>
              <w:left w:val="single" w:sz="6" w:space="0" w:color="auto"/>
              <w:bottom w:val="single" w:sz="6" w:space="0" w:color="auto"/>
              <w:right w:val="single" w:sz="6" w:space="0" w:color="auto"/>
            </w:tcBorders>
          </w:tcPr>
          <w:p w:rsidR="002C76F3" w:rsidRPr="000A3A93" w:rsidRDefault="002C76F3" w:rsidP="000A3A93">
            <w:pPr>
              <w:jc w:val="center"/>
              <w:rPr>
                <w:sz w:val="18"/>
                <w:szCs w:val="18"/>
              </w:rPr>
            </w:pPr>
            <w:r w:rsidRPr="000A3A93">
              <w:rPr>
                <w:sz w:val="18"/>
                <w:szCs w:val="18"/>
              </w:rPr>
              <w:lastRenderedPageBreak/>
              <w:t>N</w:t>
            </w:r>
          </w:p>
        </w:tc>
        <w:tc>
          <w:tcPr>
            <w:tcW w:w="630" w:type="dxa"/>
            <w:tcBorders>
              <w:top w:val="single" w:sz="6" w:space="0" w:color="auto"/>
              <w:left w:val="single" w:sz="6" w:space="0" w:color="auto"/>
              <w:bottom w:val="single" w:sz="6" w:space="0" w:color="auto"/>
              <w:right w:val="single" w:sz="6" w:space="0" w:color="auto"/>
            </w:tcBorders>
          </w:tcPr>
          <w:p w:rsidR="000A3A93" w:rsidRPr="000A3A93" w:rsidRDefault="000A3A93" w:rsidP="000A3A93">
            <w:pPr>
              <w:pStyle w:val="Textpoznmkypodiarou"/>
              <w:tabs>
                <w:tab w:val="left" w:pos="235"/>
              </w:tabs>
              <w:rPr>
                <w:sz w:val="18"/>
                <w:szCs w:val="18"/>
              </w:rPr>
            </w:pPr>
            <w:r w:rsidRPr="000A3A93">
              <w:rPr>
                <w:sz w:val="18"/>
                <w:szCs w:val="18"/>
              </w:rPr>
              <w:t>364/</w:t>
            </w:r>
          </w:p>
          <w:p w:rsidR="002C76F3" w:rsidRPr="000A3A93" w:rsidRDefault="000A3A93" w:rsidP="000A3A93">
            <w:pPr>
              <w:pStyle w:val="Textpoznmkypodiarou"/>
              <w:tabs>
                <w:tab w:val="left" w:pos="235"/>
              </w:tabs>
              <w:rPr>
                <w:sz w:val="18"/>
                <w:szCs w:val="18"/>
              </w:rPr>
            </w:pPr>
            <w:r w:rsidRPr="000A3A93">
              <w:rPr>
                <w:sz w:val="18"/>
                <w:szCs w:val="18"/>
              </w:rPr>
              <w:t>2004</w:t>
            </w: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p>
          <w:p w:rsidR="000A3A93" w:rsidRPr="000A3A93" w:rsidRDefault="000A3A93" w:rsidP="000A3A93">
            <w:pPr>
              <w:pStyle w:val="Textpoznmkypodiarou"/>
              <w:tabs>
                <w:tab w:val="left" w:pos="235"/>
              </w:tabs>
              <w:rPr>
                <w:sz w:val="18"/>
                <w:szCs w:val="18"/>
              </w:rPr>
            </w:pPr>
            <w:r w:rsidRPr="000A3A93">
              <w:rPr>
                <w:sz w:val="18"/>
                <w:szCs w:val="18"/>
              </w:rPr>
              <w:t>NNV</w:t>
            </w:r>
          </w:p>
        </w:tc>
        <w:tc>
          <w:tcPr>
            <w:tcW w:w="687" w:type="dxa"/>
            <w:tcBorders>
              <w:top w:val="single" w:sz="6" w:space="0" w:color="auto"/>
              <w:left w:val="single" w:sz="6" w:space="0" w:color="auto"/>
              <w:bottom w:val="single" w:sz="6" w:space="0" w:color="auto"/>
              <w:right w:val="single" w:sz="6" w:space="0" w:color="auto"/>
            </w:tcBorders>
          </w:tcPr>
          <w:p w:rsidR="002C76F3" w:rsidRPr="000A3A93" w:rsidRDefault="002C76F3" w:rsidP="000A3A93">
            <w:pPr>
              <w:jc w:val="both"/>
              <w:rPr>
                <w:sz w:val="18"/>
                <w:szCs w:val="18"/>
              </w:rPr>
            </w:pPr>
            <w:r w:rsidRPr="000A3A93">
              <w:rPr>
                <w:sz w:val="18"/>
                <w:szCs w:val="18"/>
              </w:rPr>
              <w:t>§:81</w:t>
            </w:r>
          </w:p>
          <w:p w:rsidR="002C76F3" w:rsidRPr="000A3A93" w:rsidRDefault="002C76F3" w:rsidP="000A3A93">
            <w:pPr>
              <w:jc w:val="both"/>
              <w:rPr>
                <w:sz w:val="18"/>
                <w:szCs w:val="18"/>
              </w:rPr>
            </w:pPr>
            <w:r w:rsidRPr="000A3A93">
              <w:rPr>
                <w:sz w:val="18"/>
                <w:szCs w:val="18"/>
              </w:rPr>
              <w:t>O:1</w:t>
            </w:r>
          </w:p>
          <w:p w:rsidR="002C76F3" w:rsidRPr="000A3A93" w:rsidRDefault="002C76F3" w:rsidP="000A3A93">
            <w:pPr>
              <w:jc w:val="both"/>
              <w:rPr>
                <w:sz w:val="18"/>
                <w:szCs w:val="18"/>
              </w:rPr>
            </w:pPr>
            <w:r w:rsidRPr="000A3A93">
              <w:rPr>
                <w:sz w:val="18"/>
                <w:szCs w:val="18"/>
              </w:rPr>
              <w:t>P:</w:t>
            </w:r>
            <w:r w:rsidR="00000B84" w:rsidRPr="000A3A93">
              <w:rPr>
                <w:sz w:val="18"/>
                <w:szCs w:val="18"/>
              </w:rPr>
              <w:t>j</w:t>
            </w:r>
            <w:r w:rsidRPr="000A3A93">
              <w:rPr>
                <w:sz w:val="18"/>
                <w:szCs w:val="18"/>
              </w:rPr>
              <w:t>)</w:t>
            </w:r>
          </w:p>
          <w:p w:rsidR="002C76F3" w:rsidRPr="000A3A93" w:rsidRDefault="002C76F3" w:rsidP="000A3A93">
            <w:pPr>
              <w:jc w:val="both"/>
              <w:rPr>
                <w:sz w:val="18"/>
                <w:szCs w:val="18"/>
              </w:rPr>
            </w:pPr>
          </w:p>
          <w:p w:rsidR="002C76F3" w:rsidRPr="000A3A93" w:rsidRDefault="002C76F3" w:rsidP="000A3A93">
            <w:pPr>
              <w:jc w:val="both"/>
              <w:rPr>
                <w:sz w:val="18"/>
                <w:szCs w:val="18"/>
              </w:rPr>
            </w:pPr>
            <w:r w:rsidRPr="000A3A93">
              <w:rPr>
                <w:sz w:val="18"/>
                <w:szCs w:val="18"/>
              </w:rPr>
              <w:t>§ 4c</w:t>
            </w:r>
          </w:p>
          <w:p w:rsidR="002C76F3" w:rsidRPr="000A3A93" w:rsidRDefault="002C76F3" w:rsidP="000A3A93">
            <w:pPr>
              <w:jc w:val="both"/>
              <w:rPr>
                <w:sz w:val="18"/>
                <w:szCs w:val="18"/>
              </w:rPr>
            </w:pPr>
            <w:r w:rsidRPr="000A3A93">
              <w:rPr>
                <w:sz w:val="18"/>
                <w:szCs w:val="18"/>
              </w:rPr>
              <w:t>O:13</w:t>
            </w: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Pr="000A3A93" w:rsidRDefault="000A3A93" w:rsidP="000A3A93">
            <w:pPr>
              <w:jc w:val="both"/>
              <w:rPr>
                <w:sz w:val="18"/>
                <w:szCs w:val="18"/>
              </w:rPr>
            </w:pPr>
          </w:p>
          <w:p w:rsidR="000A3A93" w:rsidRDefault="000A3A93" w:rsidP="000A3A93">
            <w:pPr>
              <w:jc w:val="both"/>
              <w:rPr>
                <w:sz w:val="18"/>
                <w:szCs w:val="18"/>
              </w:rPr>
            </w:pPr>
            <w:r>
              <w:rPr>
                <w:sz w:val="18"/>
                <w:szCs w:val="18"/>
              </w:rPr>
              <w:t>§ 1</w:t>
            </w:r>
          </w:p>
          <w:p w:rsidR="000A3A93" w:rsidRDefault="000A3A93" w:rsidP="000A3A93">
            <w:pPr>
              <w:jc w:val="both"/>
              <w:rPr>
                <w:sz w:val="18"/>
                <w:szCs w:val="18"/>
              </w:rPr>
            </w:pPr>
            <w:r>
              <w:rPr>
                <w:sz w:val="18"/>
                <w:szCs w:val="18"/>
              </w:rPr>
              <w:t>O 1</w:t>
            </w: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0A3A93" w:rsidRDefault="000A3A93" w:rsidP="000A3A93">
            <w:pPr>
              <w:jc w:val="both"/>
              <w:rPr>
                <w:sz w:val="18"/>
                <w:szCs w:val="18"/>
              </w:rPr>
            </w:pPr>
          </w:p>
          <w:p w:rsidR="002C76F3" w:rsidRPr="000A3A93" w:rsidRDefault="000A3A93" w:rsidP="000A3A93">
            <w:pPr>
              <w:jc w:val="both"/>
              <w:rPr>
                <w:sz w:val="18"/>
                <w:szCs w:val="18"/>
              </w:rPr>
            </w:pPr>
            <w:r w:rsidRPr="000A3A93">
              <w:rPr>
                <w:sz w:val="18"/>
                <w:szCs w:val="18"/>
              </w:rPr>
              <w:t>Príloha č. 1</w:t>
            </w:r>
          </w:p>
          <w:p w:rsidR="002C76F3" w:rsidRPr="000A3A93" w:rsidRDefault="002C76F3" w:rsidP="000A3A93">
            <w:pPr>
              <w:jc w:val="both"/>
              <w:rPr>
                <w:sz w:val="18"/>
                <w:szCs w:val="18"/>
              </w:rPr>
            </w:pPr>
          </w:p>
        </w:tc>
        <w:tc>
          <w:tcPr>
            <w:tcW w:w="5244" w:type="dxa"/>
            <w:tcBorders>
              <w:top w:val="single" w:sz="6" w:space="0" w:color="auto"/>
              <w:left w:val="single" w:sz="6" w:space="0" w:color="auto"/>
              <w:bottom w:val="single" w:sz="6" w:space="0" w:color="auto"/>
              <w:right w:val="single" w:sz="6" w:space="0" w:color="auto"/>
            </w:tcBorders>
          </w:tcPr>
          <w:p w:rsidR="002C76F3" w:rsidRPr="000A3A93" w:rsidRDefault="002C76F3" w:rsidP="000A3A93">
            <w:pPr>
              <w:pStyle w:val="Obyajntext"/>
              <w:rPr>
                <w:rFonts w:ascii="Times New Roman" w:hAnsi="Times New Roman" w:cs="Times New Roman"/>
                <w:sz w:val="18"/>
                <w:szCs w:val="18"/>
              </w:rPr>
            </w:pPr>
            <w:r w:rsidRPr="000A3A93">
              <w:rPr>
                <w:rFonts w:ascii="Times New Roman" w:hAnsi="Times New Roman" w:cs="Times New Roman"/>
                <w:sz w:val="18"/>
                <w:szCs w:val="18"/>
              </w:rPr>
              <w:t>Nariadenie vlády, ktoré vydá vláda ustanoví</w:t>
            </w:r>
          </w:p>
          <w:p w:rsidR="002C76F3" w:rsidRPr="000A3A93" w:rsidRDefault="00000B84" w:rsidP="000A3A93">
            <w:pPr>
              <w:pStyle w:val="Obyajntext"/>
              <w:tabs>
                <w:tab w:val="left" w:pos="1080"/>
              </w:tabs>
              <w:rPr>
                <w:rFonts w:ascii="Times New Roman" w:hAnsi="Times New Roman" w:cs="Times New Roman"/>
                <w:sz w:val="18"/>
                <w:szCs w:val="18"/>
              </w:rPr>
            </w:pPr>
            <w:r w:rsidRPr="000A3A93">
              <w:rPr>
                <w:rFonts w:ascii="Times New Roman" w:hAnsi="Times New Roman" w:cs="Times New Roman"/>
                <w:bCs/>
                <w:sz w:val="18"/>
                <w:szCs w:val="18"/>
              </w:rPr>
              <w:t>j</w:t>
            </w:r>
            <w:r w:rsidR="002C76F3" w:rsidRPr="000A3A93">
              <w:rPr>
                <w:rFonts w:ascii="Times New Roman" w:hAnsi="Times New Roman" w:cs="Times New Roman"/>
                <w:bCs/>
                <w:sz w:val="18"/>
                <w:szCs w:val="18"/>
              </w:rPr>
              <w:t>) hodnoty prahových hodnôt a zoznam útvarov podzemných vôd (</w:t>
            </w:r>
            <w:r w:rsidR="002C76F3" w:rsidRPr="000A3A93">
              <w:rPr>
                <w:rFonts w:ascii="Times New Roman" w:hAnsi="Times New Roman" w:cs="Times New Roman"/>
                <w:sz w:val="18"/>
                <w:szCs w:val="18"/>
              </w:rPr>
              <w:t>§ 4c ods. 12)</w:t>
            </w:r>
          </w:p>
          <w:p w:rsidR="002C76F3" w:rsidRPr="000A3A93" w:rsidRDefault="002C76F3" w:rsidP="000A3A93">
            <w:pPr>
              <w:jc w:val="both"/>
              <w:rPr>
                <w:sz w:val="18"/>
                <w:szCs w:val="18"/>
              </w:rPr>
            </w:pPr>
          </w:p>
          <w:p w:rsidR="002C76F3" w:rsidRPr="000A3A93" w:rsidRDefault="002C76F3" w:rsidP="000A3A93">
            <w:pPr>
              <w:pStyle w:val="Obyajntext"/>
              <w:rPr>
                <w:rFonts w:ascii="Times New Roman" w:hAnsi="Times New Roman" w:cs="Times New Roman"/>
                <w:bCs/>
                <w:sz w:val="18"/>
                <w:szCs w:val="18"/>
              </w:rPr>
            </w:pPr>
            <w:r w:rsidRPr="000A3A93">
              <w:rPr>
                <w:rFonts w:ascii="Times New Roman" w:hAnsi="Times New Roman" w:cs="Times New Roman"/>
                <w:bCs/>
                <w:sz w:val="18"/>
                <w:szCs w:val="18"/>
              </w:rPr>
              <w:t xml:space="preserve">(13) </w:t>
            </w:r>
            <w:r w:rsidRPr="000A3A93">
              <w:rPr>
                <w:rFonts w:ascii="Times New Roman" w:hAnsi="Times New Roman" w:cs="Times New Roman"/>
                <w:sz w:val="18"/>
                <w:szCs w:val="18"/>
              </w:rPr>
              <w:t>Pri určení prahových hodnôt sa musia vziať do úvahy tieto podmienky</w:t>
            </w:r>
            <w:r w:rsidRPr="000A3A93">
              <w:rPr>
                <w:rFonts w:ascii="Times New Roman" w:hAnsi="Times New Roman" w:cs="Times New Roman"/>
                <w:bCs/>
                <w:sz w:val="18"/>
                <w:szCs w:val="18"/>
              </w:rPr>
              <w:t>:</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a) rozsah vzájomného pôsobenia medzi podzemnými vodami a s nimi spojenými vodnými a závislými suchozemskými ekosystémami,</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b) zasahovanie do skutočného alebo potenciálneho oprávneného využívania alebo funkcií podzemných vôd,</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 xml:space="preserve">c) každá </w:t>
            </w:r>
            <w:r w:rsidRPr="000A3A93">
              <w:rPr>
                <w:rFonts w:ascii="Times New Roman" w:hAnsi="Times New Roman" w:cs="Times New Roman"/>
                <w:sz w:val="18"/>
                <w:szCs w:val="18"/>
              </w:rPr>
              <w:t>znečisťujúca látka, ktorá charakterizuje útvar podzemných vôd ako rizikový, pričom sa berie do úvahy minimálne Zoznam znečisťujúcich látok alebo  iónov a ich ukazovateľov uvedený v prílohe č. 1b,</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 xml:space="preserve">d) </w:t>
            </w:r>
            <w:r w:rsidRPr="000A3A93">
              <w:rPr>
                <w:rFonts w:ascii="Times New Roman" w:hAnsi="Times New Roman" w:cs="Times New Roman"/>
                <w:sz w:val="18"/>
                <w:szCs w:val="18"/>
              </w:rPr>
              <w:t xml:space="preserve">hydrogeologická vlastnosť vrátane informácií o </w:t>
            </w:r>
            <w:proofErr w:type="spellStart"/>
            <w:r w:rsidRPr="000A3A93">
              <w:rPr>
                <w:rFonts w:ascii="Times New Roman" w:hAnsi="Times New Roman" w:cs="Times New Roman"/>
                <w:sz w:val="18"/>
                <w:szCs w:val="18"/>
              </w:rPr>
              <w:t>pozaďových</w:t>
            </w:r>
            <w:proofErr w:type="spellEnd"/>
            <w:r w:rsidRPr="000A3A93">
              <w:rPr>
                <w:rFonts w:ascii="Times New Roman" w:hAnsi="Times New Roman" w:cs="Times New Roman"/>
                <w:sz w:val="18"/>
                <w:szCs w:val="18"/>
              </w:rPr>
              <w:t xml:space="preserve"> úrovniach a o vodnej bilancii,</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 xml:space="preserve">e) pôvod znečisťujúcich látok, ich možný prirodzený výskyt, toxikologická </w:t>
            </w:r>
            <w:proofErr w:type="spellStart"/>
            <w:r w:rsidRPr="000A3A93">
              <w:rPr>
                <w:rFonts w:ascii="Times New Roman" w:hAnsi="Times New Roman" w:cs="Times New Roman"/>
                <w:bCs/>
                <w:sz w:val="18"/>
                <w:szCs w:val="18"/>
              </w:rPr>
              <w:t>tendenciuaa</w:t>
            </w:r>
            <w:proofErr w:type="spellEnd"/>
            <w:r w:rsidRPr="000A3A93">
              <w:rPr>
                <w:rFonts w:ascii="Times New Roman" w:hAnsi="Times New Roman" w:cs="Times New Roman"/>
                <w:bCs/>
                <w:sz w:val="18"/>
                <w:szCs w:val="18"/>
              </w:rPr>
              <w:t xml:space="preserve"> tendenciu rozptylu, stálosť a potenciál </w:t>
            </w:r>
            <w:proofErr w:type="spellStart"/>
            <w:r w:rsidRPr="000A3A93">
              <w:rPr>
                <w:rFonts w:ascii="Times New Roman" w:hAnsi="Times New Roman" w:cs="Times New Roman"/>
                <w:bCs/>
                <w:sz w:val="18"/>
                <w:szCs w:val="18"/>
              </w:rPr>
              <w:t>bioakumulácie</w:t>
            </w:r>
            <w:proofErr w:type="spellEnd"/>
            <w:r w:rsidRPr="000A3A93">
              <w:rPr>
                <w:rFonts w:ascii="Times New Roman" w:hAnsi="Times New Roman" w:cs="Times New Roman"/>
                <w:bCs/>
                <w:sz w:val="18"/>
                <w:szCs w:val="18"/>
              </w:rPr>
              <w:t>,</w:t>
            </w:r>
          </w:p>
          <w:p w:rsidR="002C76F3" w:rsidRPr="000A3A93" w:rsidRDefault="002C76F3" w:rsidP="000A3A93">
            <w:pPr>
              <w:pStyle w:val="Obyajntext"/>
              <w:ind w:left="284" w:hanging="284"/>
              <w:rPr>
                <w:rFonts w:ascii="Times New Roman" w:hAnsi="Times New Roman" w:cs="Times New Roman"/>
                <w:bCs/>
                <w:sz w:val="18"/>
                <w:szCs w:val="18"/>
              </w:rPr>
            </w:pPr>
            <w:r w:rsidRPr="000A3A93">
              <w:rPr>
                <w:rFonts w:ascii="Times New Roman" w:hAnsi="Times New Roman" w:cs="Times New Roman"/>
                <w:bCs/>
                <w:sz w:val="18"/>
                <w:szCs w:val="18"/>
              </w:rPr>
              <w:t xml:space="preserve">f) </w:t>
            </w:r>
            <w:proofErr w:type="spellStart"/>
            <w:r w:rsidRPr="000A3A93">
              <w:rPr>
                <w:rFonts w:ascii="Times New Roman" w:hAnsi="Times New Roman" w:cs="Times New Roman"/>
                <w:bCs/>
                <w:sz w:val="18"/>
                <w:szCs w:val="18"/>
              </w:rPr>
              <w:t>pozaďová</w:t>
            </w:r>
            <w:proofErr w:type="spellEnd"/>
            <w:r w:rsidRPr="000A3A93">
              <w:rPr>
                <w:rFonts w:ascii="Times New Roman" w:hAnsi="Times New Roman" w:cs="Times New Roman"/>
                <w:bCs/>
                <w:sz w:val="18"/>
                <w:szCs w:val="18"/>
              </w:rPr>
              <w:t xml:space="preserve"> úroveň látok, iónov alebo ich indikátorov zvýšená z prirodzených hydrogeologických dôvodov,</w:t>
            </w:r>
          </w:p>
          <w:p w:rsidR="002C76F3" w:rsidRPr="000A3A93" w:rsidRDefault="002C76F3" w:rsidP="000A3A93">
            <w:pPr>
              <w:jc w:val="both"/>
              <w:rPr>
                <w:bCs/>
                <w:sz w:val="18"/>
                <w:szCs w:val="18"/>
              </w:rPr>
            </w:pPr>
            <w:r w:rsidRPr="000A3A93">
              <w:rPr>
                <w:bCs/>
                <w:sz w:val="18"/>
                <w:szCs w:val="18"/>
              </w:rPr>
              <w:t xml:space="preserve">g) zozbierané údaje z monitorovania podzemných vôd overené pomocou kontrolného mechanizmu založenom na vyhodnotení kvality týchto údajov, možnostiach analytických metód a na </w:t>
            </w:r>
            <w:proofErr w:type="spellStart"/>
            <w:r w:rsidRPr="000A3A93">
              <w:rPr>
                <w:bCs/>
                <w:sz w:val="18"/>
                <w:szCs w:val="18"/>
              </w:rPr>
              <w:t>pozaďových</w:t>
            </w:r>
            <w:proofErr w:type="spellEnd"/>
            <w:r w:rsidRPr="000A3A93">
              <w:rPr>
                <w:bCs/>
                <w:sz w:val="18"/>
                <w:szCs w:val="18"/>
              </w:rPr>
              <w:t xml:space="preserve"> úrovniach látok, ktoré sa môžu vyskytnúť prirodzene alebo ako výsledok ľudskej činnosti.</w:t>
            </w:r>
          </w:p>
          <w:p w:rsidR="000A3A93" w:rsidRPr="000A3A93" w:rsidRDefault="000A3A93" w:rsidP="000A3A93">
            <w:pPr>
              <w:jc w:val="both"/>
              <w:rPr>
                <w:bCs/>
                <w:sz w:val="18"/>
                <w:szCs w:val="18"/>
              </w:rPr>
            </w:pPr>
          </w:p>
          <w:p w:rsidR="000A3A93" w:rsidRPr="000A3A93" w:rsidRDefault="000A3A93" w:rsidP="000A3A93">
            <w:pPr>
              <w:pStyle w:val="Odsekzoznamu"/>
              <w:numPr>
                <w:ilvl w:val="0"/>
                <w:numId w:val="1"/>
              </w:numPr>
              <w:ind w:left="243" w:hanging="243"/>
              <w:jc w:val="both"/>
              <w:rPr>
                <w:w w:val="115"/>
                <w:sz w:val="18"/>
                <w:szCs w:val="18"/>
              </w:rPr>
            </w:pPr>
            <w:r w:rsidRPr="000A3A93">
              <w:rPr>
                <w:sz w:val="18"/>
                <w:szCs w:val="18"/>
              </w:rPr>
              <w:t>Prahové hodnoty sa ustanovujú na účely hodnotenia chemického stavu útvaru podzemných vôd alebo skupiny útvarov podzemných vôd. Prahové hodnoty pre anorganické látky znečisťujúce podzemné vody a ukazovatele znečistenia sú uvedené v prílohe č. 1 časť A </w:t>
            </w:r>
            <w:proofErr w:type="spellStart"/>
            <w:r w:rsidRPr="000A3A93">
              <w:rPr>
                <w:sz w:val="18"/>
                <w:szCs w:val="18"/>
              </w:rPr>
              <w:t>a</w:t>
            </w:r>
            <w:proofErr w:type="spellEnd"/>
            <w:r w:rsidRPr="000A3A93">
              <w:rPr>
                <w:sz w:val="18"/>
                <w:szCs w:val="18"/>
              </w:rPr>
              <w:t> časť B. Prahové hodnoty pre vybrané organické znečisťujúce látky sú uvedené v prílohe č. 1 časť C a sú ustanovené na celoštátnej úrovni a sú jednotné pre všetky útvary podzemných vôd</w:t>
            </w:r>
            <w:r>
              <w:rPr>
                <w:sz w:val="18"/>
                <w:szCs w:val="18"/>
              </w:rPr>
              <w:t>.</w:t>
            </w:r>
            <w:bookmarkStart w:id="0" w:name="_GoBack"/>
            <w:bookmarkEnd w:id="0"/>
          </w:p>
          <w:p w:rsidR="000A3A93" w:rsidRPr="000A3A93" w:rsidRDefault="000A3A93" w:rsidP="000A3A93">
            <w:pPr>
              <w:jc w:val="both"/>
              <w:rPr>
                <w:w w:val="115"/>
                <w:sz w:val="18"/>
                <w:szCs w:val="18"/>
              </w:rPr>
            </w:pPr>
          </w:p>
          <w:p w:rsidR="000A3A93" w:rsidRPr="000A3A93" w:rsidRDefault="000A3A93" w:rsidP="000A3A93">
            <w:pPr>
              <w:jc w:val="both"/>
              <w:rPr>
                <w:w w:val="115"/>
                <w:sz w:val="18"/>
                <w:szCs w:val="18"/>
              </w:rPr>
            </w:pPr>
          </w:p>
          <w:p w:rsidR="000A3A93" w:rsidRPr="00BB6A5E" w:rsidRDefault="000A3A93" w:rsidP="00BB6A5E">
            <w:pPr>
              <w:pStyle w:val="Nadpis3"/>
              <w:rPr>
                <w:rFonts w:ascii="Times New Roman" w:hAnsi="Times New Roman" w:cs="Times New Roman"/>
                <w:color w:val="auto"/>
                <w:sz w:val="20"/>
                <w:szCs w:val="20"/>
              </w:rPr>
            </w:pPr>
            <w:r w:rsidRPr="00BB6A5E">
              <w:rPr>
                <w:rFonts w:ascii="Times New Roman" w:hAnsi="Times New Roman" w:cs="Times New Roman"/>
                <w:color w:val="auto"/>
                <w:w w:val="115"/>
                <w:sz w:val="20"/>
                <w:szCs w:val="20"/>
              </w:rPr>
              <w:t>Časť A:</w:t>
            </w:r>
            <w:r w:rsidR="00BB6A5E" w:rsidRPr="00BB6A5E">
              <w:rPr>
                <w:rFonts w:ascii="Times New Roman" w:hAnsi="Times New Roman" w:cs="Times New Roman"/>
                <w:color w:val="auto"/>
                <w:sz w:val="20"/>
                <w:szCs w:val="20"/>
              </w:rPr>
              <w:t xml:space="preserve"> </w:t>
            </w:r>
            <w:r w:rsidR="00BB6A5E" w:rsidRPr="00BB6A5E">
              <w:rPr>
                <w:rFonts w:ascii="Times New Roman" w:hAnsi="Times New Roman" w:cs="Times New Roman"/>
                <w:color w:val="auto"/>
                <w:sz w:val="20"/>
                <w:szCs w:val="20"/>
              </w:rPr>
              <w:t>Prahové hodnoty pre útvary podzemných vôd v kvartérnych náplavoch</w:t>
            </w:r>
          </w:p>
          <w:p w:rsidR="000A3A93" w:rsidRPr="000A3A93" w:rsidRDefault="000A3A93" w:rsidP="000A3A93">
            <w:pPr>
              <w:jc w:val="both"/>
              <w:rPr>
                <w:w w:val="115"/>
                <w:sz w:val="18"/>
                <w:szCs w:val="18"/>
              </w:rPr>
            </w:pPr>
            <w:r w:rsidRPr="000A3A93">
              <w:rPr>
                <w:sz w:val="18"/>
                <w:szCs w:val="18"/>
              </w:rPr>
              <w:t xml:space="preserve">Časť B. Prahové hodnoty pre útvary podzemných vôd v </w:t>
            </w:r>
            <w:proofErr w:type="spellStart"/>
            <w:r w:rsidRPr="000A3A93">
              <w:rPr>
                <w:sz w:val="18"/>
                <w:szCs w:val="18"/>
              </w:rPr>
              <w:t>predkvartérnych</w:t>
            </w:r>
            <w:proofErr w:type="spellEnd"/>
            <w:r w:rsidRPr="000A3A93">
              <w:rPr>
                <w:sz w:val="18"/>
                <w:szCs w:val="18"/>
              </w:rPr>
              <w:t xml:space="preserve"> horninách</w:t>
            </w:r>
          </w:p>
          <w:p w:rsidR="000A3A93" w:rsidRPr="000A3A93" w:rsidRDefault="000A3A93" w:rsidP="000A3A93">
            <w:pPr>
              <w:pStyle w:val="Nadpis3"/>
              <w:jc w:val="both"/>
              <w:rPr>
                <w:rFonts w:ascii="Times New Roman" w:hAnsi="Times New Roman" w:cs="Times New Roman"/>
                <w:color w:val="auto"/>
                <w:sz w:val="18"/>
                <w:szCs w:val="18"/>
              </w:rPr>
            </w:pPr>
            <w:r w:rsidRPr="000A3A93">
              <w:rPr>
                <w:rFonts w:ascii="Times New Roman" w:hAnsi="Times New Roman" w:cs="Times New Roman"/>
                <w:color w:val="auto"/>
                <w:sz w:val="18"/>
                <w:szCs w:val="18"/>
              </w:rPr>
              <w:t>Časť C. Prahové hodnoty pre organické znečisťujúce látky v µg/l</w:t>
            </w:r>
          </w:p>
          <w:p w:rsidR="000A3A93" w:rsidRPr="000A3A93" w:rsidRDefault="000A3A93" w:rsidP="000A3A93">
            <w:pPr>
              <w:jc w:val="both"/>
              <w:rPr>
                <w:sz w:val="18"/>
                <w:szCs w:val="18"/>
              </w:rPr>
            </w:pPr>
          </w:p>
          <w:p w:rsidR="000A3A93" w:rsidRPr="000A3A93" w:rsidRDefault="000A3A93" w:rsidP="000A3A93">
            <w:pPr>
              <w:jc w:val="both"/>
              <w:rPr>
                <w:sz w:val="18"/>
                <w:szCs w:val="18"/>
              </w:rPr>
            </w:pPr>
          </w:p>
        </w:tc>
        <w:tc>
          <w:tcPr>
            <w:tcW w:w="567" w:type="dxa"/>
            <w:tcBorders>
              <w:top w:val="single" w:sz="6" w:space="0" w:color="auto"/>
              <w:left w:val="single" w:sz="6" w:space="0" w:color="auto"/>
              <w:bottom w:val="single" w:sz="6" w:space="0" w:color="auto"/>
              <w:right w:val="single" w:sz="6" w:space="0" w:color="auto"/>
            </w:tcBorders>
          </w:tcPr>
          <w:p w:rsidR="002C76F3" w:rsidRPr="000A3A93" w:rsidRDefault="002C76F3" w:rsidP="003925CB">
            <w:pPr>
              <w:jc w:val="center"/>
              <w:rPr>
                <w:sz w:val="18"/>
                <w:szCs w:val="18"/>
              </w:rPr>
            </w:pPr>
            <w:r w:rsidRPr="000A3A93">
              <w:rPr>
                <w:sz w:val="18"/>
                <w:szCs w:val="18"/>
              </w:rPr>
              <w:t>Ú</w:t>
            </w:r>
          </w:p>
        </w:tc>
        <w:tc>
          <w:tcPr>
            <w:tcW w:w="1869" w:type="dxa"/>
            <w:tcBorders>
              <w:top w:val="single" w:sz="6" w:space="0" w:color="auto"/>
              <w:left w:val="single" w:sz="6" w:space="0" w:color="auto"/>
              <w:bottom w:val="single" w:sz="6" w:space="0" w:color="auto"/>
              <w:right w:val="single" w:sz="6" w:space="0" w:color="auto"/>
            </w:tcBorders>
          </w:tcPr>
          <w:p w:rsidR="002C76F3" w:rsidRPr="000A3A93" w:rsidRDefault="00BB6A5E" w:rsidP="00BB6A5E">
            <w:pPr>
              <w:rPr>
                <w:sz w:val="18"/>
                <w:szCs w:val="18"/>
              </w:rPr>
            </w:pPr>
            <w:r>
              <w:rPr>
                <w:sz w:val="18"/>
                <w:szCs w:val="18"/>
              </w:rPr>
              <w:t>Text prílohy č. 1 k NNV je uvedený nižšie.</w:t>
            </w:r>
          </w:p>
        </w:tc>
      </w:tr>
    </w:tbl>
    <w:p w:rsidR="002C76F3" w:rsidRPr="000A3A93" w:rsidRDefault="002C76F3">
      <w:pPr>
        <w:rPr>
          <w:sz w:val="18"/>
          <w:szCs w:val="18"/>
        </w:rPr>
      </w:pPr>
    </w:p>
    <w:p w:rsidR="002C5F03" w:rsidRPr="000A3A93" w:rsidRDefault="002C5F03" w:rsidP="002C5F03">
      <w:pPr>
        <w:rPr>
          <w:sz w:val="18"/>
          <w:szCs w:val="18"/>
        </w:rPr>
      </w:pPr>
    </w:p>
    <w:p w:rsidR="002C5F03" w:rsidRPr="000A3A93" w:rsidRDefault="002C5F03" w:rsidP="002C5F03">
      <w:pPr>
        <w:rPr>
          <w:sz w:val="18"/>
          <w:szCs w:val="18"/>
        </w:rPr>
      </w:pPr>
      <w:r w:rsidRPr="000A3A93">
        <w:rPr>
          <w:sz w:val="18"/>
          <w:szCs w:val="18"/>
        </w:rPr>
        <w:t>LEGENDA:</w:t>
      </w:r>
    </w:p>
    <w:p w:rsidR="002C5F03" w:rsidRPr="000A3A93" w:rsidRDefault="002C5F03" w:rsidP="002C5F03">
      <w:pPr>
        <w:rPr>
          <w:sz w:val="18"/>
          <w:szCs w:val="18"/>
          <w:u w:val="single"/>
        </w:rPr>
      </w:pPr>
      <w:r w:rsidRPr="000A3A93">
        <w:rPr>
          <w:sz w:val="18"/>
          <w:szCs w:val="18"/>
          <w:u w:val="single"/>
        </w:rPr>
        <w:t>V stĺpci (1):</w:t>
      </w:r>
      <w:r w:rsidRPr="000A3A93">
        <w:rPr>
          <w:sz w:val="18"/>
          <w:szCs w:val="18"/>
        </w:rPr>
        <w:tab/>
      </w:r>
      <w:r w:rsidRPr="000A3A93">
        <w:rPr>
          <w:sz w:val="18"/>
          <w:szCs w:val="18"/>
        </w:rPr>
        <w:tab/>
      </w:r>
      <w:r w:rsidRPr="000A3A93">
        <w:rPr>
          <w:sz w:val="18"/>
          <w:szCs w:val="18"/>
        </w:rPr>
        <w:tab/>
      </w:r>
      <w:r w:rsidRPr="000A3A93">
        <w:rPr>
          <w:sz w:val="18"/>
          <w:szCs w:val="18"/>
          <w:u w:val="single"/>
        </w:rPr>
        <w:t>V stĺpci (3):</w:t>
      </w:r>
      <w:r w:rsidRPr="000A3A93">
        <w:rPr>
          <w:sz w:val="18"/>
          <w:szCs w:val="18"/>
        </w:rPr>
        <w:tab/>
      </w:r>
      <w:r w:rsidRPr="000A3A93">
        <w:rPr>
          <w:sz w:val="18"/>
          <w:szCs w:val="18"/>
        </w:rPr>
        <w:tab/>
      </w:r>
      <w:r w:rsidRPr="000A3A93">
        <w:rPr>
          <w:sz w:val="18"/>
          <w:szCs w:val="18"/>
        </w:rPr>
        <w:tab/>
      </w:r>
      <w:r w:rsidRPr="000A3A93">
        <w:rPr>
          <w:sz w:val="18"/>
          <w:szCs w:val="18"/>
        </w:rPr>
        <w:tab/>
      </w:r>
      <w:r w:rsidRPr="000A3A93">
        <w:rPr>
          <w:sz w:val="18"/>
          <w:szCs w:val="18"/>
        </w:rPr>
        <w:tab/>
      </w:r>
      <w:r w:rsidRPr="000A3A93">
        <w:rPr>
          <w:sz w:val="18"/>
          <w:szCs w:val="18"/>
          <w:u w:val="single"/>
        </w:rPr>
        <w:t>V stĺpci (5):</w:t>
      </w:r>
      <w:r w:rsidRPr="000A3A93">
        <w:rPr>
          <w:sz w:val="18"/>
          <w:szCs w:val="18"/>
        </w:rPr>
        <w:tab/>
      </w:r>
      <w:r w:rsidRPr="000A3A93">
        <w:rPr>
          <w:sz w:val="18"/>
          <w:szCs w:val="18"/>
        </w:rPr>
        <w:tab/>
      </w:r>
      <w:r w:rsidRPr="000A3A93">
        <w:rPr>
          <w:sz w:val="18"/>
          <w:szCs w:val="18"/>
          <w:u w:val="single"/>
        </w:rPr>
        <w:t>V stĺpci (7):</w:t>
      </w:r>
    </w:p>
    <w:p w:rsidR="002C5F03" w:rsidRPr="000A3A93" w:rsidRDefault="002C5F03" w:rsidP="002C5F03">
      <w:pPr>
        <w:rPr>
          <w:sz w:val="18"/>
          <w:szCs w:val="18"/>
        </w:rPr>
      </w:pPr>
      <w:r w:rsidRPr="000A3A93">
        <w:rPr>
          <w:sz w:val="18"/>
          <w:szCs w:val="18"/>
        </w:rPr>
        <w:t>Č – článok</w:t>
      </w:r>
      <w:r w:rsidRPr="000A3A93">
        <w:rPr>
          <w:sz w:val="18"/>
          <w:szCs w:val="18"/>
        </w:rPr>
        <w:tab/>
      </w:r>
      <w:r w:rsidRPr="000A3A93">
        <w:rPr>
          <w:sz w:val="18"/>
          <w:szCs w:val="18"/>
        </w:rPr>
        <w:tab/>
      </w:r>
      <w:r w:rsidRPr="000A3A93">
        <w:rPr>
          <w:sz w:val="18"/>
          <w:szCs w:val="18"/>
        </w:rPr>
        <w:tab/>
        <w:t>N – bežná transpozícia</w:t>
      </w:r>
      <w:r w:rsidRPr="000A3A93">
        <w:rPr>
          <w:sz w:val="18"/>
          <w:szCs w:val="18"/>
        </w:rPr>
        <w:tab/>
      </w:r>
      <w:r w:rsidRPr="000A3A93">
        <w:rPr>
          <w:sz w:val="18"/>
          <w:szCs w:val="18"/>
        </w:rPr>
        <w:tab/>
      </w:r>
      <w:r w:rsidRPr="000A3A93">
        <w:rPr>
          <w:sz w:val="18"/>
          <w:szCs w:val="18"/>
        </w:rPr>
        <w:tab/>
      </w:r>
      <w:r w:rsidRPr="000A3A93">
        <w:rPr>
          <w:sz w:val="18"/>
          <w:szCs w:val="18"/>
        </w:rPr>
        <w:tab/>
        <w:t>Č – článok</w:t>
      </w:r>
      <w:r w:rsidRPr="000A3A93">
        <w:rPr>
          <w:sz w:val="18"/>
          <w:szCs w:val="18"/>
        </w:rPr>
        <w:tab/>
      </w:r>
      <w:r w:rsidRPr="000A3A93">
        <w:rPr>
          <w:sz w:val="18"/>
          <w:szCs w:val="18"/>
        </w:rPr>
        <w:tab/>
        <w:t>Ú – úplná zhoda</w:t>
      </w:r>
    </w:p>
    <w:p w:rsidR="002C5F03" w:rsidRPr="000A3A93" w:rsidRDefault="002C5F03" w:rsidP="002C5F03">
      <w:pPr>
        <w:rPr>
          <w:sz w:val="18"/>
          <w:szCs w:val="18"/>
        </w:rPr>
      </w:pPr>
      <w:r w:rsidRPr="000A3A93">
        <w:rPr>
          <w:sz w:val="18"/>
          <w:szCs w:val="18"/>
        </w:rPr>
        <w:t>O – odsek</w:t>
      </w:r>
      <w:r w:rsidRPr="000A3A93">
        <w:rPr>
          <w:sz w:val="18"/>
          <w:szCs w:val="18"/>
        </w:rPr>
        <w:tab/>
      </w:r>
      <w:r w:rsidRPr="000A3A93">
        <w:rPr>
          <w:sz w:val="18"/>
          <w:szCs w:val="18"/>
        </w:rPr>
        <w:tab/>
      </w:r>
      <w:r w:rsidRPr="000A3A93">
        <w:rPr>
          <w:sz w:val="18"/>
          <w:szCs w:val="18"/>
        </w:rPr>
        <w:tab/>
        <w:t>O – transpozícia s možnosťou voľby</w:t>
      </w:r>
      <w:r w:rsidRPr="000A3A93">
        <w:rPr>
          <w:sz w:val="18"/>
          <w:szCs w:val="18"/>
        </w:rPr>
        <w:tab/>
      </w:r>
      <w:r w:rsidRPr="000A3A93">
        <w:rPr>
          <w:sz w:val="18"/>
          <w:szCs w:val="18"/>
        </w:rPr>
        <w:tab/>
      </w:r>
      <w:r w:rsidRPr="000A3A93">
        <w:rPr>
          <w:sz w:val="18"/>
          <w:szCs w:val="18"/>
        </w:rPr>
        <w:tab/>
        <w:t>§ - paragraf</w:t>
      </w:r>
      <w:r w:rsidRPr="000A3A93">
        <w:rPr>
          <w:sz w:val="18"/>
          <w:szCs w:val="18"/>
        </w:rPr>
        <w:tab/>
      </w:r>
      <w:r w:rsidRPr="000A3A93">
        <w:rPr>
          <w:sz w:val="18"/>
          <w:szCs w:val="18"/>
        </w:rPr>
        <w:tab/>
        <w:t>Č – čiastočná zhoda</w:t>
      </w:r>
    </w:p>
    <w:p w:rsidR="002C5F03" w:rsidRPr="000A3A93" w:rsidRDefault="002C5F03" w:rsidP="002C5F03">
      <w:pPr>
        <w:rPr>
          <w:sz w:val="18"/>
          <w:szCs w:val="18"/>
        </w:rPr>
      </w:pPr>
      <w:r w:rsidRPr="000A3A93">
        <w:rPr>
          <w:sz w:val="18"/>
          <w:szCs w:val="18"/>
        </w:rPr>
        <w:t>V – veta</w:t>
      </w:r>
      <w:r w:rsidRPr="000A3A93">
        <w:rPr>
          <w:sz w:val="18"/>
          <w:szCs w:val="18"/>
        </w:rPr>
        <w:tab/>
      </w:r>
      <w:r w:rsidRPr="000A3A93">
        <w:rPr>
          <w:sz w:val="18"/>
          <w:szCs w:val="18"/>
        </w:rPr>
        <w:tab/>
      </w:r>
      <w:r w:rsidRPr="000A3A93">
        <w:rPr>
          <w:sz w:val="18"/>
          <w:szCs w:val="18"/>
        </w:rPr>
        <w:tab/>
      </w:r>
      <w:r w:rsidRPr="000A3A93">
        <w:rPr>
          <w:sz w:val="18"/>
          <w:szCs w:val="18"/>
        </w:rPr>
        <w:tab/>
        <w:t>D – transpozícia podľa úvahy (dobrovoľná)</w:t>
      </w:r>
      <w:r w:rsidRPr="000A3A93">
        <w:rPr>
          <w:sz w:val="18"/>
          <w:szCs w:val="18"/>
        </w:rPr>
        <w:tab/>
      </w:r>
      <w:r w:rsidRPr="000A3A93">
        <w:rPr>
          <w:sz w:val="18"/>
          <w:szCs w:val="18"/>
        </w:rPr>
        <w:tab/>
        <w:t>O – odsek</w:t>
      </w:r>
      <w:r w:rsidRPr="000A3A93">
        <w:rPr>
          <w:sz w:val="18"/>
          <w:szCs w:val="18"/>
        </w:rPr>
        <w:tab/>
      </w:r>
      <w:r w:rsidRPr="000A3A93">
        <w:rPr>
          <w:sz w:val="18"/>
          <w:szCs w:val="18"/>
        </w:rPr>
        <w:tab/>
        <w:t xml:space="preserve">Ž – žiadna zhoda (ak nebola dosiahnutá ani </w:t>
      </w:r>
      <w:proofErr w:type="spellStart"/>
      <w:r w:rsidRPr="000A3A93">
        <w:rPr>
          <w:sz w:val="18"/>
          <w:szCs w:val="18"/>
        </w:rPr>
        <w:t>čast</w:t>
      </w:r>
      <w:proofErr w:type="spellEnd"/>
      <w:r w:rsidRPr="000A3A93">
        <w:rPr>
          <w:sz w:val="18"/>
          <w:szCs w:val="18"/>
        </w:rPr>
        <w:t xml:space="preserve">. ani úplná </w:t>
      </w:r>
    </w:p>
    <w:p w:rsidR="002C5F03" w:rsidRPr="000A3A93" w:rsidRDefault="002C5F03" w:rsidP="002C5F03">
      <w:pPr>
        <w:rPr>
          <w:sz w:val="18"/>
          <w:szCs w:val="18"/>
        </w:rPr>
      </w:pPr>
      <w:r w:rsidRPr="000A3A93">
        <w:rPr>
          <w:sz w:val="18"/>
          <w:szCs w:val="18"/>
        </w:rPr>
        <w:t>P – písmeno (číslo)</w:t>
      </w:r>
      <w:r w:rsidRPr="000A3A93">
        <w:rPr>
          <w:sz w:val="18"/>
          <w:szCs w:val="18"/>
        </w:rPr>
        <w:tab/>
      </w:r>
      <w:r w:rsidRPr="000A3A93">
        <w:rPr>
          <w:sz w:val="18"/>
          <w:szCs w:val="18"/>
        </w:rPr>
        <w:tab/>
      </w:r>
      <w:r w:rsidRPr="000A3A93">
        <w:rPr>
          <w:sz w:val="18"/>
          <w:szCs w:val="18"/>
        </w:rPr>
        <w:tab/>
      </w:r>
      <w:proofErr w:type="spellStart"/>
      <w:r w:rsidRPr="000A3A93">
        <w:rPr>
          <w:sz w:val="18"/>
          <w:szCs w:val="18"/>
        </w:rPr>
        <w:t>n.a</w:t>
      </w:r>
      <w:proofErr w:type="spellEnd"/>
      <w:r w:rsidRPr="000A3A93">
        <w:rPr>
          <w:sz w:val="18"/>
          <w:szCs w:val="18"/>
        </w:rPr>
        <w:t>. – transpozícia sa neuskutočňuje</w:t>
      </w:r>
      <w:r w:rsidRPr="000A3A93">
        <w:rPr>
          <w:sz w:val="18"/>
          <w:szCs w:val="18"/>
        </w:rPr>
        <w:tab/>
      </w:r>
      <w:r w:rsidRPr="000A3A93">
        <w:rPr>
          <w:sz w:val="18"/>
          <w:szCs w:val="18"/>
        </w:rPr>
        <w:tab/>
      </w:r>
      <w:r w:rsidRPr="000A3A93">
        <w:rPr>
          <w:sz w:val="18"/>
          <w:szCs w:val="18"/>
        </w:rPr>
        <w:tab/>
        <w:t>V – veta</w:t>
      </w:r>
      <w:r w:rsidRPr="000A3A93">
        <w:rPr>
          <w:sz w:val="18"/>
          <w:szCs w:val="18"/>
        </w:rPr>
        <w:tab/>
      </w:r>
      <w:r w:rsidRPr="000A3A93">
        <w:rPr>
          <w:sz w:val="18"/>
          <w:szCs w:val="18"/>
        </w:rPr>
        <w:tab/>
      </w:r>
      <w:r w:rsidRPr="000A3A93">
        <w:rPr>
          <w:sz w:val="18"/>
          <w:szCs w:val="18"/>
        </w:rPr>
        <w:tab/>
        <w:t>zhoda alebo k prebratiu dôjde v budúcnosti)</w:t>
      </w:r>
    </w:p>
    <w:p w:rsidR="002C5F03" w:rsidRPr="000A3A93" w:rsidRDefault="002C5F03" w:rsidP="002C5F03">
      <w:pPr>
        <w:ind w:left="9180" w:hanging="2100"/>
        <w:rPr>
          <w:sz w:val="18"/>
          <w:szCs w:val="18"/>
        </w:rPr>
      </w:pPr>
      <w:r w:rsidRPr="000A3A93">
        <w:rPr>
          <w:sz w:val="18"/>
          <w:szCs w:val="18"/>
        </w:rPr>
        <w:t>P – písmeno (číslo)</w:t>
      </w:r>
      <w:r w:rsidRPr="000A3A93">
        <w:rPr>
          <w:sz w:val="18"/>
          <w:szCs w:val="18"/>
        </w:rPr>
        <w:tab/>
      </w:r>
      <w:proofErr w:type="spellStart"/>
      <w:r w:rsidRPr="000A3A93">
        <w:rPr>
          <w:sz w:val="18"/>
          <w:szCs w:val="18"/>
        </w:rPr>
        <w:t>n.a</w:t>
      </w:r>
      <w:proofErr w:type="spellEnd"/>
      <w:r w:rsidRPr="000A3A93">
        <w:rPr>
          <w:sz w:val="18"/>
          <w:szCs w:val="18"/>
        </w:rPr>
        <w:t>. – neaplikovateľnosť (ak sa ustanovenie smernice netýka SR alebo nie je potrebné ho prebrať)</w:t>
      </w:r>
    </w:p>
    <w:p w:rsidR="002C5F03" w:rsidRDefault="002C5F03">
      <w:pPr>
        <w:rPr>
          <w:sz w:val="18"/>
          <w:szCs w:val="18"/>
        </w:rPr>
      </w:pPr>
    </w:p>
    <w:p w:rsidR="00FF006A" w:rsidRDefault="00FF006A" w:rsidP="00FF006A">
      <w:pPr>
        <w:pStyle w:val="Nadpis3"/>
        <w:rPr>
          <w:rFonts w:ascii="Times New Roman" w:hAnsi="Times New Roman" w:cs="Times New Roman"/>
        </w:rPr>
      </w:pPr>
      <w:r>
        <w:rPr>
          <w:rFonts w:ascii="Times New Roman" w:hAnsi="Times New Roman" w:cs="Times New Roman"/>
        </w:rPr>
        <w:t>Príloha č. 1 k NNV</w:t>
      </w:r>
    </w:p>
    <w:p w:rsidR="00FF006A" w:rsidRPr="00454A45" w:rsidRDefault="00FF006A" w:rsidP="00FF006A">
      <w:pPr>
        <w:pStyle w:val="Nadpis3"/>
        <w:rPr>
          <w:rFonts w:ascii="Times New Roman" w:hAnsi="Times New Roman" w:cs="Times New Roman"/>
        </w:rPr>
      </w:pPr>
      <w:r w:rsidRPr="00454A45">
        <w:rPr>
          <w:rFonts w:ascii="Times New Roman" w:hAnsi="Times New Roman" w:cs="Times New Roman"/>
        </w:rPr>
        <w:t xml:space="preserve">Časť A. Prahové hodnoty pre útvary podzemných vôd v kvartérnych </w:t>
      </w:r>
      <w:r>
        <w:rPr>
          <w:rFonts w:ascii="Times New Roman" w:hAnsi="Times New Roman" w:cs="Times New Roman"/>
        </w:rPr>
        <w:t>náplavoch</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1276"/>
        <w:gridCol w:w="709"/>
        <w:gridCol w:w="968"/>
        <w:gridCol w:w="733"/>
        <w:gridCol w:w="709"/>
        <w:gridCol w:w="850"/>
        <w:gridCol w:w="851"/>
        <w:gridCol w:w="708"/>
        <w:gridCol w:w="851"/>
        <w:gridCol w:w="850"/>
        <w:gridCol w:w="851"/>
        <w:gridCol w:w="709"/>
        <w:gridCol w:w="708"/>
        <w:gridCol w:w="851"/>
        <w:gridCol w:w="709"/>
        <w:gridCol w:w="708"/>
        <w:gridCol w:w="709"/>
      </w:tblGrid>
      <w:tr w:rsidR="00FF006A" w:rsidRPr="00FC6795" w:rsidTr="003925CB">
        <w:trPr>
          <w:trHeight w:val="374"/>
        </w:trPr>
        <w:tc>
          <w:tcPr>
            <w:tcW w:w="1276" w:type="dxa"/>
            <w:shd w:val="clear" w:color="auto" w:fill="auto"/>
            <w:noWrap/>
            <w:vAlign w:val="center"/>
          </w:tcPr>
          <w:p w:rsidR="00FF006A" w:rsidRPr="00DC4245" w:rsidRDefault="00FF006A" w:rsidP="003925CB">
            <w:pPr>
              <w:rPr>
                <w:sz w:val="18"/>
                <w:szCs w:val="18"/>
              </w:rPr>
            </w:pPr>
            <w:r>
              <w:rPr>
                <w:rFonts w:ascii="Book Antiqua" w:hAnsi="Book Antiqua"/>
                <w:b/>
                <w:color w:val="20231E"/>
                <w:w w:val="110"/>
                <w:sz w:val="16"/>
              </w:rPr>
              <w:t xml:space="preserve"> Kód útvaru</w:t>
            </w:r>
          </w:p>
        </w:tc>
        <w:tc>
          <w:tcPr>
            <w:tcW w:w="709" w:type="dxa"/>
            <w:shd w:val="clear" w:color="auto" w:fill="auto"/>
            <w:noWrap/>
            <w:vAlign w:val="bottom"/>
          </w:tcPr>
          <w:p w:rsidR="00FF006A" w:rsidRPr="002D5BE0" w:rsidRDefault="00FF006A" w:rsidP="003925CB">
            <w:pPr>
              <w:jc w:val="center"/>
              <w:rPr>
                <w:rFonts w:ascii="Book Antiqua" w:hAnsi="Book Antiqua"/>
                <w:b/>
                <w:w w:val="105"/>
                <w:sz w:val="16"/>
                <w:szCs w:val="16"/>
              </w:rPr>
            </w:pPr>
            <w:r w:rsidRPr="002D5BE0">
              <w:rPr>
                <w:rFonts w:ascii="Book Antiqua" w:hAnsi="Book Antiqua"/>
                <w:b/>
                <w:w w:val="105"/>
                <w:sz w:val="16"/>
                <w:szCs w:val="16"/>
              </w:rPr>
              <w:t>Arzén</w:t>
            </w:r>
          </w:p>
          <w:p w:rsidR="00FF006A" w:rsidRPr="00DC4245" w:rsidRDefault="00FF006A" w:rsidP="003925CB">
            <w:pPr>
              <w:jc w:val="center"/>
              <w:rPr>
                <w:sz w:val="18"/>
                <w:szCs w:val="18"/>
              </w:rPr>
            </w:pPr>
            <w:r w:rsidRPr="002D5BE0">
              <w:rPr>
                <w:rFonts w:ascii="Book Antiqua" w:hAnsi="Book Antiqua"/>
                <w:b/>
                <w:w w:val="105"/>
                <w:sz w:val="16"/>
                <w:szCs w:val="16"/>
              </w:rPr>
              <w:t>As</w:t>
            </w:r>
          </w:p>
        </w:tc>
        <w:tc>
          <w:tcPr>
            <w:tcW w:w="968" w:type="dxa"/>
            <w:vAlign w:val="bottom"/>
          </w:tcPr>
          <w:p w:rsidR="00FF006A" w:rsidRPr="002D5BE0" w:rsidRDefault="00FF006A" w:rsidP="003925CB">
            <w:pPr>
              <w:jc w:val="center"/>
              <w:rPr>
                <w:rFonts w:ascii="Book Antiqua" w:hAnsi="Book Antiqua"/>
                <w:b/>
                <w:w w:val="105"/>
                <w:sz w:val="16"/>
                <w:szCs w:val="16"/>
              </w:rPr>
            </w:pPr>
            <w:r w:rsidRPr="002D5BE0">
              <w:rPr>
                <w:rFonts w:ascii="Book Antiqua" w:hAnsi="Book Antiqua"/>
                <w:b/>
                <w:w w:val="105"/>
                <w:sz w:val="16"/>
                <w:szCs w:val="16"/>
              </w:rPr>
              <w:t>Kadmium</w:t>
            </w:r>
          </w:p>
          <w:p w:rsidR="00FF006A" w:rsidRPr="00DC4245" w:rsidRDefault="00FF006A" w:rsidP="003925CB">
            <w:pPr>
              <w:jc w:val="center"/>
              <w:rPr>
                <w:sz w:val="18"/>
                <w:szCs w:val="18"/>
              </w:rPr>
            </w:pPr>
            <w:r w:rsidRPr="002D5BE0">
              <w:rPr>
                <w:rFonts w:ascii="Book Antiqua" w:hAnsi="Book Antiqua"/>
                <w:b/>
                <w:w w:val="105"/>
                <w:sz w:val="16"/>
                <w:szCs w:val="16"/>
              </w:rPr>
              <w:t>Cd</w:t>
            </w:r>
          </w:p>
        </w:tc>
        <w:tc>
          <w:tcPr>
            <w:tcW w:w="733" w:type="dxa"/>
            <w:shd w:val="clear" w:color="auto" w:fill="auto"/>
            <w:noWrap/>
            <w:vAlign w:val="bottom"/>
          </w:tcPr>
          <w:p w:rsidR="00FF006A" w:rsidRPr="002D5BE0" w:rsidRDefault="00FF006A" w:rsidP="003925CB">
            <w:pPr>
              <w:ind w:hanging="30"/>
              <w:jc w:val="center"/>
              <w:rPr>
                <w:rFonts w:ascii="Book Antiqua"/>
                <w:b/>
                <w:w w:val="105"/>
                <w:sz w:val="16"/>
                <w:szCs w:val="16"/>
              </w:rPr>
            </w:pPr>
            <w:r w:rsidRPr="002D5BE0">
              <w:rPr>
                <w:rFonts w:ascii="Book Antiqua"/>
                <w:b/>
                <w:w w:val="105"/>
                <w:sz w:val="16"/>
                <w:szCs w:val="16"/>
              </w:rPr>
              <w:t>Olovo</w:t>
            </w:r>
          </w:p>
          <w:p w:rsidR="00FF006A" w:rsidRPr="00DC4245" w:rsidRDefault="00FF006A" w:rsidP="003925CB">
            <w:pPr>
              <w:jc w:val="center"/>
              <w:rPr>
                <w:sz w:val="18"/>
                <w:szCs w:val="18"/>
              </w:rPr>
            </w:pPr>
            <w:r w:rsidRPr="002D5BE0">
              <w:rPr>
                <w:rFonts w:ascii="Book Antiqua"/>
                <w:b/>
                <w:w w:val="105"/>
                <w:sz w:val="16"/>
                <w:szCs w:val="16"/>
              </w:rPr>
              <w:t>Pb</w:t>
            </w:r>
          </w:p>
        </w:tc>
        <w:tc>
          <w:tcPr>
            <w:tcW w:w="709" w:type="dxa"/>
            <w:shd w:val="clear" w:color="auto" w:fill="auto"/>
            <w:noWrap/>
            <w:vAlign w:val="bottom"/>
          </w:tcPr>
          <w:p w:rsidR="00FF006A" w:rsidRPr="002D5BE0" w:rsidRDefault="00FF006A" w:rsidP="003925CB">
            <w:pPr>
              <w:jc w:val="center"/>
              <w:rPr>
                <w:rFonts w:ascii="Book Antiqua" w:hAnsi="Book Antiqua"/>
                <w:b/>
                <w:w w:val="105"/>
                <w:sz w:val="16"/>
                <w:szCs w:val="16"/>
              </w:rPr>
            </w:pPr>
            <w:r w:rsidRPr="002D5BE0">
              <w:rPr>
                <w:rFonts w:ascii="Book Antiqua" w:hAnsi="Book Antiqua"/>
                <w:b/>
                <w:w w:val="105"/>
                <w:sz w:val="16"/>
                <w:szCs w:val="16"/>
              </w:rPr>
              <w:t>Ortuť</w:t>
            </w:r>
          </w:p>
          <w:p w:rsidR="00FF006A" w:rsidRPr="00DC4245" w:rsidRDefault="00FF006A" w:rsidP="003925CB">
            <w:pPr>
              <w:jc w:val="center"/>
              <w:rPr>
                <w:sz w:val="18"/>
                <w:szCs w:val="18"/>
              </w:rPr>
            </w:pPr>
            <w:r w:rsidRPr="002D5BE0">
              <w:rPr>
                <w:rFonts w:ascii="Book Antiqua" w:hAnsi="Book Antiqua"/>
                <w:b/>
                <w:w w:val="105"/>
                <w:sz w:val="16"/>
                <w:szCs w:val="16"/>
              </w:rPr>
              <w:t>Hg</w:t>
            </w:r>
          </w:p>
        </w:tc>
        <w:tc>
          <w:tcPr>
            <w:tcW w:w="850" w:type="dxa"/>
            <w:shd w:val="clear" w:color="auto" w:fill="auto"/>
            <w:noWrap/>
            <w:vAlign w:val="bottom"/>
          </w:tcPr>
          <w:p w:rsidR="00FF006A" w:rsidRPr="002D5BE0" w:rsidRDefault="00FF006A" w:rsidP="003925CB">
            <w:pPr>
              <w:jc w:val="center"/>
              <w:rPr>
                <w:rFonts w:ascii="Book Antiqua"/>
                <w:b/>
                <w:w w:val="105"/>
                <w:sz w:val="16"/>
                <w:szCs w:val="16"/>
              </w:rPr>
            </w:pPr>
            <w:r w:rsidRPr="002D5BE0">
              <w:rPr>
                <w:rFonts w:ascii="Book Antiqua"/>
                <w:b/>
                <w:w w:val="105"/>
                <w:sz w:val="16"/>
                <w:szCs w:val="16"/>
              </w:rPr>
              <w:t>Am</w:t>
            </w:r>
            <w:r w:rsidRPr="002D5BE0">
              <w:rPr>
                <w:rFonts w:ascii="Book Antiqua"/>
                <w:b/>
                <w:w w:val="105"/>
                <w:sz w:val="16"/>
                <w:szCs w:val="16"/>
              </w:rPr>
              <w:t>ó</w:t>
            </w:r>
            <w:r w:rsidRPr="002D5BE0">
              <w:rPr>
                <w:rFonts w:ascii="Book Antiqua"/>
                <w:b/>
                <w:w w:val="105"/>
                <w:sz w:val="16"/>
                <w:szCs w:val="16"/>
              </w:rPr>
              <w:t>nny kati</w:t>
            </w:r>
            <w:r w:rsidRPr="002D5BE0">
              <w:rPr>
                <w:rFonts w:ascii="Book Antiqua"/>
                <w:b/>
                <w:w w:val="105"/>
                <w:sz w:val="16"/>
                <w:szCs w:val="16"/>
              </w:rPr>
              <w:t>ó</w:t>
            </w:r>
            <w:r w:rsidRPr="002D5BE0">
              <w:rPr>
                <w:rFonts w:ascii="Book Antiqua"/>
                <w:b/>
                <w:w w:val="105"/>
                <w:sz w:val="16"/>
                <w:szCs w:val="16"/>
              </w:rPr>
              <w:t>n</w:t>
            </w:r>
          </w:p>
          <w:p w:rsidR="00FF006A" w:rsidRPr="00DC4245" w:rsidRDefault="00FF006A" w:rsidP="003925CB">
            <w:pPr>
              <w:jc w:val="center"/>
              <w:rPr>
                <w:sz w:val="18"/>
                <w:szCs w:val="18"/>
              </w:rPr>
            </w:pPr>
            <w:r w:rsidRPr="002D5BE0">
              <w:rPr>
                <w:rFonts w:ascii="Book Antiqua"/>
                <w:b/>
                <w:w w:val="105"/>
                <w:sz w:val="16"/>
                <w:szCs w:val="16"/>
              </w:rPr>
              <w:t>NH</w:t>
            </w:r>
            <w:r w:rsidRPr="002D5BE0">
              <w:rPr>
                <w:rFonts w:ascii="Book Antiqua"/>
                <w:b/>
                <w:w w:val="105"/>
                <w:sz w:val="16"/>
                <w:szCs w:val="16"/>
                <w:vertAlign w:val="subscript"/>
              </w:rPr>
              <w:t>4</w:t>
            </w:r>
            <w:r w:rsidRPr="002D5BE0">
              <w:rPr>
                <w:rFonts w:ascii="Book Antiqua"/>
                <w:b/>
                <w:w w:val="105"/>
                <w:sz w:val="16"/>
                <w:szCs w:val="16"/>
                <w:vertAlign w:val="superscript"/>
              </w:rPr>
              <w:t>+</w:t>
            </w:r>
          </w:p>
        </w:tc>
        <w:tc>
          <w:tcPr>
            <w:tcW w:w="851" w:type="dxa"/>
            <w:vAlign w:val="bottom"/>
          </w:tcPr>
          <w:p w:rsidR="00FF006A" w:rsidRPr="002D5BE0" w:rsidRDefault="00FF006A" w:rsidP="003925CB">
            <w:pPr>
              <w:jc w:val="center"/>
              <w:rPr>
                <w:rFonts w:ascii="Book Antiqua" w:hAnsi="Book Antiqua"/>
                <w:b/>
                <w:w w:val="105"/>
                <w:sz w:val="16"/>
                <w:szCs w:val="16"/>
              </w:rPr>
            </w:pPr>
            <w:r w:rsidRPr="002D5BE0">
              <w:rPr>
                <w:rFonts w:ascii="Book Antiqua" w:hAnsi="Book Antiqua"/>
                <w:b/>
                <w:w w:val="105"/>
                <w:sz w:val="16"/>
                <w:szCs w:val="16"/>
              </w:rPr>
              <w:t>Chloridy</w:t>
            </w:r>
          </w:p>
          <w:p w:rsidR="00FF006A" w:rsidRPr="00DC4245" w:rsidRDefault="00FF006A" w:rsidP="003925CB">
            <w:pPr>
              <w:jc w:val="center"/>
              <w:rPr>
                <w:sz w:val="18"/>
                <w:szCs w:val="18"/>
              </w:rPr>
            </w:pPr>
            <w:r w:rsidRPr="002D5BE0">
              <w:rPr>
                <w:rFonts w:ascii="Book Antiqua" w:hAnsi="Book Antiqua"/>
                <w:b/>
                <w:w w:val="105"/>
                <w:sz w:val="16"/>
                <w:szCs w:val="16"/>
              </w:rPr>
              <w:t>Cl-</w:t>
            </w:r>
          </w:p>
        </w:tc>
        <w:tc>
          <w:tcPr>
            <w:tcW w:w="708" w:type="dxa"/>
            <w:shd w:val="clear" w:color="auto" w:fill="auto"/>
            <w:noWrap/>
            <w:vAlign w:val="bottom"/>
          </w:tcPr>
          <w:p w:rsidR="00FF006A" w:rsidRPr="002D5BE0" w:rsidRDefault="00FF006A" w:rsidP="003925CB">
            <w:pPr>
              <w:jc w:val="center"/>
              <w:rPr>
                <w:rFonts w:ascii="Book Antiqua" w:hAnsi="Book Antiqua"/>
                <w:b/>
                <w:w w:val="110"/>
                <w:sz w:val="16"/>
                <w:szCs w:val="16"/>
              </w:rPr>
            </w:pPr>
            <w:r w:rsidRPr="002D5BE0">
              <w:rPr>
                <w:rFonts w:ascii="Book Antiqua" w:hAnsi="Book Antiqua"/>
                <w:b/>
                <w:w w:val="110"/>
                <w:sz w:val="16"/>
                <w:szCs w:val="16"/>
              </w:rPr>
              <w:t>Sírany</w:t>
            </w:r>
          </w:p>
          <w:p w:rsidR="00FF006A" w:rsidRPr="00DC4245" w:rsidRDefault="00FF006A" w:rsidP="003925CB">
            <w:pPr>
              <w:jc w:val="center"/>
              <w:rPr>
                <w:sz w:val="18"/>
                <w:szCs w:val="18"/>
              </w:rPr>
            </w:pPr>
            <w:r w:rsidRPr="002D5BE0">
              <w:rPr>
                <w:rFonts w:ascii="Book Antiqua" w:hAnsi="Book Antiqua"/>
                <w:b/>
                <w:w w:val="110"/>
                <w:sz w:val="16"/>
                <w:szCs w:val="16"/>
              </w:rPr>
              <w:t>SO</w:t>
            </w:r>
            <w:r w:rsidRPr="002D5BE0">
              <w:rPr>
                <w:rFonts w:ascii="Book Antiqua" w:hAnsi="Book Antiqua"/>
                <w:b/>
                <w:w w:val="110"/>
                <w:sz w:val="16"/>
                <w:szCs w:val="16"/>
                <w:vertAlign w:val="subscript"/>
              </w:rPr>
              <w:t>4</w:t>
            </w:r>
            <w:r w:rsidRPr="002D5BE0">
              <w:rPr>
                <w:rFonts w:ascii="Book Antiqua" w:hAnsi="Book Antiqua"/>
                <w:b/>
                <w:w w:val="110"/>
                <w:sz w:val="16"/>
                <w:szCs w:val="16"/>
                <w:vertAlign w:val="superscript"/>
              </w:rPr>
              <w:t>2-</w:t>
            </w:r>
          </w:p>
        </w:tc>
        <w:tc>
          <w:tcPr>
            <w:tcW w:w="851" w:type="dxa"/>
            <w:vAlign w:val="bottom"/>
          </w:tcPr>
          <w:p w:rsidR="00FF006A" w:rsidRPr="002D5BE0" w:rsidRDefault="00FF006A" w:rsidP="003925CB">
            <w:pPr>
              <w:jc w:val="center"/>
              <w:rPr>
                <w:rFonts w:ascii="Book Antiqua"/>
                <w:b/>
                <w:w w:val="110"/>
                <w:sz w:val="16"/>
                <w:szCs w:val="16"/>
              </w:rPr>
            </w:pPr>
            <w:proofErr w:type="spellStart"/>
            <w:r w:rsidRPr="002D5BE0">
              <w:rPr>
                <w:rFonts w:ascii="Book Antiqua"/>
                <w:b/>
                <w:w w:val="110"/>
                <w:sz w:val="16"/>
                <w:szCs w:val="16"/>
              </w:rPr>
              <w:t>Dusitany</w:t>
            </w:r>
            <w:proofErr w:type="spellEnd"/>
          </w:p>
          <w:p w:rsidR="00FF006A" w:rsidRPr="00251433" w:rsidRDefault="00FF006A" w:rsidP="003925CB">
            <w:pPr>
              <w:jc w:val="center"/>
              <w:rPr>
                <w:sz w:val="18"/>
                <w:szCs w:val="18"/>
              </w:rPr>
            </w:pPr>
            <w:r w:rsidRPr="002D5BE0">
              <w:rPr>
                <w:rFonts w:ascii="Book Antiqua"/>
                <w:b/>
                <w:w w:val="110"/>
                <w:sz w:val="16"/>
                <w:szCs w:val="16"/>
              </w:rPr>
              <w:t>NO</w:t>
            </w:r>
            <w:r w:rsidRPr="002D5BE0">
              <w:rPr>
                <w:rFonts w:ascii="Book Antiqua"/>
                <w:b/>
                <w:w w:val="110"/>
                <w:sz w:val="16"/>
                <w:szCs w:val="16"/>
                <w:vertAlign w:val="subscript"/>
              </w:rPr>
              <w:t>2</w:t>
            </w:r>
            <w:r w:rsidRPr="002D5BE0">
              <w:rPr>
                <w:rFonts w:ascii="Book Antiqua"/>
                <w:b/>
                <w:w w:val="110"/>
                <w:sz w:val="16"/>
                <w:szCs w:val="16"/>
                <w:vertAlign w:val="superscript"/>
              </w:rPr>
              <w:t>-</w:t>
            </w:r>
          </w:p>
        </w:tc>
        <w:tc>
          <w:tcPr>
            <w:tcW w:w="850" w:type="dxa"/>
            <w:vAlign w:val="bottom"/>
          </w:tcPr>
          <w:p w:rsidR="00FF006A" w:rsidRPr="002D5BE0" w:rsidRDefault="00FF006A" w:rsidP="003925CB">
            <w:pPr>
              <w:jc w:val="center"/>
              <w:rPr>
                <w:rFonts w:ascii="Book Antiqua"/>
                <w:b/>
                <w:w w:val="110"/>
                <w:sz w:val="16"/>
                <w:szCs w:val="16"/>
              </w:rPr>
            </w:pPr>
            <w:r w:rsidRPr="002D5BE0">
              <w:rPr>
                <w:rFonts w:ascii="Book Antiqua"/>
                <w:b/>
                <w:w w:val="110"/>
                <w:sz w:val="16"/>
                <w:szCs w:val="16"/>
              </w:rPr>
              <w:t>Fluoridy</w:t>
            </w:r>
          </w:p>
          <w:p w:rsidR="00FF006A" w:rsidRPr="00DC4245" w:rsidRDefault="00FF006A" w:rsidP="003925CB">
            <w:pPr>
              <w:jc w:val="center"/>
              <w:rPr>
                <w:sz w:val="18"/>
                <w:szCs w:val="18"/>
              </w:rPr>
            </w:pPr>
            <w:r w:rsidRPr="002D5BE0">
              <w:rPr>
                <w:rFonts w:ascii="Book Antiqua"/>
                <w:b/>
                <w:w w:val="115"/>
                <w:sz w:val="16"/>
                <w:szCs w:val="16"/>
              </w:rPr>
              <w:t>F</w:t>
            </w:r>
            <w:r w:rsidRPr="002D5BE0">
              <w:rPr>
                <w:rFonts w:ascii="Book Antiqua"/>
                <w:b/>
                <w:w w:val="115"/>
                <w:sz w:val="16"/>
                <w:szCs w:val="16"/>
                <w:vertAlign w:val="superscript"/>
              </w:rPr>
              <w:t>-</w:t>
            </w:r>
          </w:p>
        </w:tc>
        <w:tc>
          <w:tcPr>
            <w:tcW w:w="851" w:type="dxa"/>
            <w:vAlign w:val="bottom"/>
          </w:tcPr>
          <w:p w:rsidR="00FF006A" w:rsidRPr="002D5BE0" w:rsidRDefault="00FF006A" w:rsidP="003925CB">
            <w:pPr>
              <w:pStyle w:val="TableParagraph"/>
              <w:spacing w:before="0" w:line="220" w:lineRule="atLeast"/>
              <w:jc w:val="center"/>
              <w:rPr>
                <w:rFonts w:ascii="Book Antiqua" w:hAnsi="Book Antiqua"/>
                <w:b/>
                <w:w w:val="110"/>
                <w:sz w:val="16"/>
                <w:szCs w:val="16"/>
              </w:rPr>
            </w:pPr>
            <w:proofErr w:type="spellStart"/>
            <w:r w:rsidRPr="002D5BE0">
              <w:rPr>
                <w:rFonts w:ascii="Book Antiqua" w:hAnsi="Book Antiqua"/>
                <w:b/>
                <w:w w:val="110"/>
                <w:sz w:val="16"/>
                <w:szCs w:val="16"/>
              </w:rPr>
              <w:t>Fosfo-rečnany</w:t>
            </w:r>
            <w:proofErr w:type="spellEnd"/>
          </w:p>
          <w:p w:rsidR="00FF006A" w:rsidRPr="00251433" w:rsidRDefault="00FF006A" w:rsidP="003925CB">
            <w:pPr>
              <w:jc w:val="center"/>
              <w:rPr>
                <w:sz w:val="18"/>
                <w:szCs w:val="18"/>
              </w:rPr>
            </w:pPr>
            <w:r w:rsidRPr="002D5BE0">
              <w:rPr>
                <w:rFonts w:ascii="Book Antiqua" w:hAnsi="Book Antiqua"/>
                <w:b/>
                <w:w w:val="110"/>
                <w:sz w:val="16"/>
                <w:szCs w:val="16"/>
              </w:rPr>
              <w:t>PO</w:t>
            </w:r>
            <w:r w:rsidRPr="002D5BE0">
              <w:rPr>
                <w:rFonts w:ascii="Book Antiqua" w:hAnsi="Book Antiqua"/>
                <w:b/>
                <w:w w:val="110"/>
                <w:sz w:val="16"/>
                <w:szCs w:val="16"/>
                <w:vertAlign w:val="subscript"/>
              </w:rPr>
              <w:t>4</w:t>
            </w:r>
            <w:r w:rsidRPr="002D5BE0">
              <w:rPr>
                <w:rFonts w:ascii="Book Antiqua" w:hAnsi="Book Antiqua"/>
                <w:b/>
                <w:w w:val="110"/>
                <w:sz w:val="16"/>
                <w:szCs w:val="16"/>
                <w:vertAlign w:val="superscript"/>
              </w:rPr>
              <w:t>3-</w:t>
            </w:r>
          </w:p>
        </w:tc>
        <w:tc>
          <w:tcPr>
            <w:tcW w:w="709" w:type="dxa"/>
            <w:shd w:val="clear" w:color="auto" w:fill="auto"/>
            <w:noWrap/>
            <w:vAlign w:val="bottom"/>
          </w:tcPr>
          <w:p w:rsidR="00FF006A" w:rsidRPr="002D5BE0" w:rsidRDefault="00FF006A" w:rsidP="003925CB">
            <w:pPr>
              <w:ind w:firstLine="97"/>
              <w:jc w:val="center"/>
              <w:rPr>
                <w:rFonts w:ascii="Book Antiqua" w:hAnsi="Book Antiqua"/>
                <w:b/>
                <w:w w:val="105"/>
                <w:sz w:val="16"/>
                <w:szCs w:val="16"/>
              </w:rPr>
            </w:pPr>
            <w:r w:rsidRPr="002D5BE0">
              <w:rPr>
                <w:rFonts w:ascii="Book Antiqua" w:hAnsi="Book Antiqua"/>
                <w:b/>
                <w:w w:val="105"/>
                <w:sz w:val="16"/>
                <w:szCs w:val="16"/>
              </w:rPr>
              <w:t>Sodík</w:t>
            </w:r>
          </w:p>
          <w:p w:rsidR="00FF006A" w:rsidRPr="00DC4245" w:rsidRDefault="00FF006A" w:rsidP="003925CB">
            <w:pPr>
              <w:jc w:val="center"/>
              <w:rPr>
                <w:sz w:val="18"/>
                <w:szCs w:val="18"/>
              </w:rPr>
            </w:pPr>
            <w:r w:rsidRPr="002D5BE0">
              <w:rPr>
                <w:rFonts w:ascii="Book Antiqua" w:hAnsi="Book Antiqua"/>
                <w:b/>
                <w:w w:val="105"/>
                <w:sz w:val="16"/>
                <w:szCs w:val="16"/>
              </w:rPr>
              <w:t>Na</w:t>
            </w:r>
          </w:p>
        </w:tc>
        <w:tc>
          <w:tcPr>
            <w:tcW w:w="708" w:type="dxa"/>
            <w:vAlign w:val="bottom"/>
          </w:tcPr>
          <w:p w:rsidR="00FF006A" w:rsidRPr="00DC4245" w:rsidRDefault="00FF006A" w:rsidP="003925CB">
            <w:pPr>
              <w:jc w:val="center"/>
              <w:rPr>
                <w:sz w:val="18"/>
                <w:szCs w:val="18"/>
              </w:rPr>
            </w:pPr>
            <w:r w:rsidRPr="002D5BE0">
              <w:rPr>
                <w:rFonts w:ascii="Book Antiqua" w:hAnsi="Book Antiqua"/>
                <w:b/>
                <w:w w:val="110"/>
                <w:sz w:val="16"/>
                <w:szCs w:val="16"/>
              </w:rPr>
              <w:t>Chróm</w:t>
            </w:r>
            <w:r w:rsidRPr="002D5BE0">
              <w:rPr>
                <w:rFonts w:ascii="Book Antiqua" w:hAnsi="Book Antiqua"/>
                <w:b/>
                <w:w w:val="110"/>
                <w:position w:val="-3"/>
                <w:sz w:val="16"/>
                <w:szCs w:val="16"/>
              </w:rPr>
              <w:t xml:space="preserve"> </w:t>
            </w:r>
            <w:r w:rsidRPr="002D5BE0">
              <w:rPr>
                <w:rFonts w:ascii="Book Antiqua" w:hAnsi="Book Antiqua"/>
                <w:b/>
                <w:w w:val="115"/>
                <w:sz w:val="16"/>
                <w:szCs w:val="16"/>
              </w:rPr>
              <w:t>Cr</w:t>
            </w:r>
          </w:p>
        </w:tc>
        <w:tc>
          <w:tcPr>
            <w:tcW w:w="851" w:type="dxa"/>
            <w:vAlign w:val="bottom"/>
          </w:tcPr>
          <w:p w:rsidR="00FF006A" w:rsidRPr="002D5BE0" w:rsidRDefault="00FF006A" w:rsidP="003925CB">
            <w:pPr>
              <w:jc w:val="center"/>
              <w:rPr>
                <w:rFonts w:ascii="Book Antiqua" w:hAnsi="Book Antiqua"/>
                <w:b/>
                <w:w w:val="105"/>
                <w:sz w:val="16"/>
                <w:szCs w:val="16"/>
              </w:rPr>
            </w:pPr>
            <w:r w:rsidRPr="002D5BE0">
              <w:rPr>
                <w:rFonts w:ascii="Book Antiqua" w:hAnsi="Book Antiqua"/>
                <w:b/>
                <w:w w:val="105"/>
                <w:sz w:val="16"/>
                <w:szCs w:val="16"/>
              </w:rPr>
              <w:t>Mangán</w:t>
            </w:r>
          </w:p>
          <w:p w:rsidR="00FF006A" w:rsidRPr="00DC4245" w:rsidRDefault="00FF006A" w:rsidP="003925CB">
            <w:pPr>
              <w:jc w:val="center"/>
              <w:rPr>
                <w:sz w:val="18"/>
                <w:szCs w:val="18"/>
              </w:rPr>
            </w:pPr>
            <w:r w:rsidRPr="002D5BE0">
              <w:rPr>
                <w:rFonts w:ascii="Book Antiqua" w:hAnsi="Book Antiqua"/>
                <w:b/>
                <w:w w:val="105"/>
                <w:sz w:val="16"/>
                <w:szCs w:val="16"/>
              </w:rPr>
              <w:t>Mn</w:t>
            </w:r>
          </w:p>
        </w:tc>
        <w:tc>
          <w:tcPr>
            <w:tcW w:w="709" w:type="dxa"/>
            <w:shd w:val="clear" w:color="auto" w:fill="auto"/>
            <w:noWrap/>
            <w:vAlign w:val="bottom"/>
          </w:tcPr>
          <w:p w:rsidR="00FF006A" w:rsidRPr="002D5BE0" w:rsidRDefault="00FF006A" w:rsidP="003925CB">
            <w:pPr>
              <w:ind w:hanging="30"/>
              <w:jc w:val="center"/>
              <w:rPr>
                <w:rFonts w:ascii="Book Antiqua" w:hAnsi="Book Antiqua"/>
                <w:b/>
                <w:w w:val="105"/>
                <w:sz w:val="16"/>
                <w:szCs w:val="16"/>
              </w:rPr>
            </w:pPr>
            <w:r w:rsidRPr="002D5BE0">
              <w:rPr>
                <w:rFonts w:ascii="Book Antiqua" w:hAnsi="Book Antiqua"/>
                <w:b/>
                <w:w w:val="105"/>
                <w:sz w:val="16"/>
                <w:szCs w:val="16"/>
              </w:rPr>
              <w:t>Železo</w:t>
            </w:r>
          </w:p>
          <w:p w:rsidR="00FF006A" w:rsidRPr="00DC4245" w:rsidRDefault="00FF006A" w:rsidP="003925CB">
            <w:pPr>
              <w:jc w:val="center"/>
              <w:rPr>
                <w:sz w:val="18"/>
                <w:szCs w:val="18"/>
              </w:rPr>
            </w:pPr>
            <w:r w:rsidRPr="002D5BE0">
              <w:rPr>
                <w:rFonts w:ascii="Book Antiqua" w:hAnsi="Book Antiqua"/>
                <w:b/>
                <w:w w:val="110"/>
                <w:sz w:val="16"/>
                <w:szCs w:val="16"/>
              </w:rPr>
              <w:t>Fe</w:t>
            </w:r>
          </w:p>
        </w:tc>
        <w:tc>
          <w:tcPr>
            <w:tcW w:w="708" w:type="dxa"/>
            <w:vAlign w:val="bottom"/>
          </w:tcPr>
          <w:p w:rsidR="00FF006A" w:rsidRPr="002D5BE0" w:rsidRDefault="00FF006A" w:rsidP="003925CB">
            <w:pPr>
              <w:jc w:val="center"/>
              <w:rPr>
                <w:rFonts w:ascii="Book Antiqua" w:hAnsi="Book Antiqua"/>
                <w:b/>
                <w:w w:val="95"/>
                <w:sz w:val="16"/>
                <w:szCs w:val="16"/>
              </w:rPr>
            </w:pPr>
            <w:r w:rsidRPr="002D5BE0">
              <w:rPr>
                <w:rFonts w:ascii="Book Antiqua" w:hAnsi="Book Antiqua"/>
                <w:b/>
                <w:w w:val="95"/>
                <w:sz w:val="16"/>
                <w:szCs w:val="16"/>
              </w:rPr>
              <w:t>Meď</w:t>
            </w:r>
          </w:p>
          <w:p w:rsidR="00FF006A" w:rsidRPr="00DC4245" w:rsidRDefault="00FF006A" w:rsidP="003925CB">
            <w:pPr>
              <w:jc w:val="center"/>
              <w:rPr>
                <w:sz w:val="18"/>
                <w:szCs w:val="18"/>
              </w:rPr>
            </w:pPr>
            <w:r w:rsidRPr="002D5BE0">
              <w:rPr>
                <w:rFonts w:ascii="Book Antiqua" w:hAnsi="Book Antiqua"/>
                <w:b/>
                <w:sz w:val="16"/>
                <w:szCs w:val="16"/>
              </w:rPr>
              <w:t>Cu</w:t>
            </w:r>
          </w:p>
        </w:tc>
        <w:tc>
          <w:tcPr>
            <w:tcW w:w="709" w:type="dxa"/>
            <w:shd w:val="clear" w:color="auto" w:fill="auto"/>
            <w:noWrap/>
            <w:vAlign w:val="bottom"/>
          </w:tcPr>
          <w:p w:rsidR="00FF006A" w:rsidRPr="002D5BE0" w:rsidRDefault="00FF006A" w:rsidP="003925CB">
            <w:pPr>
              <w:ind w:hanging="16"/>
              <w:jc w:val="center"/>
              <w:rPr>
                <w:rFonts w:ascii="Book Antiqua" w:hAnsi="Book Antiqua"/>
                <w:b/>
                <w:w w:val="110"/>
                <w:sz w:val="16"/>
                <w:szCs w:val="16"/>
              </w:rPr>
            </w:pPr>
            <w:r w:rsidRPr="002D5BE0">
              <w:rPr>
                <w:rFonts w:ascii="Book Antiqua" w:hAnsi="Book Antiqua"/>
                <w:b/>
                <w:w w:val="110"/>
                <w:sz w:val="16"/>
                <w:szCs w:val="16"/>
              </w:rPr>
              <w:t>Selén</w:t>
            </w:r>
          </w:p>
          <w:p w:rsidR="00FF006A" w:rsidRPr="00DC4245" w:rsidRDefault="00FF006A" w:rsidP="003925CB">
            <w:pPr>
              <w:jc w:val="center"/>
              <w:rPr>
                <w:sz w:val="18"/>
                <w:szCs w:val="18"/>
              </w:rPr>
            </w:pPr>
            <w:r w:rsidRPr="002D5BE0">
              <w:rPr>
                <w:rFonts w:ascii="Book Antiqua" w:hAnsi="Book Antiqua"/>
                <w:b/>
                <w:w w:val="110"/>
                <w:sz w:val="16"/>
                <w:szCs w:val="16"/>
              </w:rPr>
              <w:t>Se</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lastRenderedPageBreak/>
              <w:t>SK1000100P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0,27</w:t>
            </w:r>
          </w:p>
        </w:tc>
        <w:tc>
          <w:tcPr>
            <w:tcW w:w="851" w:type="dxa"/>
            <w:vAlign w:val="center"/>
          </w:tcPr>
          <w:p w:rsidR="00FF006A" w:rsidRPr="00DC4245" w:rsidRDefault="00FF006A" w:rsidP="003925CB">
            <w:pPr>
              <w:jc w:val="right"/>
              <w:rPr>
                <w:sz w:val="18"/>
                <w:szCs w:val="18"/>
              </w:rPr>
            </w:pPr>
            <w:r w:rsidRPr="00DC4245">
              <w:rPr>
                <w:sz w:val="18"/>
                <w:szCs w:val="18"/>
              </w:rPr>
              <w:t>131,3</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158,4</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103,5</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1,001</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SK1000200P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0,0065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0,26</w:t>
            </w:r>
          </w:p>
        </w:tc>
        <w:tc>
          <w:tcPr>
            <w:tcW w:w="851" w:type="dxa"/>
            <w:vAlign w:val="center"/>
          </w:tcPr>
          <w:p w:rsidR="00FF006A" w:rsidRPr="00DC4245" w:rsidRDefault="00FF006A" w:rsidP="003925CB">
            <w:pPr>
              <w:jc w:val="right"/>
              <w:rPr>
                <w:sz w:val="18"/>
                <w:szCs w:val="18"/>
              </w:rPr>
            </w:pPr>
            <w:r w:rsidRPr="00DC4245">
              <w:rPr>
                <w:sz w:val="18"/>
                <w:szCs w:val="18"/>
              </w:rPr>
              <w:t>135,8</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148,9</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105,8</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0,125</w:t>
            </w:r>
          </w:p>
        </w:tc>
        <w:tc>
          <w:tcPr>
            <w:tcW w:w="708" w:type="dxa"/>
            <w:vAlign w:val="center"/>
          </w:tcPr>
          <w:p w:rsidR="00FF006A" w:rsidRPr="00DC4245" w:rsidRDefault="00FF006A" w:rsidP="003925CB">
            <w:pPr>
              <w:jc w:val="right"/>
              <w:rPr>
                <w:sz w:val="18"/>
                <w:szCs w:val="18"/>
              </w:rPr>
            </w:pPr>
            <w:r w:rsidRPr="00DC4245">
              <w:rPr>
                <w:sz w:val="18"/>
                <w:szCs w:val="18"/>
              </w:rPr>
              <w:t>1,001</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SK1000300P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0,0008</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0,26</w:t>
            </w:r>
          </w:p>
        </w:tc>
        <w:tc>
          <w:tcPr>
            <w:tcW w:w="851" w:type="dxa"/>
            <w:vAlign w:val="center"/>
          </w:tcPr>
          <w:p w:rsidR="00FF006A" w:rsidRPr="00DC4245" w:rsidRDefault="00FF006A" w:rsidP="003925CB">
            <w:pPr>
              <w:jc w:val="right"/>
              <w:rPr>
                <w:sz w:val="18"/>
                <w:szCs w:val="18"/>
              </w:rPr>
            </w:pPr>
            <w:r w:rsidRPr="00DC4245">
              <w:rPr>
                <w:sz w:val="18"/>
                <w:szCs w:val="18"/>
              </w:rPr>
              <w:t>137,3</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157,6</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0,9</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104,5</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0,135</w:t>
            </w:r>
          </w:p>
        </w:tc>
        <w:tc>
          <w:tcPr>
            <w:tcW w:w="708" w:type="dxa"/>
            <w:vAlign w:val="center"/>
          </w:tcPr>
          <w:p w:rsidR="00FF006A" w:rsidRPr="00DC4245" w:rsidRDefault="00FF006A" w:rsidP="003925CB">
            <w:pPr>
              <w:jc w:val="right"/>
              <w:rPr>
                <w:sz w:val="18"/>
                <w:szCs w:val="18"/>
              </w:rPr>
            </w:pPr>
            <w:r w:rsidRPr="00DC4245">
              <w:rPr>
                <w:sz w:val="18"/>
                <w:szCs w:val="18"/>
              </w:rPr>
              <w:t>1,002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SK1000400P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0,002</w:t>
            </w:r>
            <w:r>
              <w:rPr>
                <w:sz w:val="18"/>
                <w:szCs w:val="18"/>
              </w:rPr>
              <w:t>9</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0,0065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0,28</w:t>
            </w:r>
          </w:p>
        </w:tc>
        <w:tc>
          <w:tcPr>
            <w:tcW w:w="851" w:type="dxa"/>
            <w:vAlign w:val="center"/>
          </w:tcPr>
          <w:p w:rsidR="00FF006A" w:rsidRPr="00DC4245" w:rsidRDefault="00FF006A" w:rsidP="003925CB">
            <w:pPr>
              <w:jc w:val="right"/>
              <w:rPr>
                <w:sz w:val="18"/>
                <w:szCs w:val="18"/>
              </w:rPr>
            </w:pPr>
            <w:r w:rsidRPr="00DC4245">
              <w:rPr>
                <w:sz w:val="18"/>
                <w:szCs w:val="18"/>
              </w:rPr>
              <w:t>140,3</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164,35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107,2</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0,135</w:t>
            </w:r>
          </w:p>
        </w:tc>
        <w:tc>
          <w:tcPr>
            <w:tcW w:w="708" w:type="dxa"/>
            <w:vAlign w:val="center"/>
          </w:tcPr>
          <w:p w:rsidR="00FF006A" w:rsidRPr="00DC4245" w:rsidRDefault="00FF006A" w:rsidP="003925CB">
            <w:pPr>
              <w:jc w:val="right"/>
              <w:rPr>
                <w:sz w:val="18"/>
                <w:szCs w:val="18"/>
              </w:rPr>
            </w:pPr>
            <w:r w:rsidRPr="00DC4245">
              <w:rPr>
                <w:sz w:val="18"/>
                <w:szCs w:val="18"/>
              </w:rPr>
              <w:t>1,001</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SK1000500P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968" w:type="dxa"/>
            <w:vAlign w:val="center"/>
          </w:tcPr>
          <w:p w:rsidR="00FF006A" w:rsidRPr="00DC4245" w:rsidRDefault="00FF006A" w:rsidP="003925CB">
            <w:pPr>
              <w:jc w:val="right"/>
              <w:rPr>
                <w:sz w:val="18"/>
                <w:szCs w:val="18"/>
              </w:rPr>
            </w:pPr>
            <w:r w:rsidRPr="00DC4245">
              <w:rPr>
                <w:sz w:val="18"/>
                <w:szCs w:val="18"/>
              </w:rPr>
              <w:t>0,002</w:t>
            </w:r>
            <w:r>
              <w:rPr>
                <w:sz w:val="18"/>
                <w:szCs w:val="18"/>
              </w:rPr>
              <w:t>9</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0,28</w:t>
            </w:r>
          </w:p>
        </w:tc>
        <w:tc>
          <w:tcPr>
            <w:tcW w:w="851" w:type="dxa"/>
            <w:vAlign w:val="center"/>
          </w:tcPr>
          <w:p w:rsidR="00FF006A" w:rsidRPr="00DC4245" w:rsidRDefault="00FF006A" w:rsidP="003925CB">
            <w:pPr>
              <w:jc w:val="right"/>
              <w:rPr>
                <w:sz w:val="18"/>
                <w:szCs w:val="18"/>
              </w:rPr>
            </w:pPr>
            <w:r w:rsidRPr="00DC4245">
              <w:rPr>
                <w:sz w:val="18"/>
                <w:szCs w:val="18"/>
              </w:rPr>
              <w:t>131,8</w:t>
            </w:r>
          </w:p>
        </w:tc>
        <w:tc>
          <w:tcPr>
            <w:tcW w:w="708" w:type="dxa"/>
            <w:shd w:val="clear" w:color="auto" w:fill="auto"/>
            <w:noWrap/>
            <w:vAlign w:val="center"/>
            <w:hideMark/>
          </w:tcPr>
          <w:p w:rsidR="00FF006A" w:rsidRPr="00251433" w:rsidRDefault="00FF006A" w:rsidP="003925CB">
            <w:pPr>
              <w:jc w:val="right"/>
              <w:rPr>
                <w:sz w:val="18"/>
                <w:szCs w:val="18"/>
              </w:rPr>
            </w:pPr>
            <w:r w:rsidRPr="00DC4245">
              <w:rPr>
                <w:sz w:val="18"/>
                <w:szCs w:val="18"/>
              </w:rPr>
              <w:t>148,9</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251433" w:rsidRDefault="00FF006A" w:rsidP="003925CB">
            <w:pPr>
              <w:jc w:val="right"/>
              <w:rPr>
                <w:sz w:val="18"/>
                <w:szCs w:val="18"/>
              </w:rPr>
            </w:pPr>
            <w:r w:rsidRPr="00DC4245">
              <w:rPr>
                <w:sz w:val="18"/>
                <w:szCs w:val="18"/>
              </w:rPr>
              <w:t>105,2</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0,135</w:t>
            </w:r>
          </w:p>
        </w:tc>
        <w:tc>
          <w:tcPr>
            <w:tcW w:w="708" w:type="dxa"/>
            <w:vAlign w:val="center"/>
          </w:tcPr>
          <w:p w:rsidR="00FF006A" w:rsidRPr="00DC4245" w:rsidRDefault="00FF006A" w:rsidP="003925CB">
            <w:pPr>
              <w:jc w:val="right"/>
              <w:rPr>
                <w:sz w:val="18"/>
                <w:szCs w:val="18"/>
              </w:rPr>
            </w:pPr>
            <w:r w:rsidRPr="00DC4245">
              <w:rPr>
                <w:sz w:val="18"/>
                <w:szCs w:val="18"/>
              </w:rPr>
              <w:t>1,004</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SK1000600P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0,0065</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0,01</w:t>
            </w:r>
            <w:r>
              <w:rPr>
                <w:sz w:val="18"/>
                <w:szCs w:val="18"/>
              </w:rPr>
              <w:t>00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0,0008</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0,4</w:t>
            </w:r>
            <w:r>
              <w:rPr>
                <w:sz w:val="18"/>
                <w:szCs w:val="18"/>
              </w:rPr>
              <w:t>0</w:t>
            </w:r>
          </w:p>
        </w:tc>
        <w:tc>
          <w:tcPr>
            <w:tcW w:w="851" w:type="dxa"/>
            <w:vAlign w:val="center"/>
          </w:tcPr>
          <w:p w:rsidR="00FF006A" w:rsidRPr="00DC4245" w:rsidRDefault="00FF006A" w:rsidP="003925CB">
            <w:pPr>
              <w:jc w:val="right"/>
              <w:rPr>
                <w:sz w:val="18"/>
                <w:szCs w:val="18"/>
              </w:rPr>
            </w:pPr>
            <w:r w:rsidRPr="00DC4245">
              <w:rPr>
                <w:sz w:val="18"/>
                <w:szCs w:val="18"/>
              </w:rPr>
              <w:t>126,4</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135,35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1</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103,8</w:t>
            </w:r>
          </w:p>
        </w:tc>
        <w:tc>
          <w:tcPr>
            <w:tcW w:w="708" w:type="dxa"/>
            <w:vAlign w:val="center"/>
          </w:tcPr>
          <w:p w:rsidR="00FF006A" w:rsidRPr="00DC4245" w:rsidRDefault="00FF006A" w:rsidP="003925CB">
            <w:pPr>
              <w:jc w:val="right"/>
              <w:rPr>
                <w:sz w:val="18"/>
                <w:szCs w:val="18"/>
              </w:rPr>
            </w:pPr>
            <w:r w:rsidRPr="00DC4245">
              <w:rPr>
                <w:sz w:val="18"/>
                <w:szCs w:val="18"/>
              </w:rPr>
              <w:t>0,027</w:t>
            </w:r>
          </w:p>
        </w:tc>
        <w:tc>
          <w:tcPr>
            <w:tcW w:w="851" w:type="dxa"/>
            <w:vAlign w:val="center"/>
          </w:tcPr>
          <w:p w:rsidR="00FF006A" w:rsidRPr="00DC4245" w:rsidRDefault="00FF006A" w:rsidP="003925CB">
            <w:pPr>
              <w:jc w:val="right"/>
              <w:rPr>
                <w:sz w:val="18"/>
                <w:szCs w:val="18"/>
              </w:rPr>
            </w:pPr>
            <w:r w:rsidRPr="00DC4245">
              <w:rPr>
                <w:sz w:val="18"/>
                <w:szCs w:val="18"/>
              </w:rPr>
              <w:t>0,7</w:t>
            </w:r>
            <w:r>
              <w:rPr>
                <w:sz w:val="18"/>
                <w:szCs w:val="18"/>
              </w:rPr>
              <w:t>00</w:t>
            </w:r>
          </w:p>
        </w:tc>
        <w:tc>
          <w:tcPr>
            <w:tcW w:w="709" w:type="dxa"/>
            <w:shd w:val="clear" w:color="auto" w:fill="auto"/>
            <w:noWrap/>
            <w:vAlign w:val="center"/>
            <w:hideMark/>
          </w:tcPr>
          <w:p w:rsidR="00FF006A" w:rsidRPr="00251433" w:rsidRDefault="00FF006A" w:rsidP="003925CB">
            <w:pPr>
              <w:jc w:val="right"/>
              <w:rPr>
                <w:sz w:val="18"/>
                <w:szCs w:val="18"/>
              </w:rPr>
            </w:pPr>
            <w:r w:rsidRPr="00DC4245">
              <w:rPr>
                <w:sz w:val="18"/>
                <w:szCs w:val="18"/>
              </w:rPr>
              <w:t>0,6</w:t>
            </w:r>
            <w:r>
              <w:rPr>
                <w:sz w:val="18"/>
                <w:szCs w:val="18"/>
              </w:rPr>
              <w:t>00</w:t>
            </w:r>
          </w:p>
        </w:tc>
        <w:tc>
          <w:tcPr>
            <w:tcW w:w="708" w:type="dxa"/>
            <w:vAlign w:val="center"/>
          </w:tcPr>
          <w:p w:rsidR="00FF006A" w:rsidRPr="00DC4245" w:rsidRDefault="00FF006A" w:rsidP="003925CB">
            <w:pPr>
              <w:jc w:val="right"/>
              <w:rPr>
                <w:sz w:val="18"/>
                <w:szCs w:val="18"/>
              </w:rPr>
            </w:pPr>
            <w:r w:rsidRPr="00DC4245">
              <w:rPr>
                <w:sz w:val="18"/>
                <w:szCs w:val="18"/>
              </w:rPr>
              <w:t>1,003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SK1000700P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0,007</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0,002</w:t>
            </w:r>
            <w:r>
              <w:rPr>
                <w:sz w:val="18"/>
                <w:szCs w:val="18"/>
              </w:rPr>
              <w:t>9</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0,29</w:t>
            </w:r>
          </w:p>
        </w:tc>
        <w:tc>
          <w:tcPr>
            <w:tcW w:w="851" w:type="dxa"/>
            <w:vAlign w:val="center"/>
          </w:tcPr>
          <w:p w:rsidR="00FF006A" w:rsidRPr="00DC4245" w:rsidRDefault="00FF006A" w:rsidP="003925CB">
            <w:pPr>
              <w:jc w:val="right"/>
              <w:rPr>
                <w:sz w:val="18"/>
                <w:szCs w:val="18"/>
              </w:rPr>
            </w:pPr>
            <w:r w:rsidRPr="00DC4245">
              <w:rPr>
                <w:sz w:val="18"/>
                <w:szCs w:val="18"/>
              </w:rPr>
              <w:t>134,3</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143,85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0,29</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108,6</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0,05</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0,135</w:t>
            </w:r>
          </w:p>
        </w:tc>
        <w:tc>
          <w:tcPr>
            <w:tcW w:w="708" w:type="dxa"/>
            <w:vAlign w:val="center"/>
          </w:tcPr>
          <w:p w:rsidR="00FF006A" w:rsidRPr="00DC4245" w:rsidRDefault="00FF006A" w:rsidP="003925CB">
            <w:pPr>
              <w:jc w:val="right"/>
              <w:rPr>
                <w:sz w:val="18"/>
                <w:szCs w:val="18"/>
              </w:rPr>
            </w:pPr>
            <w:r w:rsidRPr="00DC4245">
              <w:rPr>
                <w:sz w:val="18"/>
                <w:szCs w:val="18"/>
              </w:rPr>
              <w:t>1,004</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SK1000800P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0,002</w:t>
            </w:r>
            <w:r>
              <w:rPr>
                <w:sz w:val="18"/>
                <w:szCs w:val="18"/>
              </w:rPr>
              <w:t>9</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0,9</w:t>
            </w:r>
            <w:r>
              <w:rPr>
                <w:sz w:val="18"/>
                <w:szCs w:val="18"/>
              </w:rPr>
              <w:t>0</w:t>
            </w:r>
          </w:p>
        </w:tc>
        <w:tc>
          <w:tcPr>
            <w:tcW w:w="851" w:type="dxa"/>
            <w:vAlign w:val="center"/>
          </w:tcPr>
          <w:p w:rsidR="00FF006A" w:rsidRPr="00DC4245" w:rsidRDefault="00FF006A" w:rsidP="003925CB">
            <w:pPr>
              <w:jc w:val="right"/>
              <w:rPr>
                <w:sz w:val="18"/>
                <w:szCs w:val="18"/>
              </w:rPr>
            </w:pPr>
            <w:r w:rsidRPr="00DC4245">
              <w:rPr>
                <w:sz w:val="18"/>
                <w:szCs w:val="18"/>
              </w:rPr>
              <w:t>135,7</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140,8</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0,24</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119,8</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0,1</w:t>
            </w:r>
            <w:r>
              <w:rPr>
                <w:sz w:val="18"/>
                <w:szCs w:val="18"/>
              </w:rPr>
              <w:t>00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0,15</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SK1000900P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0,0053</w:t>
            </w:r>
          </w:p>
        </w:tc>
        <w:tc>
          <w:tcPr>
            <w:tcW w:w="968" w:type="dxa"/>
            <w:vAlign w:val="center"/>
          </w:tcPr>
          <w:p w:rsidR="00FF006A" w:rsidRPr="00DC4245" w:rsidRDefault="00FF006A" w:rsidP="003925CB">
            <w:pPr>
              <w:jc w:val="right"/>
              <w:rPr>
                <w:sz w:val="18"/>
                <w:szCs w:val="18"/>
              </w:rPr>
            </w:pPr>
            <w:r w:rsidRPr="00DC4245">
              <w:rPr>
                <w:sz w:val="18"/>
                <w:szCs w:val="18"/>
              </w:rPr>
              <w:t>0,0026</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0,0065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0,9</w:t>
            </w:r>
            <w:r>
              <w:rPr>
                <w:sz w:val="18"/>
                <w:szCs w:val="18"/>
              </w:rPr>
              <w:t>0</w:t>
            </w:r>
          </w:p>
        </w:tc>
        <w:tc>
          <w:tcPr>
            <w:tcW w:w="851" w:type="dxa"/>
            <w:vAlign w:val="center"/>
          </w:tcPr>
          <w:p w:rsidR="00FF006A" w:rsidRPr="00DC4245" w:rsidRDefault="00FF006A" w:rsidP="003925CB">
            <w:pPr>
              <w:jc w:val="right"/>
              <w:rPr>
                <w:sz w:val="18"/>
                <w:szCs w:val="18"/>
              </w:rPr>
            </w:pPr>
            <w:r w:rsidRPr="00DC4245">
              <w:rPr>
                <w:sz w:val="18"/>
                <w:szCs w:val="18"/>
              </w:rPr>
              <w:t>130,0</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147,9</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104,1</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0,04</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0,125</w:t>
            </w:r>
          </w:p>
        </w:tc>
        <w:tc>
          <w:tcPr>
            <w:tcW w:w="708" w:type="dxa"/>
            <w:vAlign w:val="center"/>
          </w:tcPr>
          <w:p w:rsidR="00FF006A" w:rsidRPr="00DC4245" w:rsidRDefault="00FF006A" w:rsidP="003925CB">
            <w:pPr>
              <w:jc w:val="right"/>
              <w:rPr>
                <w:sz w:val="18"/>
                <w:szCs w:val="18"/>
              </w:rPr>
            </w:pPr>
            <w:r w:rsidRPr="00DC4245">
              <w:rPr>
                <w:sz w:val="18"/>
                <w:szCs w:val="18"/>
              </w:rPr>
              <w:t>1,002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SK1001000P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0,0075</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0,3</w:t>
            </w:r>
            <w:r>
              <w:rPr>
                <w:sz w:val="18"/>
                <w:szCs w:val="18"/>
              </w:rPr>
              <w:t>0</w:t>
            </w:r>
          </w:p>
        </w:tc>
        <w:tc>
          <w:tcPr>
            <w:tcW w:w="851" w:type="dxa"/>
            <w:vAlign w:val="center"/>
          </w:tcPr>
          <w:p w:rsidR="00FF006A" w:rsidRPr="00DC4245" w:rsidRDefault="00FF006A" w:rsidP="003925CB">
            <w:pPr>
              <w:jc w:val="right"/>
              <w:rPr>
                <w:sz w:val="18"/>
                <w:szCs w:val="18"/>
              </w:rPr>
            </w:pPr>
            <w:r w:rsidRPr="00DC4245">
              <w:rPr>
                <w:sz w:val="18"/>
                <w:szCs w:val="18"/>
              </w:rPr>
              <w:t>136,3</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151,1</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106,3</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0,045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0,15</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SK1001100P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0,0027</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0,45</w:t>
            </w:r>
          </w:p>
        </w:tc>
        <w:tc>
          <w:tcPr>
            <w:tcW w:w="851" w:type="dxa"/>
            <w:vAlign w:val="center"/>
          </w:tcPr>
          <w:p w:rsidR="00FF006A" w:rsidRPr="00DC4245" w:rsidRDefault="00FF006A" w:rsidP="003925CB">
            <w:pPr>
              <w:jc w:val="right"/>
              <w:rPr>
                <w:sz w:val="18"/>
                <w:szCs w:val="18"/>
              </w:rPr>
            </w:pPr>
            <w:r w:rsidRPr="00DC4245">
              <w:rPr>
                <w:sz w:val="18"/>
                <w:szCs w:val="18"/>
              </w:rPr>
              <w:t>139,1</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150,15</w:t>
            </w:r>
          </w:p>
        </w:tc>
        <w:tc>
          <w:tcPr>
            <w:tcW w:w="851" w:type="dxa"/>
            <w:vAlign w:val="center"/>
          </w:tcPr>
          <w:p w:rsidR="00FF006A" w:rsidRPr="00DC4245" w:rsidRDefault="00FF006A" w:rsidP="003925CB">
            <w:pPr>
              <w:jc w:val="right"/>
              <w:rPr>
                <w:sz w:val="18"/>
                <w:szCs w:val="18"/>
              </w:rPr>
            </w:pPr>
            <w:r w:rsidRPr="00251433">
              <w:rPr>
                <w:sz w:val="18"/>
                <w:szCs w:val="18"/>
              </w:rPr>
              <w:t>0,28</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108,8</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0,2</w:t>
            </w:r>
            <w:r>
              <w:rPr>
                <w:sz w:val="18"/>
                <w:szCs w:val="18"/>
              </w:rPr>
              <w:t>00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0,2</w:t>
            </w:r>
            <w:r>
              <w:rPr>
                <w:sz w:val="18"/>
                <w:szCs w:val="18"/>
              </w:rPr>
              <w:t>00</w:t>
            </w:r>
          </w:p>
        </w:tc>
        <w:tc>
          <w:tcPr>
            <w:tcW w:w="708" w:type="dxa"/>
            <w:vAlign w:val="center"/>
          </w:tcPr>
          <w:p w:rsidR="00FF006A" w:rsidRPr="00DC4245" w:rsidRDefault="00FF006A" w:rsidP="003925CB">
            <w:pPr>
              <w:jc w:val="right"/>
              <w:rPr>
                <w:sz w:val="18"/>
                <w:szCs w:val="18"/>
              </w:rPr>
            </w:pPr>
            <w:r w:rsidRPr="00DC4245">
              <w:rPr>
                <w:sz w:val="18"/>
                <w:szCs w:val="18"/>
              </w:rPr>
              <w:t>1,004</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SK1001200P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0,35</w:t>
            </w:r>
          </w:p>
        </w:tc>
        <w:tc>
          <w:tcPr>
            <w:tcW w:w="851" w:type="dxa"/>
            <w:vAlign w:val="center"/>
          </w:tcPr>
          <w:p w:rsidR="00FF006A" w:rsidRPr="00DC4245" w:rsidRDefault="00FF006A" w:rsidP="003925CB">
            <w:pPr>
              <w:jc w:val="right"/>
              <w:rPr>
                <w:sz w:val="18"/>
                <w:szCs w:val="18"/>
              </w:rPr>
            </w:pPr>
            <w:r w:rsidRPr="00DC4245">
              <w:rPr>
                <w:sz w:val="18"/>
                <w:szCs w:val="18"/>
              </w:rPr>
              <w:t>140,6</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165,85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108,6</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0,1</w:t>
            </w:r>
            <w:r>
              <w:rPr>
                <w:sz w:val="18"/>
                <w:szCs w:val="18"/>
              </w:rPr>
              <w:t>00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0,15</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SK1001300P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968" w:type="dxa"/>
            <w:vAlign w:val="center"/>
          </w:tcPr>
          <w:p w:rsidR="00FF006A" w:rsidRPr="00DC4245" w:rsidRDefault="00FF006A" w:rsidP="003925CB">
            <w:pPr>
              <w:jc w:val="right"/>
              <w:rPr>
                <w:sz w:val="18"/>
                <w:szCs w:val="18"/>
              </w:rPr>
            </w:pPr>
            <w:r w:rsidRPr="00DC4245">
              <w:rPr>
                <w:sz w:val="18"/>
                <w:szCs w:val="18"/>
              </w:rPr>
              <w:t>0,0027</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0,27</w:t>
            </w:r>
          </w:p>
        </w:tc>
        <w:tc>
          <w:tcPr>
            <w:tcW w:w="851" w:type="dxa"/>
            <w:vAlign w:val="center"/>
          </w:tcPr>
          <w:p w:rsidR="00FF006A" w:rsidRPr="00DC4245" w:rsidRDefault="00FF006A" w:rsidP="003925CB">
            <w:pPr>
              <w:jc w:val="right"/>
              <w:rPr>
                <w:sz w:val="18"/>
                <w:szCs w:val="18"/>
              </w:rPr>
            </w:pPr>
            <w:r w:rsidRPr="00DC4245">
              <w:rPr>
                <w:sz w:val="18"/>
                <w:szCs w:val="18"/>
              </w:rPr>
              <w:t>130,0</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147,9</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104,1</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0,1</w:t>
            </w:r>
            <w:r>
              <w:rPr>
                <w:sz w:val="18"/>
                <w:szCs w:val="18"/>
              </w:rPr>
              <w:t>00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0,13</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SK1001400P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0,0053</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0,007</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0,29</w:t>
            </w:r>
          </w:p>
        </w:tc>
        <w:tc>
          <w:tcPr>
            <w:tcW w:w="851" w:type="dxa"/>
            <w:vAlign w:val="center"/>
          </w:tcPr>
          <w:p w:rsidR="00FF006A" w:rsidRPr="00DC4245" w:rsidRDefault="00FF006A" w:rsidP="003925CB">
            <w:pPr>
              <w:jc w:val="right"/>
              <w:rPr>
                <w:sz w:val="18"/>
                <w:szCs w:val="18"/>
              </w:rPr>
            </w:pPr>
            <w:r w:rsidRPr="00DC4245">
              <w:rPr>
                <w:sz w:val="18"/>
                <w:szCs w:val="18"/>
              </w:rPr>
              <w:t>133,4</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171,05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0,8</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112,5</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0,15</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1,003</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SK1001500P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r>
              <w:rPr>
                <w:sz w:val="18"/>
                <w:szCs w:val="18"/>
              </w:rPr>
              <w:t>0</w:t>
            </w:r>
          </w:p>
        </w:tc>
        <w:tc>
          <w:tcPr>
            <w:tcW w:w="968" w:type="dxa"/>
            <w:vAlign w:val="center"/>
          </w:tcPr>
          <w:p w:rsidR="00FF006A" w:rsidRPr="00DC4245" w:rsidRDefault="00FF006A" w:rsidP="003925CB">
            <w:pPr>
              <w:jc w:val="right"/>
              <w:rPr>
                <w:sz w:val="18"/>
                <w:szCs w:val="18"/>
              </w:rPr>
            </w:pPr>
            <w:r w:rsidRPr="00DC4245">
              <w:rPr>
                <w:sz w:val="18"/>
                <w:szCs w:val="18"/>
              </w:rPr>
              <w:t>0,003</w:t>
            </w:r>
            <w:r>
              <w:rPr>
                <w:sz w:val="18"/>
                <w:szCs w:val="18"/>
              </w:rPr>
              <w:t>0</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0,009</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0,0007</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0,30</w:t>
            </w:r>
          </w:p>
        </w:tc>
        <w:tc>
          <w:tcPr>
            <w:tcW w:w="851" w:type="dxa"/>
            <w:vAlign w:val="center"/>
          </w:tcPr>
          <w:p w:rsidR="00FF006A" w:rsidRPr="00DC4245" w:rsidRDefault="00FF006A" w:rsidP="003925CB">
            <w:pPr>
              <w:jc w:val="right"/>
              <w:rPr>
                <w:sz w:val="18"/>
                <w:szCs w:val="18"/>
              </w:rPr>
            </w:pPr>
            <w:r w:rsidRPr="00DC4245">
              <w:rPr>
                <w:sz w:val="18"/>
                <w:szCs w:val="18"/>
              </w:rPr>
              <w:t>147,4</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167,35</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0,9</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111</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0,027</w:t>
            </w:r>
          </w:p>
        </w:tc>
        <w:tc>
          <w:tcPr>
            <w:tcW w:w="851" w:type="dxa"/>
            <w:vAlign w:val="center"/>
          </w:tcPr>
          <w:p w:rsidR="00FF006A" w:rsidRPr="00DC4245" w:rsidRDefault="00FF006A" w:rsidP="003925CB">
            <w:pPr>
              <w:jc w:val="right"/>
              <w:rPr>
                <w:sz w:val="18"/>
                <w:szCs w:val="18"/>
              </w:rPr>
            </w:pPr>
            <w:r w:rsidRPr="00DC4245">
              <w:rPr>
                <w:sz w:val="18"/>
                <w:szCs w:val="18"/>
              </w:rPr>
              <w:t>0,03</w:t>
            </w:r>
            <w:r>
              <w:rPr>
                <w:sz w:val="18"/>
                <w:szCs w:val="18"/>
              </w:rPr>
              <w:t>0</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0,15</w:t>
            </w:r>
            <w:r>
              <w:rPr>
                <w:sz w:val="18"/>
                <w:szCs w:val="18"/>
              </w:rPr>
              <w:t>0</w:t>
            </w:r>
          </w:p>
        </w:tc>
        <w:tc>
          <w:tcPr>
            <w:tcW w:w="708" w:type="dxa"/>
            <w:vAlign w:val="center"/>
          </w:tcPr>
          <w:p w:rsidR="00FF006A" w:rsidRPr="00DC4245" w:rsidRDefault="00FF006A" w:rsidP="003925CB">
            <w:pPr>
              <w:jc w:val="right"/>
              <w:rPr>
                <w:sz w:val="18"/>
                <w:szCs w:val="18"/>
              </w:rPr>
            </w:pPr>
            <w:r w:rsidRPr="00DC4245">
              <w:rPr>
                <w:sz w:val="18"/>
                <w:szCs w:val="18"/>
              </w:rPr>
              <w:t>1,004</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r w:rsidR="00FF006A" w:rsidRPr="00FC6795" w:rsidTr="003925CB">
        <w:trPr>
          <w:trHeight w:val="374"/>
        </w:trPr>
        <w:tc>
          <w:tcPr>
            <w:tcW w:w="1276" w:type="dxa"/>
            <w:shd w:val="clear" w:color="auto" w:fill="auto"/>
            <w:noWrap/>
            <w:vAlign w:val="center"/>
            <w:hideMark/>
          </w:tcPr>
          <w:p w:rsidR="00FF006A" w:rsidRPr="00DC4245" w:rsidRDefault="00FF006A" w:rsidP="003925CB">
            <w:pPr>
              <w:rPr>
                <w:sz w:val="18"/>
                <w:szCs w:val="18"/>
              </w:rPr>
            </w:pPr>
            <w:r w:rsidRPr="00DC4245">
              <w:rPr>
                <w:sz w:val="18"/>
                <w:szCs w:val="18"/>
              </w:rPr>
              <w:t>SK1001600P</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968" w:type="dxa"/>
            <w:vAlign w:val="center"/>
          </w:tcPr>
          <w:p w:rsidR="00FF006A" w:rsidRPr="00DC4245" w:rsidRDefault="00FF006A" w:rsidP="003925CB">
            <w:pPr>
              <w:jc w:val="right"/>
              <w:rPr>
                <w:sz w:val="18"/>
                <w:szCs w:val="18"/>
              </w:rPr>
            </w:pPr>
            <w:r w:rsidRPr="00DC4245">
              <w:rPr>
                <w:sz w:val="18"/>
                <w:szCs w:val="18"/>
              </w:rPr>
              <w:t>0,0027</w:t>
            </w:r>
          </w:p>
        </w:tc>
        <w:tc>
          <w:tcPr>
            <w:tcW w:w="733" w:type="dxa"/>
            <w:shd w:val="clear" w:color="auto" w:fill="auto"/>
            <w:noWrap/>
            <w:vAlign w:val="center"/>
            <w:hideMark/>
          </w:tcPr>
          <w:p w:rsidR="00FF006A" w:rsidRPr="00DC4245" w:rsidRDefault="00FF006A" w:rsidP="003925CB">
            <w:pPr>
              <w:jc w:val="right"/>
              <w:rPr>
                <w:sz w:val="18"/>
                <w:szCs w:val="18"/>
              </w:rPr>
            </w:pPr>
            <w:r w:rsidRPr="00DC4245">
              <w:rPr>
                <w:sz w:val="18"/>
                <w:szCs w:val="18"/>
              </w:rPr>
              <w:t>0,0055</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0,0006</w:t>
            </w:r>
          </w:p>
        </w:tc>
        <w:tc>
          <w:tcPr>
            <w:tcW w:w="850" w:type="dxa"/>
            <w:shd w:val="clear" w:color="auto" w:fill="auto"/>
            <w:noWrap/>
            <w:vAlign w:val="center"/>
            <w:hideMark/>
          </w:tcPr>
          <w:p w:rsidR="00FF006A" w:rsidRPr="00DC4245" w:rsidRDefault="00FF006A" w:rsidP="003925CB">
            <w:pPr>
              <w:jc w:val="right"/>
              <w:rPr>
                <w:sz w:val="18"/>
                <w:szCs w:val="18"/>
              </w:rPr>
            </w:pPr>
            <w:r w:rsidRPr="00DC4245">
              <w:rPr>
                <w:sz w:val="18"/>
                <w:szCs w:val="18"/>
              </w:rPr>
              <w:t>0,27</w:t>
            </w:r>
          </w:p>
        </w:tc>
        <w:tc>
          <w:tcPr>
            <w:tcW w:w="851" w:type="dxa"/>
            <w:vAlign w:val="center"/>
          </w:tcPr>
          <w:p w:rsidR="00FF006A" w:rsidRPr="00DC4245" w:rsidRDefault="00FF006A" w:rsidP="003925CB">
            <w:pPr>
              <w:jc w:val="right"/>
              <w:rPr>
                <w:sz w:val="18"/>
                <w:szCs w:val="18"/>
              </w:rPr>
            </w:pPr>
            <w:r w:rsidRPr="00DC4245">
              <w:rPr>
                <w:sz w:val="18"/>
                <w:szCs w:val="18"/>
              </w:rPr>
              <w:t>130,0</w:t>
            </w:r>
          </w:p>
        </w:tc>
        <w:tc>
          <w:tcPr>
            <w:tcW w:w="708" w:type="dxa"/>
            <w:shd w:val="clear" w:color="auto" w:fill="auto"/>
            <w:noWrap/>
            <w:vAlign w:val="center"/>
            <w:hideMark/>
          </w:tcPr>
          <w:p w:rsidR="00FF006A" w:rsidRPr="00DC4245" w:rsidRDefault="00FF006A" w:rsidP="003925CB">
            <w:pPr>
              <w:jc w:val="right"/>
              <w:rPr>
                <w:sz w:val="18"/>
                <w:szCs w:val="18"/>
              </w:rPr>
            </w:pPr>
            <w:r w:rsidRPr="00DC4245">
              <w:rPr>
                <w:sz w:val="18"/>
                <w:szCs w:val="18"/>
              </w:rPr>
              <w:t>147,9</w:t>
            </w:r>
            <w:r>
              <w:rPr>
                <w:sz w:val="18"/>
                <w:szCs w:val="18"/>
              </w:rPr>
              <w:t>0</w:t>
            </w:r>
          </w:p>
        </w:tc>
        <w:tc>
          <w:tcPr>
            <w:tcW w:w="851" w:type="dxa"/>
            <w:vAlign w:val="center"/>
          </w:tcPr>
          <w:p w:rsidR="00FF006A" w:rsidRPr="00DC4245" w:rsidRDefault="00FF006A" w:rsidP="003925CB">
            <w:pPr>
              <w:jc w:val="right"/>
              <w:rPr>
                <w:sz w:val="18"/>
                <w:szCs w:val="18"/>
              </w:rPr>
            </w:pPr>
            <w:r w:rsidRPr="00251433">
              <w:rPr>
                <w:sz w:val="18"/>
                <w:szCs w:val="18"/>
              </w:rPr>
              <w:t>0,26</w:t>
            </w:r>
          </w:p>
        </w:tc>
        <w:tc>
          <w:tcPr>
            <w:tcW w:w="850" w:type="dxa"/>
            <w:vAlign w:val="center"/>
          </w:tcPr>
          <w:p w:rsidR="00FF006A" w:rsidRPr="00251433" w:rsidRDefault="00FF006A" w:rsidP="003925CB">
            <w:pPr>
              <w:jc w:val="right"/>
              <w:rPr>
                <w:sz w:val="18"/>
                <w:szCs w:val="18"/>
              </w:rPr>
            </w:pPr>
            <w:r w:rsidRPr="00DC4245">
              <w:rPr>
                <w:sz w:val="18"/>
                <w:szCs w:val="18"/>
              </w:rPr>
              <w:t>0,9</w:t>
            </w:r>
          </w:p>
        </w:tc>
        <w:tc>
          <w:tcPr>
            <w:tcW w:w="851" w:type="dxa"/>
            <w:vAlign w:val="center"/>
          </w:tcPr>
          <w:p w:rsidR="00FF006A" w:rsidRPr="00DC4245" w:rsidRDefault="00FF006A" w:rsidP="003925CB">
            <w:pPr>
              <w:jc w:val="right"/>
              <w:rPr>
                <w:sz w:val="18"/>
                <w:szCs w:val="18"/>
              </w:rPr>
            </w:pPr>
            <w:r w:rsidRPr="00251433">
              <w:rPr>
                <w:sz w:val="18"/>
                <w:szCs w:val="18"/>
              </w:rPr>
              <w:t>0,22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104,1</w:t>
            </w:r>
          </w:p>
        </w:tc>
        <w:tc>
          <w:tcPr>
            <w:tcW w:w="708" w:type="dxa"/>
            <w:vAlign w:val="center"/>
          </w:tcPr>
          <w:p w:rsidR="00FF006A" w:rsidRPr="00DC4245" w:rsidRDefault="00FF006A" w:rsidP="003925CB">
            <w:pPr>
              <w:jc w:val="right"/>
              <w:rPr>
                <w:sz w:val="18"/>
                <w:szCs w:val="18"/>
              </w:rPr>
            </w:pPr>
            <w:r w:rsidRPr="00DC4245">
              <w:rPr>
                <w:sz w:val="18"/>
                <w:szCs w:val="18"/>
              </w:rPr>
              <w:t>0,026</w:t>
            </w:r>
          </w:p>
        </w:tc>
        <w:tc>
          <w:tcPr>
            <w:tcW w:w="851" w:type="dxa"/>
            <w:vAlign w:val="center"/>
          </w:tcPr>
          <w:p w:rsidR="00FF006A" w:rsidRPr="00DC4245" w:rsidRDefault="00FF006A" w:rsidP="003925CB">
            <w:pPr>
              <w:jc w:val="right"/>
              <w:rPr>
                <w:sz w:val="18"/>
                <w:szCs w:val="18"/>
              </w:rPr>
            </w:pPr>
            <w:r w:rsidRPr="00DC4245">
              <w:rPr>
                <w:sz w:val="18"/>
                <w:szCs w:val="18"/>
              </w:rPr>
              <w:t>0,027</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0,145</w:t>
            </w:r>
          </w:p>
        </w:tc>
        <w:tc>
          <w:tcPr>
            <w:tcW w:w="708" w:type="dxa"/>
            <w:vAlign w:val="center"/>
          </w:tcPr>
          <w:p w:rsidR="00FF006A" w:rsidRPr="00DC4245" w:rsidRDefault="00FF006A" w:rsidP="003925CB">
            <w:pPr>
              <w:jc w:val="right"/>
              <w:rPr>
                <w:sz w:val="18"/>
                <w:szCs w:val="18"/>
              </w:rPr>
            </w:pPr>
            <w:r w:rsidRPr="00DC4245">
              <w:rPr>
                <w:sz w:val="18"/>
                <w:szCs w:val="18"/>
              </w:rPr>
              <w:t>1,002</w:t>
            </w:r>
          </w:p>
        </w:tc>
        <w:tc>
          <w:tcPr>
            <w:tcW w:w="709" w:type="dxa"/>
            <w:shd w:val="clear" w:color="auto" w:fill="auto"/>
            <w:noWrap/>
            <w:vAlign w:val="center"/>
            <w:hideMark/>
          </w:tcPr>
          <w:p w:rsidR="00FF006A" w:rsidRPr="00DC4245" w:rsidRDefault="00FF006A" w:rsidP="003925CB">
            <w:pPr>
              <w:jc w:val="right"/>
              <w:rPr>
                <w:sz w:val="18"/>
                <w:szCs w:val="18"/>
              </w:rPr>
            </w:pPr>
            <w:r w:rsidRPr="00DC4245">
              <w:rPr>
                <w:sz w:val="18"/>
                <w:szCs w:val="18"/>
              </w:rPr>
              <w:t>0,006</w:t>
            </w:r>
          </w:p>
        </w:tc>
      </w:tr>
    </w:tbl>
    <w:p w:rsidR="00FF006A" w:rsidRPr="00F47A9A" w:rsidRDefault="00FF006A" w:rsidP="00FF006A">
      <w:pPr>
        <w:pStyle w:val="Nadpis3"/>
      </w:pPr>
      <w:r>
        <w:rPr>
          <w:sz w:val="17"/>
        </w:rPr>
        <w:br w:type="page"/>
      </w:r>
      <w:r>
        <w:lastRenderedPageBreak/>
        <w:t xml:space="preserve">Časť B. </w:t>
      </w:r>
      <w:r w:rsidRPr="00F47A9A">
        <w:t xml:space="preserve">Prahové hodnoty pre útvary podzemných vôd v </w:t>
      </w:r>
      <w:proofErr w:type="spellStart"/>
      <w:r>
        <w:t>pred</w:t>
      </w:r>
      <w:r w:rsidRPr="00F47A9A">
        <w:t>kvartérnych</w:t>
      </w:r>
      <w:proofErr w:type="spellEnd"/>
      <w:r w:rsidRPr="00F47A9A">
        <w:t xml:space="preserve"> </w:t>
      </w:r>
      <w:r>
        <w:t>horninách</w:t>
      </w:r>
    </w:p>
    <w:tbl>
      <w:tblPr>
        <w:tblStyle w:val="TableNormal"/>
        <w:tblW w:w="137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1272"/>
        <w:gridCol w:w="707"/>
        <w:gridCol w:w="989"/>
        <w:gridCol w:w="708"/>
        <w:gridCol w:w="708"/>
        <w:gridCol w:w="848"/>
        <w:gridCol w:w="849"/>
        <w:gridCol w:w="707"/>
        <w:gridCol w:w="867"/>
        <w:gridCol w:w="850"/>
        <w:gridCol w:w="850"/>
        <w:gridCol w:w="709"/>
        <w:gridCol w:w="708"/>
        <w:gridCol w:w="851"/>
        <w:gridCol w:w="709"/>
        <w:gridCol w:w="708"/>
        <w:gridCol w:w="709"/>
      </w:tblGrid>
      <w:tr w:rsidR="00FF006A" w:rsidTr="003925CB">
        <w:trPr>
          <w:trHeight w:val="566"/>
          <w:tblHeader/>
        </w:trPr>
        <w:tc>
          <w:tcPr>
            <w:tcW w:w="1272" w:type="dxa"/>
            <w:vAlign w:val="center"/>
          </w:tcPr>
          <w:p w:rsidR="00FF006A" w:rsidRDefault="00FF006A" w:rsidP="003925CB">
            <w:pPr>
              <w:pStyle w:val="TableParagraph"/>
              <w:spacing w:before="103"/>
              <w:jc w:val="left"/>
              <w:rPr>
                <w:rFonts w:ascii="Book Antiqua" w:hAnsi="Book Antiqua"/>
                <w:b/>
                <w:sz w:val="16"/>
              </w:rPr>
            </w:pPr>
            <w:r>
              <w:rPr>
                <w:rFonts w:ascii="Book Antiqua" w:hAnsi="Book Antiqua"/>
                <w:b/>
                <w:color w:val="20231E"/>
                <w:w w:val="110"/>
                <w:sz w:val="16"/>
              </w:rPr>
              <w:t xml:space="preserve"> Kód útvaru</w:t>
            </w:r>
          </w:p>
        </w:tc>
        <w:tc>
          <w:tcPr>
            <w:tcW w:w="707" w:type="dxa"/>
            <w:vAlign w:val="bottom"/>
          </w:tcPr>
          <w:p w:rsidR="00FF006A" w:rsidRPr="002D5BE0" w:rsidRDefault="00FF006A" w:rsidP="003925CB">
            <w:pPr>
              <w:widowControl/>
              <w:autoSpaceDE/>
              <w:autoSpaceDN/>
              <w:jc w:val="center"/>
              <w:rPr>
                <w:rFonts w:ascii="Book Antiqua" w:hAnsi="Book Antiqua"/>
                <w:b/>
                <w:w w:val="105"/>
                <w:sz w:val="16"/>
                <w:szCs w:val="16"/>
              </w:rPr>
            </w:pPr>
            <w:proofErr w:type="spellStart"/>
            <w:r w:rsidRPr="002D5BE0">
              <w:rPr>
                <w:rFonts w:ascii="Book Antiqua" w:hAnsi="Book Antiqua"/>
                <w:b/>
                <w:w w:val="105"/>
                <w:sz w:val="16"/>
                <w:szCs w:val="16"/>
              </w:rPr>
              <w:t>Arzén</w:t>
            </w:r>
            <w:proofErr w:type="spellEnd"/>
          </w:p>
          <w:p w:rsidR="00FF006A" w:rsidRPr="002D5BE0" w:rsidRDefault="00FF006A" w:rsidP="003925CB">
            <w:pPr>
              <w:pStyle w:val="TableParagraph"/>
              <w:spacing w:before="0" w:line="220" w:lineRule="atLeast"/>
              <w:jc w:val="center"/>
              <w:rPr>
                <w:rFonts w:ascii="Book Antiqua" w:hAnsi="Book Antiqua"/>
                <w:b/>
                <w:sz w:val="16"/>
              </w:rPr>
            </w:pPr>
            <w:r w:rsidRPr="002D5BE0">
              <w:rPr>
                <w:rFonts w:ascii="Book Antiqua" w:hAnsi="Book Antiqua"/>
                <w:b/>
                <w:w w:val="105"/>
                <w:sz w:val="16"/>
                <w:szCs w:val="16"/>
              </w:rPr>
              <w:t>As</w:t>
            </w:r>
          </w:p>
        </w:tc>
        <w:tc>
          <w:tcPr>
            <w:tcW w:w="989" w:type="dxa"/>
            <w:vAlign w:val="bottom"/>
          </w:tcPr>
          <w:p w:rsidR="00FF006A" w:rsidRPr="002D5BE0" w:rsidRDefault="00FF006A" w:rsidP="003925CB">
            <w:pPr>
              <w:widowControl/>
              <w:autoSpaceDE/>
              <w:autoSpaceDN/>
              <w:jc w:val="center"/>
              <w:rPr>
                <w:rFonts w:ascii="Book Antiqua" w:hAnsi="Book Antiqua"/>
                <w:b/>
                <w:w w:val="105"/>
                <w:sz w:val="16"/>
                <w:szCs w:val="16"/>
              </w:rPr>
            </w:pPr>
            <w:proofErr w:type="spellStart"/>
            <w:r w:rsidRPr="002D5BE0">
              <w:rPr>
                <w:rFonts w:ascii="Book Antiqua" w:hAnsi="Book Antiqua"/>
                <w:b/>
                <w:w w:val="105"/>
                <w:sz w:val="16"/>
                <w:szCs w:val="16"/>
              </w:rPr>
              <w:t>Kadmium</w:t>
            </w:r>
            <w:proofErr w:type="spellEnd"/>
          </w:p>
          <w:p w:rsidR="00FF006A" w:rsidRPr="002D5BE0" w:rsidRDefault="00FF006A" w:rsidP="003925CB">
            <w:pPr>
              <w:pStyle w:val="TableParagraph"/>
              <w:tabs>
                <w:tab w:val="left" w:pos="706"/>
              </w:tabs>
              <w:spacing w:before="0" w:line="220" w:lineRule="atLeast"/>
              <w:jc w:val="center"/>
              <w:rPr>
                <w:rFonts w:ascii="Book Antiqua"/>
                <w:b/>
                <w:color w:val="20231E"/>
                <w:w w:val="105"/>
                <w:sz w:val="16"/>
              </w:rPr>
            </w:pPr>
            <w:r w:rsidRPr="002D5BE0">
              <w:rPr>
                <w:rFonts w:ascii="Book Antiqua" w:hAnsi="Book Antiqua"/>
                <w:b/>
                <w:w w:val="105"/>
                <w:sz w:val="16"/>
                <w:szCs w:val="16"/>
              </w:rPr>
              <w:t>Cd</w:t>
            </w:r>
          </w:p>
        </w:tc>
        <w:tc>
          <w:tcPr>
            <w:tcW w:w="708" w:type="dxa"/>
            <w:vAlign w:val="bottom"/>
          </w:tcPr>
          <w:p w:rsidR="00FF006A" w:rsidRPr="002D5BE0" w:rsidRDefault="00FF006A" w:rsidP="003925CB">
            <w:pPr>
              <w:widowControl/>
              <w:autoSpaceDE/>
              <w:autoSpaceDN/>
              <w:ind w:hanging="30"/>
              <w:jc w:val="center"/>
              <w:rPr>
                <w:rFonts w:ascii="Book Antiqua"/>
                <w:b/>
                <w:w w:val="105"/>
                <w:sz w:val="16"/>
                <w:szCs w:val="16"/>
              </w:rPr>
            </w:pPr>
            <w:proofErr w:type="spellStart"/>
            <w:r w:rsidRPr="002D5BE0">
              <w:rPr>
                <w:rFonts w:ascii="Book Antiqua"/>
                <w:b/>
                <w:w w:val="105"/>
                <w:sz w:val="16"/>
                <w:szCs w:val="16"/>
              </w:rPr>
              <w:t>Olovo</w:t>
            </w:r>
            <w:proofErr w:type="spellEnd"/>
          </w:p>
          <w:p w:rsidR="00FF006A" w:rsidRPr="002D5BE0" w:rsidRDefault="00FF006A" w:rsidP="003925CB">
            <w:pPr>
              <w:pStyle w:val="TableParagraph"/>
              <w:tabs>
                <w:tab w:val="left" w:pos="706"/>
              </w:tabs>
              <w:spacing w:before="0" w:line="220" w:lineRule="atLeast"/>
              <w:jc w:val="center"/>
              <w:rPr>
                <w:rFonts w:ascii="Book Antiqua"/>
                <w:b/>
                <w:sz w:val="16"/>
              </w:rPr>
            </w:pPr>
            <w:r w:rsidRPr="002D5BE0">
              <w:rPr>
                <w:rFonts w:ascii="Book Antiqua"/>
                <w:b/>
                <w:w w:val="105"/>
                <w:sz w:val="16"/>
                <w:szCs w:val="16"/>
              </w:rPr>
              <w:t>Pb</w:t>
            </w:r>
          </w:p>
        </w:tc>
        <w:tc>
          <w:tcPr>
            <w:tcW w:w="708" w:type="dxa"/>
            <w:vAlign w:val="bottom"/>
          </w:tcPr>
          <w:p w:rsidR="00FF006A" w:rsidRPr="002D5BE0" w:rsidRDefault="00FF006A" w:rsidP="003925CB">
            <w:pPr>
              <w:widowControl/>
              <w:autoSpaceDE/>
              <w:autoSpaceDN/>
              <w:jc w:val="center"/>
              <w:rPr>
                <w:rFonts w:ascii="Book Antiqua" w:hAnsi="Book Antiqua"/>
                <w:b/>
                <w:w w:val="105"/>
                <w:sz w:val="16"/>
                <w:szCs w:val="16"/>
              </w:rPr>
            </w:pPr>
            <w:proofErr w:type="spellStart"/>
            <w:r w:rsidRPr="002D5BE0">
              <w:rPr>
                <w:rFonts w:ascii="Book Antiqua" w:hAnsi="Book Antiqua"/>
                <w:b/>
                <w:w w:val="105"/>
                <w:sz w:val="16"/>
                <w:szCs w:val="16"/>
              </w:rPr>
              <w:t>Ortuť</w:t>
            </w:r>
            <w:proofErr w:type="spellEnd"/>
          </w:p>
          <w:p w:rsidR="00FF006A" w:rsidRPr="002D5BE0" w:rsidRDefault="00FF006A" w:rsidP="003925CB">
            <w:pPr>
              <w:pStyle w:val="TableParagraph"/>
              <w:spacing w:before="0" w:line="220" w:lineRule="atLeast"/>
              <w:jc w:val="center"/>
              <w:rPr>
                <w:rFonts w:ascii="Book Antiqua" w:hAnsi="Book Antiqua"/>
                <w:b/>
                <w:sz w:val="16"/>
              </w:rPr>
            </w:pPr>
            <w:r w:rsidRPr="002D5BE0">
              <w:rPr>
                <w:rFonts w:ascii="Book Antiqua" w:hAnsi="Book Antiqua"/>
                <w:b/>
                <w:w w:val="105"/>
                <w:sz w:val="16"/>
                <w:szCs w:val="16"/>
              </w:rPr>
              <w:t>Hg</w:t>
            </w:r>
          </w:p>
        </w:tc>
        <w:tc>
          <w:tcPr>
            <w:tcW w:w="848" w:type="dxa"/>
            <w:vAlign w:val="bottom"/>
          </w:tcPr>
          <w:p w:rsidR="00FF006A" w:rsidRPr="002D5BE0" w:rsidRDefault="00FF006A" w:rsidP="003925CB">
            <w:pPr>
              <w:widowControl/>
              <w:autoSpaceDE/>
              <w:autoSpaceDN/>
              <w:jc w:val="center"/>
              <w:rPr>
                <w:rFonts w:ascii="Book Antiqua"/>
                <w:b/>
                <w:w w:val="105"/>
                <w:sz w:val="16"/>
                <w:szCs w:val="16"/>
              </w:rPr>
            </w:pPr>
            <w:proofErr w:type="spellStart"/>
            <w:r w:rsidRPr="002D5BE0">
              <w:rPr>
                <w:rFonts w:ascii="Book Antiqua"/>
                <w:b/>
                <w:w w:val="105"/>
                <w:sz w:val="16"/>
                <w:szCs w:val="16"/>
              </w:rPr>
              <w:t>Am</w:t>
            </w:r>
            <w:r w:rsidRPr="002D5BE0">
              <w:rPr>
                <w:rFonts w:ascii="Book Antiqua"/>
                <w:b/>
                <w:w w:val="105"/>
                <w:sz w:val="16"/>
                <w:szCs w:val="16"/>
              </w:rPr>
              <w:t>ó</w:t>
            </w:r>
            <w:r w:rsidRPr="002D5BE0">
              <w:rPr>
                <w:rFonts w:ascii="Book Antiqua"/>
                <w:b/>
                <w:w w:val="105"/>
                <w:sz w:val="16"/>
                <w:szCs w:val="16"/>
              </w:rPr>
              <w:t>nny</w:t>
            </w:r>
            <w:proofErr w:type="spellEnd"/>
            <w:r w:rsidRPr="002D5BE0">
              <w:rPr>
                <w:rFonts w:ascii="Book Antiqua"/>
                <w:b/>
                <w:w w:val="105"/>
                <w:sz w:val="16"/>
                <w:szCs w:val="16"/>
              </w:rPr>
              <w:t xml:space="preserve"> </w:t>
            </w:r>
            <w:proofErr w:type="spellStart"/>
            <w:r w:rsidRPr="002D5BE0">
              <w:rPr>
                <w:rFonts w:ascii="Book Antiqua"/>
                <w:b/>
                <w:w w:val="105"/>
                <w:sz w:val="16"/>
                <w:szCs w:val="16"/>
              </w:rPr>
              <w:t>kati</w:t>
            </w:r>
            <w:r w:rsidRPr="002D5BE0">
              <w:rPr>
                <w:rFonts w:ascii="Book Antiqua"/>
                <w:b/>
                <w:w w:val="105"/>
                <w:sz w:val="16"/>
                <w:szCs w:val="16"/>
              </w:rPr>
              <w:t>ó</w:t>
            </w:r>
            <w:r w:rsidRPr="002D5BE0">
              <w:rPr>
                <w:rFonts w:ascii="Book Antiqua"/>
                <w:b/>
                <w:w w:val="105"/>
                <w:sz w:val="16"/>
                <w:szCs w:val="16"/>
              </w:rPr>
              <w:t>n</w:t>
            </w:r>
            <w:proofErr w:type="spellEnd"/>
          </w:p>
          <w:p w:rsidR="00FF006A" w:rsidRPr="002D5BE0" w:rsidRDefault="00FF006A" w:rsidP="003925CB">
            <w:pPr>
              <w:pStyle w:val="TableParagraph"/>
              <w:spacing w:before="0" w:line="250" w:lineRule="atLeast"/>
              <w:jc w:val="center"/>
              <w:rPr>
                <w:rFonts w:ascii="Book Antiqua"/>
                <w:b/>
                <w:sz w:val="12"/>
              </w:rPr>
            </w:pPr>
            <w:r w:rsidRPr="002D5BE0">
              <w:rPr>
                <w:rFonts w:ascii="Book Antiqua"/>
                <w:b/>
                <w:w w:val="105"/>
                <w:sz w:val="16"/>
                <w:szCs w:val="16"/>
              </w:rPr>
              <w:t>NH</w:t>
            </w:r>
            <w:r w:rsidRPr="002D5BE0">
              <w:rPr>
                <w:rFonts w:ascii="Book Antiqua"/>
                <w:b/>
                <w:w w:val="105"/>
                <w:sz w:val="16"/>
                <w:szCs w:val="16"/>
                <w:vertAlign w:val="subscript"/>
              </w:rPr>
              <w:t>4</w:t>
            </w:r>
            <w:r w:rsidRPr="002D5BE0">
              <w:rPr>
                <w:rFonts w:ascii="Book Antiqua"/>
                <w:b/>
                <w:w w:val="105"/>
                <w:sz w:val="16"/>
                <w:szCs w:val="16"/>
                <w:vertAlign w:val="superscript"/>
              </w:rPr>
              <w:t>+</w:t>
            </w:r>
          </w:p>
        </w:tc>
        <w:tc>
          <w:tcPr>
            <w:tcW w:w="849" w:type="dxa"/>
            <w:vAlign w:val="bottom"/>
          </w:tcPr>
          <w:p w:rsidR="00FF006A" w:rsidRPr="002D5BE0" w:rsidRDefault="00FF006A" w:rsidP="003925CB">
            <w:pPr>
              <w:widowControl/>
              <w:autoSpaceDE/>
              <w:autoSpaceDN/>
              <w:jc w:val="center"/>
              <w:rPr>
                <w:rFonts w:ascii="Book Antiqua" w:hAnsi="Book Antiqua"/>
                <w:b/>
                <w:w w:val="105"/>
                <w:sz w:val="16"/>
                <w:szCs w:val="16"/>
              </w:rPr>
            </w:pPr>
            <w:proofErr w:type="spellStart"/>
            <w:r w:rsidRPr="002D5BE0">
              <w:rPr>
                <w:rFonts w:ascii="Book Antiqua" w:hAnsi="Book Antiqua"/>
                <w:b/>
                <w:w w:val="105"/>
                <w:sz w:val="16"/>
                <w:szCs w:val="16"/>
              </w:rPr>
              <w:t>Chloridy</w:t>
            </w:r>
            <w:proofErr w:type="spellEnd"/>
          </w:p>
          <w:p w:rsidR="00FF006A" w:rsidRPr="002D5BE0" w:rsidRDefault="00FF006A" w:rsidP="003925CB">
            <w:pPr>
              <w:pStyle w:val="TableParagraph"/>
              <w:spacing w:before="0" w:line="250" w:lineRule="atLeast"/>
              <w:jc w:val="center"/>
              <w:rPr>
                <w:rFonts w:ascii="Book Antiqua" w:hAnsi="Book Antiqua"/>
                <w:b/>
                <w:color w:val="20231E"/>
                <w:w w:val="110"/>
                <w:sz w:val="16"/>
              </w:rPr>
            </w:pPr>
            <w:r w:rsidRPr="002D5BE0">
              <w:rPr>
                <w:rFonts w:ascii="Book Antiqua" w:hAnsi="Book Antiqua"/>
                <w:b/>
                <w:w w:val="105"/>
                <w:sz w:val="16"/>
                <w:szCs w:val="16"/>
              </w:rPr>
              <w:t>Cl-</w:t>
            </w:r>
          </w:p>
        </w:tc>
        <w:tc>
          <w:tcPr>
            <w:tcW w:w="707" w:type="dxa"/>
            <w:vAlign w:val="bottom"/>
          </w:tcPr>
          <w:p w:rsidR="00FF006A" w:rsidRPr="002D5BE0" w:rsidRDefault="00FF006A" w:rsidP="003925CB">
            <w:pPr>
              <w:widowControl/>
              <w:autoSpaceDE/>
              <w:autoSpaceDN/>
              <w:jc w:val="center"/>
              <w:rPr>
                <w:rFonts w:ascii="Book Antiqua" w:hAnsi="Book Antiqua"/>
                <w:b/>
                <w:w w:val="110"/>
                <w:sz w:val="16"/>
                <w:szCs w:val="16"/>
              </w:rPr>
            </w:pPr>
            <w:proofErr w:type="spellStart"/>
            <w:r w:rsidRPr="002D5BE0">
              <w:rPr>
                <w:rFonts w:ascii="Book Antiqua" w:hAnsi="Book Antiqua"/>
                <w:b/>
                <w:w w:val="110"/>
                <w:sz w:val="16"/>
                <w:szCs w:val="16"/>
              </w:rPr>
              <w:t>Sírany</w:t>
            </w:r>
            <w:proofErr w:type="spellEnd"/>
          </w:p>
          <w:p w:rsidR="00FF006A" w:rsidRPr="002D5BE0" w:rsidRDefault="00FF006A" w:rsidP="003925CB">
            <w:pPr>
              <w:pStyle w:val="TableParagraph"/>
              <w:spacing w:before="0" w:line="250" w:lineRule="atLeast"/>
              <w:jc w:val="center"/>
              <w:rPr>
                <w:rFonts w:ascii="Book Antiqua" w:hAnsi="Book Antiqua"/>
                <w:b/>
                <w:sz w:val="12"/>
              </w:rPr>
            </w:pPr>
            <w:r w:rsidRPr="002D5BE0">
              <w:rPr>
                <w:rFonts w:ascii="Book Antiqua" w:hAnsi="Book Antiqua"/>
                <w:b/>
                <w:w w:val="110"/>
                <w:sz w:val="16"/>
                <w:szCs w:val="16"/>
              </w:rPr>
              <w:t>SO</w:t>
            </w:r>
            <w:r w:rsidRPr="002D5BE0">
              <w:rPr>
                <w:rFonts w:ascii="Book Antiqua" w:hAnsi="Book Antiqua"/>
                <w:b/>
                <w:w w:val="110"/>
                <w:sz w:val="16"/>
                <w:szCs w:val="16"/>
                <w:vertAlign w:val="subscript"/>
              </w:rPr>
              <w:t>4</w:t>
            </w:r>
            <w:r w:rsidRPr="002D5BE0">
              <w:rPr>
                <w:rFonts w:ascii="Book Antiqua" w:hAnsi="Book Antiqua"/>
                <w:b/>
                <w:w w:val="110"/>
                <w:sz w:val="16"/>
                <w:szCs w:val="16"/>
                <w:vertAlign w:val="superscript"/>
              </w:rPr>
              <w:t>2-</w:t>
            </w:r>
          </w:p>
        </w:tc>
        <w:tc>
          <w:tcPr>
            <w:tcW w:w="867" w:type="dxa"/>
            <w:vAlign w:val="bottom"/>
          </w:tcPr>
          <w:p w:rsidR="00FF006A" w:rsidRPr="002D5BE0" w:rsidRDefault="00FF006A" w:rsidP="003925CB">
            <w:pPr>
              <w:widowControl/>
              <w:autoSpaceDE/>
              <w:autoSpaceDN/>
              <w:jc w:val="center"/>
              <w:rPr>
                <w:rFonts w:ascii="Book Antiqua"/>
                <w:b/>
                <w:w w:val="110"/>
                <w:sz w:val="16"/>
                <w:szCs w:val="16"/>
              </w:rPr>
            </w:pPr>
            <w:proofErr w:type="spellStart"/>
            <w:r w:rsidRPr="002D5BE0">
              <w:rPr>
                <w:rFonts w:ascii="Book Antiqua"/>
                <w:b/>
                <w:w w:val="110"/>
                <w:sz w:val="16"/>
                <w:szCs w:val="16"/>
              </w:rPr>
              <w:t>Dusitany</w:t>
            </w:r>
            <w:proofErr w:type="spellEnd"/>
          </w:p>
          <w:p w:rsidR="00FF006A" w:rsidRPr="002D5BE0" w:rsidRDefault="00FF006A" w:rsidP="003925CB">
            <w:pPr>
              <w:widowControl/>
              <w:autoSpaceDE/>
              <w:autoSpaceDN/>
              <w:ind w:firstLine="97"/>
              <w:jc w:val="center"/>
              <w:rPr>
                <w:rFonts w:ascii="Book Antiqua" w:hAnsi="Book Antiqua"/>
                <w:b/>
                <w:w w:val="105"/>
                <w:sz w:val="16"/>
                <w:szCs w:val="16"/>
              </w:rPr>
            </w:pPr>
            <w:r w:rsidRPr="002D5BE0">
              <w:rPr>
                <w:rFonts w:ascii="Book Antiqua"/>
                <w:b/>
                <w:w w:val="110"/>
                <w:sz w:val="16"/>
                <w:szCs w:val="16"/>
              </w:rPr>
              <w:t>NO</w:t>
            </w:r>
            <w:r w:rsidRPr="002D5BE0">
              <w:rPr>
                <w:rFonts w:ascii="Book Antiqua"/>
                <w:b/>
                <w:w w:val="110"/>
                <w:sz w:val="16"/>
                <w:szCs w:val="16"/>
                <w:vertAlign w:val="subscript"/>
              </w:rPr>
              <w:t>2</w:t>
            </w:r>
            <w:r w:rsidRPr="002D5BE0">
              <w:rPr>
                <w:rFonts w:ascii="Book Antiqua"/>
                <w:b/>
                <w:w w:val="110"/>
                <w:sz w:val="16"/>
                <w:szCs w:val="16"/>
                <w:vertAlign w:val="superscript"/>
              </w:rPr>
              <w:t>-</w:t>
            </w:r>
          </w:p>
        </w:tc>
        <w:tc>
          <w:tcPr>
            <w:tcW w:w="850" w:type="dxa"/>
            <w:vAlign w:val="bottom"/>
          </w:tcPr>
          <w:p w:rsidR="00FF006A" w:rsidRPr="002D5BE0" w:rsidRDefault="00FF006A" w:rsidP="003925CB">
            <w:pPr>
              <w:widowControl/>
              <w:autoSpaceDE/>
              <w:autoSpaceDN/>
              <w:jc w:val="center"/>
              <w:rPr>
                <w:rFonts w:ascii="Book Antiqua"/>
                <w:b/>
                <w:w w:val="110"/>
                <w:sz w:val="16"/>
                <w:szCs w:val="16"/>
              </w:rPr>
            </w:pPr>
            <w:proofErr w:type="spellStart"/>
            <w:r w:rsidRPr="002D5BE0">
              <w:rPr>
                <w:rFonts w:ascii="Book Antiqua"/>
                <w:b/>
                <w:w w:val="110"/>
                <w:sz w:val="16"/>
                <w:szCs w:val="16"/>
              </w:rPr>
              <w:t>Fluoridy</w:t>
            </w:r>
            <w:proofErr w:type="spellEnd"/>
          </w:p>
          <w:p w:rsidR="00FF006A" w:rsidRPr="002D5BE0" w:rsidRDefault="00FF006A" w:rsidP="003925CB">
            <w:pPr>
              <w:pStyle w:val="TableParagraph"/>
              <w:spacing w:before="0" w:line="220" w:lineRule="atLeast"/>
              <w:jc w:val="center"/>
              <w:rPr>
                <w:rFonts w:ascii="Book Antiqua" w:hAnsi="Book Antiqua"/>
                <w:b/>
                <w:w w:val="110"/>
                <w:sz w:val="16"/>
                <w:szCs w:val="16"/>
              </w:rPr>
            </w:pPr>
            <w:r w:rsidRPr="002D5BE0">
              <w:rPr>
                <w:rFonts w:ascii="Book Antiqua"/>
                <w:b/>
                <w:w w:val="115"/>
                <w:sz w:val="16"/>
                <w:szCs w:val="16"/>
              </w:rPr>
              <w:t>F</w:t>
            </w:r>
            <w:r w:rsidRPr="002D5BE0">
              <w:rPr>
                <w:rFonts w:ascii="Book Antiqua"/>
                <w:b/>
                <w:w w:val="115"/>
                <w:sz w:val="16"/>
                <w:szCs w:val="16"/>
                <w:vertAlign w:val="superscript"/>
              </w:rPr>
              <w:t>-</w:t>
            </w:r>
          </w:p>
        </w:tc>
        <w:tc>
          <w:tcPr>
            <w:tcW w:w="850" w:type="dxa"/>
            <w:vAlign w:val="bottom"/>
          </w:tcPr>
          <w:p w:rsidR="00FF006A" w:rsidRPr="002D5BE0" w:rsidRDefault="00FF006A" w:rsidP="003925CB">
            <w:pPr>
              <w:pStyle w:val="TableParagraph"/>
              <w:spacing w:before="0" w:line="220" w:lineRule="atLeast"/>
              <w:jc w:val="center"/>
              <w:rPr>
                <w:rFonts w:ascii="Book Antiqua" w:hAnsi="Book Antiqua"/>
                <w:b/>
                <w:w w:val="110"/>
                <w:sz w:val="16"/>
                <w:szCs w:val="16"/>
              </w:rPr>
            </w:pPr>
            <w:proofErr w:type="spellStart"/>
            <w:r w:rsidRPr="002D5BE0">
              <w:rPr>
                <w:rFonts w:ascii="Book Antiqua" w:hAnsi="Book Antiqua"/>
                <w:b/>
                <w:w w:val="110"/>
                <w:sz w:val="16"/>
                <w:szCs w:val="16"/>
              </w:rPr>
              <w:t>Fosfo-rečnany</w:t>
            </w:r>
            <w:proofErr w:type="spellEnd"/>
          </w:p>
          <w:p w:rsidR="00FF006A" w:rsidRPr="002D5BE0" w:rsidRDefault="00FF006A" w:rsidP="003925CB">
            <w:pPr>
              <w:widowControl/>
              <w:autoSpaceDE/>
              <w:autoSpaceDN/>
              <w:ind w:firstLine="97"/>
              <w:jc w:val="center"/>
              <w:rPr>
                <w:rFonts w:ascii="Book Antiqua" w:hAnsi="Book Antiqua"/>
                <w:b/>
                <w:w w:val="105"/>
                <w:sz w:val="16"/>
                <w:szCs w:val="16"/>
              </w:rPr>
            </w:pPr>
            <w:r w:rsidRPr="002D5BE0">
              <w:rPr>
                <w:rFonts w:ascii="Book Antiqua" w:hAnsi="Book Antiqua"/>
                <w:b/>
                <w:w w:val="110"/>
                <w:sz w:val="16"/>
                <w:szCs w:val="16"/>
              </w:rPr>
              <w:t>PO</w:t>
            </w:r>
            <w:r w:rsidRPr="002D5BE0">
              <w:rPr>
                <w:rFonts w:ascii="Book Antiqua" w:hAnsi="Book Antiqua"/>
                <w:b/>
                <w:w w:val="110"/>
                <w:sz w:val="16"/>
                <w:szCs w:val="16"/>
                <w:vertAlign w:val="subscript"/>
              </w:rPr>
              <w:t>4</w:t>
            </w:r>
            <w:r w:rsidRPr="002D5BE0">
              <w:rPr>
                <w:rFonts w:ascii="Book Antiqua" w:hAnsi="Book Antiqua"/>
                <w:b/>
                <w:w w:val="110"/>
                <w:sz w:val="16"/>
                <w:szCs w:val="16"/>
                <w:vertAlign w:val="superscript"/>
              </w:rPr>
              <w:t>3-</w:t>
            </w:r>
          </w:p>
        </w:tc>
        <w:tc>
          <w:tcPr>
            <w:tcW w:w="709" w:type="dxa"/>
            <w:vAlign w:val="bottom"/>
          </w:tcPr>
          <w:p w:rsidR="00FF006A" w:rsidRPr="002D5BE0" w:rsidRDefault="00FF006A" w:rsidP="003925CB">
            <w:pPr>
              <w:widowControl/>
              <w:autoSpaceDE/>
              <w:autoSpaceDN/>
              <w:ind w:firstLine="97"/>
              <w:jc w:val="center"/>
              <w:rPr>
                <w:rFonts w:ascii="Book Antiqua" w:hAnsi="Book Antiqua"/>
                <w:b/>
                <w:w w:val="105"/>
                <w:sz w:val="16"/>
                <w:szCs w:val="16"/>
              </w:rPr>
            </w:pPr>
            <w:proofErr w:type="spellStart"/>
            <w:r w:rsidRPr="002D5BE0">
              <w:rPr>
                <w:rFonts w:ascii="Book Antiqua" w:hAnsi="Book Antiqua"/>
                <w:b/>
                <w:w w:val="105"/>
                <w:sz w:val="16"/>
                <w:szCs w:val="16"/>
              </w:rPr>
              <w:t>Sodík</w:t>
            </w:r>
            <w:proofErr w:type="spellEnd"/>
          </w:p>
          <w:p w:rsidR="00FF006A" w:rsidRPr="002D5BE0" w:rsidRDefault="00FF006A" w:rsidP="003925CB">
            <w:pPr>
              <w:pStyle w:val="TableParagraph"/>
              <w:tabs>
                <w:tab w:val="left" w:pos="810"/>
              </w:tabs>
              <w:spacing w:before="0" w:line="220" w:lineRule="atLeast"/>
              <w:ind w:hanging="10"/>
              <w:jc w:val="center"/>
              <w:rPr>
                <w:rFonts w:ascii="Book Antiqua" w:hAnsi="Book Antiqua"/>
                <w:b/>
                <w:sz w:val="16"/>
              </w:rPr>
            </w:pPr>
            <w:r w:rsidRPr="002D5BE0">
              <w:rPr>
                <w:rFonts w:ascii="Book Antiqua" w:hAnsi="Book Antiqua"/>
                <w:b/>
                <w:w w:val="105"/>
                <w:sz w:val="16"/>
                <w:szCs w:val="16"/>
              </w:rPr>
              <w:t>Na</w:t>
            </w:r>
          </w:p>
        </w:tc>
        <w:tc>
          <w:tcPr>
            <w:tcW w:w="708" w:type="dxa"/>
            <w:vAlign w:val="bottom"/>
          </w:tcPr>
          <w:p w:rsidR="00FF006A" w:rsidRPr="002D5BE0" w:rsidRDefault="00FF006A" w:rsidP="003925CB">
            <w:pPr>
              <w:widowControl/>
              <w:autoSpaceDE/>
              <w:autoSpaceDN/>
              <w:ind w:hanging="30"/>
              <w:jc w:val="center"/>
              <w:rPr>
                <w:rFonts w:ascii="Book Antiqua" w:hAnsi="Book Antiqua"/>
                <w:b/>
                <w:w w:val="105"/>
                <w:sz w:val="16"/>
                <w:szCs w:val="16"/>
              </w:rPr>
            </w:pPr>
            <w:proofErr w:type="spellStart"/>
            <w:r w:rsidRPr="002D5BE0">
              <w:rPr>
                <w:rFonts w:ascii="Book Antiqua" w:hAnsi="Book Antiqua"/>
                <w:b/>
                <w:w w:val="110"/>
                <w:sz w:val="16"/>
                <w:szCs w:val="16"/>
              </w:rPr>
              <w:t>Chróm</w:t>
            </w:r>
            <w:proofErr w:type="spellEnd"/>
            <w:r w:rsidRPr="002D5BE0">
              <w:rPr>
                <w:rFonts w:ascii="Book Antiqua" w:hAnsi="Book Antiqua"/>
                <w:b/>
                <w:w w:val="110"/>
                <w:position w:val="-3"/>
                <w:sz w:val="16"/>
                <w:szCs w:val="16"/>
              </w:rPr>
              <w:t xml:space="preserve"> </w:t>
            </w:r>
            <w:r w:rsidRPr="002D5BE0">
              <w:rPr>
                <w:rFonts w:ascii="Book Antiqua" w:hAnsi="Book Antiqua"/>
                <w:b/>
                <w:w w:val="115"/>
                <w:sz w:val="16"/>
                <w:szCs w:val="16"/>
              </w:rPr>
              <w:t>Cr</w:t>
            </w:r>
          </w:p>
        </w:tc>
        <w:tc>
          <w:tcPr>
            <w:tcW w:w="851" w:type="dxa"/>
            <w:vAlign w:val="bottom"/>
          </w:tcPr>
          <w:p w:rsidR="00FF006A" w:rsidRPr="002D5BE0" w:rsidRDefault="00FF006A" w:rsidP="003925CB">
            <w:pPr>
              <w:widowControl/>
              <w:autoSpaceDE/>
              <w:autoSpaceDN/>
              <w:jc w:val="center"/>
              <w:rPr>
                <w:rFonts w:ascii="Book Antiqua" w:hAnsi="Book Antiqua"/>
                <w:b/>
                <w:w w:val="105"/>
                <w:sz w:val="16"/>
                <w:szCs w:val="16"/>
              </w:rPr>
            </w:pPr>
            <w:proofErr w:type="spellStart"/>
            <w:r w:rsidRPr="002D5BE0">
              <w:rPr>
                <w:rFonts w:ascii="Book Antiqua" w:hAnsi="Book Antiqua"/>
                <w:b/>
                <w:w w:val="105"/>
                <w:sz w:val="16"/>
                <w:szCs w:val="16"/>
              </w:rPr>
              <w:t>Mangán</w:t>
            </w:r>
            <w:proofErr w:type="spellEnd"/>
          </w:p>
          <w:p w:rsidR="00FF006A" w:rsidRPr="002D5BE0" w:rsidRDefault="00FF006A" w:rsidP="003925CB">
            <w:pPr>
              <w:widowControl/>
              <w:autoSpaceDE/>
              <w:autoSpaceDN/>
              <w:ind w:hanging="30"/>
              <w:jc w:val="center"/>
              <w:rPr>
                <w:rFonts w:ascii="Book Antiqua" w:hAnsi="Book Antiqua"/>
                <w:b/>
                <w:w w:val="105"/>
                <w:sz w:val="16"/>
                <w:szCs w:val="16"/>
              </w:rPr>
            </w:pPr>
            <w:proofErr w:type="spellStart"/>
            <w:r w:rsidRPr="002D5BE0">
              <w:rPr>
                <w:rFonts w:ascii="Book Antiqua" w:hAnsi="Book Antiqua"/>
                <w:b/>
                <w:w w:val="105"/>
                <w:sz w:val="16"/>
                <w:szCs w:val="16"/>
              </w:rPr>
              <w:t>Mn</w:t>
            </w:r>
            <w:proofErr w:type="spellEnd"/>
          </w:p>
        </w:tc>
        <w:tc>
          <w:tcPr>
            <w:tcW w:w="709" w:type="dxa"/>
            <w:vAlign w:val="bottom"/>
          </w:tcPr>
          <w:p w:rsidR="00FF006A" w:rsidRPr="002D5BE0" w:rsidRDefault="00FF006A" w:rsidP="003925CB">
            <w:pPr>
              <w:widowControl/>
              <w:autoSpaceDE/>
              <w:autoSpaceDN/>
              <w:ind w:hanging="30"/>
              <w:jc w:val="center"/>
              <w:rPr>
                <w:rFonts w:ascii="Book Antiqua" w:hAnsi="Book Antiqua"/>
                <w:b/>
                <w:w w:val="105"/>
                <w:sz w:val="16"/>
                <w:szCs w:val="16"/>
              </w:rPr>
            </w:pPr>
            <w:proofErr w:type="spellStart"/>
            <w:r w:rsidRPr="002D5BE0">
              <w:rPr>
                <w:rFonts w:ascii="Book Antiqua" w:hAnsi="Book Antiqua"/>
                <w:b/>
                <w:w w:val="105"/>
                <w:sz w:val="16"/>
                <w:szCs w:val="16"/>
              </w:rPr>
              <w:t>Železo</w:t>
            </w:r>
            <w:proofErr w:type="spellEnd"/>
          </w:p>
          <w:p w:rsidR="00FF006A" w:rsidRPr="002D5BE0" w:rsidRDefault="00FF006A" w:rsidP="003925CB">
            <w:pPr>
              <w:pStyle w:val="TableParagraph"/>
              <w:spacing w:before="0" w:line="220" w:lineRule="atLeast"/>
              <w:ind w:hanging="4"/>
              <w:jc w:val="center"/>
              <w:rPr>
                <w:rFonts w:ascii="Book Antiqua" w:hAnsi="Book Antiqua"/>
                <w:b/>
                <w:sz w:val="16"/>
              </w:rPr>
            </w:pPr>
            <w:r w:rsidRPr="002D5BE0">
              <w:rPr>
                <w:rFonts w:ascii="Book Antiqua" w:hAnsi="Book Antiqua"/>
                <w:b/>
                <w:w w:val="110"/>
                <w:sz w:val="16"/>
                <w:szCs w:val="16"/>
              </w:rPr>
              <w:t>Fe</w:t>
            </w:r>
          </w:p>
        </w:tc>
        <w:tc>
          <w:tcPr>
            <w:tcW w:w="708" w:type="dxa"/>
            <w:vAlign w:val="bottom"/>
          </w:tcPr>
          <w:p w:rsidR="00FF006A" w:rsidRPr="002D5BE0" w:rsidRDefault="00FF006A" w:rsidP="003925CB">
            <w:pPr>
              <w:widowControl/>
              <w:autoSpaceDE/>
              <w:autoSpaceDN/>
              <w:jc w:val="center"/>
              <w:rPr>
                <w:rFonts w:ascii="Book Antiqua" w:hAnsi="Book Antiqua"/>
                <w:b/>
                <w:w w:val="95"/>
                <w:sz w:val="16"/>
                <w:szCs w:val="16"/>
              </w:rPr>
            </w:pPr>
            <w:proofErr w:type="spellStart"/>
            <w:r w:rsidRPr="002D5BE0">
              <w:rPr>
                <w:rFonts w:ascii="Book Antiqua" w:hAnsi="Book Antiqua"/>
                <w:b/>
                <w:w w:val="95"/>
                <w:sz w:val="16"/>
                <w:szCs w:val="16"/>
              </w:rPr>
              <w:t>Meď</w:t>
            </w:r>
            <w:proofErr w:type="spellEnd"/>
          </w:p>
          <w:p w:rsidR="00FF006A" w:rsidRPr="002D5BE0" w:rsidRDefault="00FF006A" w:rsidP="003925CB">
            <w:pPr>
              <w:pStyle w:val="TableParagraph"/>
              <w:spacing w:before="0" w:line="220" w:lineRule="atLeast"/>
              <w:ind w:firstLine="6"/>
              <w:jc w:val="center"/>
              <w:rPr>
                <w:rFonts w:ascii="Book Antiqua" w:hAnsi="Book Antiqua"/>
                <w:b/>
                <w:color w:val="20231E"/>
                <w:w w:val="110"/>
                <w:sz w:val="16"/>
              </w:rPr>
            </w:pPr>
            <w:r w:rsidRPr="002D5BE0">
              <w:rPr>
                <w:rFonts w:ascii="Book Antiqua" w:hAnsi="Book Antiqua"/>
                <w:b/>
                <w:sz w:val="16"/>
                <w:szCs w:val="16"/>
              </w:rPr>
              <w:t>Cu</w:t>
            </w:r>
          </w:p>
        </w:tc>
        <w:tc>
          <w:tcPr>
            <w:tcW w:w="709" w:type="dxa"/>
            <w:vAlign w:val="bottom"/>
          </w:tcPr>
          <w:p w:rsidR="00FF006A" w:rsidRPr="002D5BE0" w:rsidRDefault="00FF006A" w:rsidP="003925CB">
            <w:pPr>
              <w:widowControl/>
              <w:autoSpaceDE/>
              <w:autoSpaceDN/>
              <w:ind w:hanging="16"/>
              <w:jc w:val="center"/>
              <w:rPr>
                <w:rFonts w:ascii="Book Antiqua" w:hAnsi="Book Antiqua"/>
                <w:b/>
                <w:w w:val="110"/>
                <w:sz w:val="16"/>
                <w:szCs w:val="16"/>
              </w:rPr>
            </w:pPr>
            <w:proofErr w:type="spellStart"/>
            <w:r w:rsidRPr="002D5BE0">
              <w:rPr>
                <w:rFonts w:ascii="Book Antiqua" w:hAnsi="Book Antiqua"/>
                <w:b/>
                <w:w w:val="110"/>
                <w:sz w:val="16"/>
                <w:szCs w:val="16"/>
              </w:rPr>
              <w:t>Selén</w:t>
            </w:r>
            <w:proofErr w:type="spellEnd"/>
          </w:p>
          <w:p w:rsidR="00FF006A" w:rsidRPr="002D5BE0" w:rsidRDefault="00FF006A" w:rsidP="003925CB">
            <w:pPr>
              <w:pStyle w:val="TableParagraph"/>
              <w:spacing w:before="0" w:line="220" w:lineRule="atLeast"/>
              <w:ind w:firstLine="6"/>
              <w:jc w:val="center"/>
              <w:rPr>
                <w:rFonts w:ascii="Book Antiqua" w:hAnsi="Book Antiqua"/>
                <w:b/>
                <w:sz w:val="16"/>
              </w:rPr>
            </w:pPr>
            <w:r w:rsidRPr="002D5BE0">
              <w:rPr>
                <w:rFonts w:ascii="Book Antiqua" w:hAnsi="Book Antiqua"/>
                <w:b/>
                <w:w w:val="110"/>
                <w:sz w:val="16"/>
                <w:szCs w:val="16"/>
              </w:rPr>
              <w:t>Se</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SK200010FK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0,009</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0,0007</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128,9</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172,1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57,8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0,07</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1,004</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SK2000200P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0,0007</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160,2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216,5</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79,1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0,04</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SK200030FK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129,6</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168,4</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0,25</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53,8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SK2000400P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0,0007</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0,26</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128,6</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138,6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56,2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SK2000500P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135,2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146,1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54,3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1,003</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SK200060KF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129,7</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146</w:t>
            </w:r>
            <w:r>
              <w:rPr>
                <w:sz w:val="18"/>
                <w:szCs w:val="18"/>
              </w:rPr>
              <w:t>,00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52,2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SK2000700F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127,7</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141,3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51,4</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0,028</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1,003</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SK200080KF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127,9</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157,1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58,6</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SK200090</w:t>
            </w:r>
            <w:r>
              <w:rPr>
                <w:sz w:val="18"/>
                <w:szCs w:val="18"/>
              </w:rPr>
              <w:t>0</w:t>
            </w:r>
            <w:r w:rsidRPr="00DC4245">
              <w:rPr>
                <w:sz w:val="18"/>
                <w:szCs w:val="18"/>
              </w:rPr>
              <w:t>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140,3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54,2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0,028</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SK2001000P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177,0</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164,5</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78</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SK200110KF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132</w:t>
            </w:r>
            <w:r>
              <w:rPr>
                <w:sz w:val="18"/>
                <w:szCs w:val="18"/>
              </w:rPr>
              <w:t>,00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55,5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0,029</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1,003</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SK200120FK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0,0026</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153,1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1,0</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57,1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0,045</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SK2001300P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126,3</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140,8</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52,6</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SK200140KF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0,0005</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0,29</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129,9</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139,2</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51,9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0,028</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0,13</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SK200150F</w:t>
            </w:r>
            <w:r>
              <w:rPr>
                <w:sz w:val="18"/>
                <w:szCs w:val="18"/>
              </w:rPr>
              <w:t>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0,0005</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0,35</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132,6</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143,1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60,2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SK200160FK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126,1</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143</w:t>
            </w:r>
            <w:r>
              <w:rPr>
                <w:sz w:val="18"/>
                <w:szCs w:val="18"/>
              </w:rPr>
              <w:t>,00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54</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0,029</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0,135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SK200170FP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0,0005</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129,7</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147,3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52,1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0,135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SK2001800F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0,26</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126,9</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157,2</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51,8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SK200190FK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133,2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170,0</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53,8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SK200200FP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0,26</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143,6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0,35</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53,3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SK2002100P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0,0053</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0,26</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150,2</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55</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lastRenderedPageBreak/>
              <w:t>SK200220FP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127,6</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146,4</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0,35</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56,1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SK2002300P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0,0005</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148,2</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158,4</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0,30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76,5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SK200240FK</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126,4</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141,1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SK200250KF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126,5</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140,4</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51,0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SK200260FP</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135,3</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151,6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0,31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58,1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DC4245" w:rsidRDefault="00FF006A" w:rsidP="003925CB">
            <w:pPr>
              <w:widowControl/>
              <w:autoSpaceDE/>
              <w:autoSpaceDN/>
              <w:rPr>
                <w:sz w:val="18"/>
                <w:szCs w:val="18"/>
              </w:rPr>
            </w:pPr>
            <w:r w:rsidRPr="00DC4245">
              <w:rPr>
                <w:sz w:val="18"/>
                <w:szCs w:val="18"/>
              </w:rPr>
              <w:t>SK200270KF</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DC4245"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126,4</w:t>
            </w:r>
          </w:p>
        </w:tc>
        <w:tc>
          <w:tcPr>
            <w:tcW w:w="707" w:type="dxa"/>
            <w:vAlign w:val="center"/>
          </w:tcPr>
          <w:p w:rsidR="00FF006A" w:rsidRPr="00DC4245" w:rsidRDefault="00FF006A" w:rsidP="003925CB">
            <w:pPr>
              <w:widowControl/>
              <w:autoSpaceDE/>
              <w:autoSpaceDN/>
              <w:jc w:val="right"/>
              <w:rPr>
                <w:sz w:val="18"/>
                <w:szCs w:val="18"/>
              </w:rPr>
            </w:pPr>
            <w:r w:rsidRPr="00DC4245">
              <w:rPr>
                <w:sz w:val="18"/>
                <w:szCs w:val="18"/>
              </w:rPr>
              <w:t>145,6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51,2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DC4245"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SK200280FK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w:t>
            </w:r>
            <w:r>
              <w:rPr>
                <w:sz w:val="18"/>
                <w:szCs w:val="18"/>
              </w:rPr>
              <w:t>0</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128,0</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142,8</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53,7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SK200290FK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0,01</w:t>
            </w:r>
            <w:r>
              <w:rPr>
                <w:sz w:val="18"/>
                <w:szCs w:val="18"/>
              </w:rPr>
              <w:t>00</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126,6</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136,3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0,28</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51,7</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SK200300FK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w:t>
            </w:r>
            <w:r>
              <w:rPr>
                <w:sz w:val="18"/>
                <w:szCs w:val="18"/>
              </w:rPr>
              <w:t>0</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126,2</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152,3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51,2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SK2003100P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127,7</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145,4</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51,9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SK2003200P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0,0075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133,1</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148,3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53,2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0,2</w:t>
            </w:r>
            <w:r>
              <w:rPr>
                <w:sz w:val="18"/>
                <w:szCs w:val="18"/>
              </w:rPr>
              <w:t>00</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0,135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SK2003300F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0,0075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0,28</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145,1</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209,2</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60,9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SK200340KF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126,4</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143,0</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52,3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SK200350FK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0,0028</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125,9</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129,8</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50,9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SK200360FK</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126,4</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140,70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0,8</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51,5</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0,103</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SK2003700P</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137,0</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163,20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0,9</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0,45</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61,5</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0,040</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0,103</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SK200380FP</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129,0</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131,50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0,9</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56,2</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0,112</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1,002</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SK200390KF</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126,4</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143,40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0,30</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0,8</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51,4</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0,103</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SK2004000P</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158,5</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209,70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0,9</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72,8</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0,060</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0,103</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1,002</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SK200410KF</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126,0</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143,40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0,8</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51,0</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0,115</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BF5C98">
              <w:rPr>
                <w:sz w:val="18"/>
                <w:szCs w:val="18"/>
              </w:rPr>
              <w:t>SK200420FK</w:t>
            </w:r>
          </w:p>
        </w:tc>
        <w:tc>
          <w:tcPr>
            <w:tcW w:w="707" w:type="dxa"/>
            <w:vAlign w:val="center"/>
          </w:tcPr>
          <w:p w:rsidR="00FF006A" w:rsidRPr="00B171C2" w:rsidRDefault="00FF006A" w:rsidP="003925CB">
            <w:pPr>
              <w:widowControl/>
              <w:autoSpaceDE/>
              <w:autoSpaceDN/>
              <w:jc w:val="right"/>
              <w:rPr>
                <w:sz w:val="18"/>
                <w:szCs w:val="18"/>
              </w:rPr>
            </w:pPr>
            <w:r w:rsidRPr="00B171C2">
              <w:rPr>
                <w:sz w:val="18"/>
                <w:szCs w:val="18"/>
              </w:rPr>
              <w:t>0,0053</w:t>
            </w:r>
          </w:p>
        </w:tc>
        <w:tc>
          <w:tcPr>
            <w:tcW w:w="989" w:type="dxa"/>
            <w:vAlign w:val="center"/>
          </w:tcPr>
          <w:p w:rsidR="00FF006A" w:rsidRPr="00113CB4" w:rsidRDefault="00FF006A" w:rsidP="003925CB">
            <w:pPr>
              <w:widowControl/>
              <w:autoSpaceDE/>
              <w:autoSpaceDN/>
              <w:jc w:val="right"/>
              <w:rPr>
                <w:sz w:val="18"/>
                <w:szCs w:val="18"/>
              </w:rPr>
            </w:pPr>
            <w:r w:rsidRPr="00113CB4">
              <w:rPr>
                <w:sz w:val="18"/>
                <w:szCs w:val="18"/>
              </w:rPr>
              <w:t>0,0027</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0,0053</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113CB4">
              <w:rPr>
                <w:sz w:val="18"/>
                <w:szCs w:val="18"/>
              </w:rPr>
              <w:t>0,27</w:t>
            </w:r>
          </w:p>
        </w:tc>
        <w:tc>
          <w:tcPr>
            <w:tcW w:w="849" w:type="dxa"/>
            <w:vAlign w:val="center"/>
          </w:tcPr>
          <w:p w:rsidR="00FF006A" w:rsidRPr="00113CB4" w:rsidRDefault="00FF006A" w:rsidP="003925CB">
            <w:pPr>
              <w:widowControl/>
              <w:autoSpaceDE/>
              <w:autoSpaceDN/>
              <w:jc w:val="right"/>
              <w:rPr>
                <w:sz w:val="18"/>
                <w:szCs w:val="18"/>
              </w:rPr>
            </w:pPr>
            <w:r w:rsidRPr="00113CB4">
              <w:rPr>
                <w:sz w:val="18"/>
                <w:szCs w:val="18"/>
              </w:rPr>
              <w:t>127,7</w:t>
            </w:r>
          </w:p>
        </w:tc>
        <w:tc>
          <w:tcPr>
            <w:tcW w:w="707" w:type="dxa"/>
            <w:vAlign w:val="center"/>
          </w:tcPr>
          <w:p w:rsidR="00FF006A" w:rsidRPr="00113CB4" w:rsidRDefault="00FF006A" w:rsidP="003925CB">
            <w:pPr>
              <w:widowControl/>
              <w:autoSpaceDE/>
              <w:autoSpaceDN/>
              <w:jc w:val="right"/>
              <w:rPr>
                <w:sz w:val="18"/>
                <w:szCs w:val="18"/>
              </w:rPr>
            </w:pPr>
            <w:r w:rsidRPr="00113CB4">
              <w:rPr>
                <w:sz w:val="18"/>
                <w:szCs w:val="18"/>
              </w:rPr>
              <w:t>153,80</w:t>
            </w:r>
          </w:p>
        </w:tc>
        <w:tc>
          <w:tcPr>
            <w:tcW w:w="867" w:type="dxa"/>
            <w:vAlign w:val="center"/>
          </w:tcPr>
          <w:p w:rsidR="00FF006A" w:rsidRPr="00113CB4"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0,8</w:t>
            </w:r>
          </w:p>
        </w:tc>
        <w:tc>
          <w:tcPr>
            <w:tcW w:w="850" w:type="dxa"/>
            <w:vAlign w:val="center"/>
          </w:tcPr>
          <w:p w:rsidR="00FF006A" w:rsidRPr="00113CB4"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53,5</w:t>
            </w:r>
          </w:p>
        </w:tc>
        <w:tc>
          <w:tcPr>
            <w:tcW w:w="708" w:type="dxa"/>
            <w:vAlign w:val="center"/>
          </w:tcPr>
          <w:p w:rsidR="00FF006A" w:rsidRPr="00113CB4" w:rsidRDefault="00FF006A" w:rsidP="003925CB">
            <w:pPr>
              <w:widowControl/>
              <w:autoSpaceDE/>
              <w:autoSpaceDN/>
              <w:jc w:val="right"/>
              <w:rPr>
                <w:sz w:val="18"/>
                <w:szCs w:val="18"/>
              </w:rPr>
            </w:pPr>
            <w:r w:rsidRPr="00113CB4">
              <w:rPr>
                <w:sz w:val="18"/>
                <w:szCs w:val="18"/>
              </w:rPr>
              <w:t>0,025</w:t>
            </w:r>
          </w:p>
        </w:tc>
        <w:tc>
          <w:tcPr>
            <w:tcW w:w="851" w:type="dxa"/>
            <w:vAlign w:val="center"/>
          </w:tcPr>
          <w:p w:rsidR="00FF006A" w:rsidRPr="00113CB4" w:rsidRDefault="00FF006A" w:rsidP="003925CB">
            <w:pPr>
              <w:widowControl/>
              <w:autoSpaceDE/>
              <w:autoSpaceDN/>
              <w:jc w:val="right"/>
              <w:rPr>
                <w:sz w:val="18"/>
                <w:szCs w:val="18"/>
              </w:rPr>
            </w:pPr>
            <w:r w:rsidRPr="00113CB4">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113CB4">
              <w:rPr>
                <w:sz w:val="18"/>
                <w:szCs w:val="18"/>
              </w:rPr>
              <w:t>0,115</w:t>
            </w:r>
          </w:p>
        </w:tc>
        <w:tc>
          <w:tcPr>
            <w:tcW w:w="708" w:type="dxa"/>
            <w:vAlign w:val="center"/>
          </w:tcPr>
          <w:p w:rsidR="00FF006A" w:rsidRPr="00387DC8" w:rsidRDefault="00FF006A" w:rsidP="003925CB">
            <w:pPr>
              <w:widowControl/>
              <w:autoSpaceDE/>
              <w:autoSpaceDN/>
              <w:jc w:val="right"/>
              <w:rPr>
                <w:sz w:val="18"/>
                <w:szCs w:val="18"/>
              </w:rPr>
            </w:pPr>
            <w:r w:rsidRPr="00387DC8">
              <w:rPr>
                <w:sz w:val="18"/>
                <w:szCs w:val="18"/>
              </w:rPr>
              <w:t>1,000</w:t>
            </w:r>
          </w:p>
        </w:tc>
        <w:tc>
          <w:tcPr>
            <w:tcW w:w="709" w:type="dxa"/>
            <w:vAlign w:val="center"/>
          </w:tcPr>
          <w:p w:rsidR="00FF006A" w:rsidRPr="00387DC8" w:rsidRDefault="00FF006A" w:rsidP="003925CB">
            <w:pPr>
              <w:widowControl/>
              <w:autoSpaceDE/>
              <w:autoSpaceDN/>
              <w:jc w:val="right"/>
              <w:rPr>
                <w:sz w:val="18"/>
                <w:szCs w:val="18"/>
              </w:rPr>
            </w:pPr>
            <w:r w:rsidRPr="00387DC8">
              <w:rPr>
                <w:sz w:val="18"/>
                <w:szCs w:val="18"/>
              </w:rPr>
              <w:t>0,005</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SK200430FK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127,9</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147,1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52,9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lastRenderedPageBreak/>
              <w:t>SK200440KF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125,7</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138,5</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w:t>
            </w:r>
            <w:r>
              <w:rPr>
                <w:sz w:val="18"/>
                <w:szCs w:val="18"/>
              </w:rPr>
              <w:t>,000</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SK2004500P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130</w:t>
            </w:r>
            <w:r>
              <w:rPr>
                <w:sz w:val="18"/>
                <w:szCs w:val="18"/>
              </w:rPr>
              <w:t>,0</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151,3</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55,2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0,079</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SK200460KF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127,5</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152,1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51,3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SK2004700F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127,9</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155,8</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53,8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SK200480KF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131,8</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167,6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0,24</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52,3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SK2004900F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126,7</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167</w:t>
            </w:r>
            <w:r>
              <w:rPr>
                <w:sz w:val="18"/>
                <w:szCs w:val="18"/>
              </w:rPr>
              <w:t>,00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53,3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SK200500FK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127,4</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144,7</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52,6</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0,11</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SK200510KF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129</w:t>
            </w:r>
            <w:r>
              <w:rPr>
                <w:sz w:val="18"/>
                <w:szCs w:val="18"/>
              </w:rPr>
              <w:t>,0</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167,1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0,23</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53,9</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w:t>
            </w:r>
            <w:r>
              <w:rPr>
                <w:sz w:val="18"/>
                <w:szCs w:val="18"/>
              </w:rPr>
              <w:t>,000</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SK2005200P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151,4</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159,7</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60,3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0,026</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0,038</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SK2005300P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137,8</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165,1</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61,1</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0,038</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0,125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SK200540FP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w:t>
            </w:r>
            <w:r>
              <w:rPr>
                <w:sz w:val="18"/>
                <w:szCs w:val="18"/>
              </w:rPr>
              <w:t>,0</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156,9</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0,30</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55,5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0,115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SK200550FP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128,7</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154,0</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57</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1,002</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SK200560FK</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138,4</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155,0</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57,0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w:t>
            </w:r>
            <w:r>
              <w:rPr>
                <w:sz w:val="18"/>
                <w:szCs w:val="18"/>
              </w:rPr>
              <w:t>,000</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SK2005700F</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130,9</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148,6</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57,3</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w:t>
            </w:r>
            <w:r>
              <w:rPr>
                <w:sz w:val="18"/>
                <w:szCs w:val="18"/>
              </w:rPr>
              <w:t>0</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SK2005800P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0,0055</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0,0027</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0,0055</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151,4</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167,8</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0,9</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63,8</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0,035</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0,105</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r w:rsidR="00FF006A" w:rsidTr="003925CB">
        <w:trPr>
          <w:trHeight w:val="374"/>
        </w:trPr>
        <w:tc>
          <w:tcPr>
            <w:tcW w:w="1272" w:type="dxa"/>
            <w:vAlign w:val="center"/>
          </w:tcPr>
          <w:p w:rsidR="00FF006A" w:rsidRPr="00BF5C98" w:rsidRDefault="00FF006A" w:rsidP="003925CB">
            <w:pPr>
              <w:widowControl/>
              <w:autoSpaceDE/>
              <w:autoSpaceDN/>
              <w:rPr>
                <w:sz w:val="18"/>
                <w:szCs w:val="18"/>
              </w:rPr>
            </w:pPr>
            <w:r w:rsidRPr="00DC4245">
              <w:rPr>
                <w:sz w:val="18"/>
                <w:szCs w:val="18"/>
              </w:rPr>
              <w:t>SK200590FP</w:t>
            </w:r>
          </w:p>
        </w:tc>
        <w:tc>
          <w:tcPr>
            <w:tcW w:w="707" w:type="dxa"/>
            <w:vAlign w:val="center"/>
          </w:tcPr>
          <w:p w:rsidR="00FF006A" w:rsidRPr="00B171C2" w:rsidRDefault="00FF006A" w:rsidP="003925CB">
            <w:pPr>
              <w:widowControl/>
              <w:autoSpaceDE/>
              <w:autoSpaceDN/>
              <w:jc w:val="right"/>
              <w:rPr>
                <w:sz w:val="18"/>
                <w:szCs w:val="18"/>
              </w:rPr>
            </w:pPr>
            <w:r w:rsidRPr="00DC4245">
              <w:rPr>
                <w:sz w:val="18"/>
                <w:szCs w:val="18"/>
              </w:rPr>
              <w:t>0,0054</w:t>
            </w:r>
          </w:p>
        </w:tc>
        <w:tc>
          <w:tcPr>
            <w:tcW w:w="989" w:type="dxa"/>
            <w:vAlign w:val="center"/>
          </w:tcPr>
          <w:p w:rsidR="00FF006A" w:rsidRPr="00DC4245" w:rsidRDefault="00FF006A" w:rsidP="003925CB">
            <w:pPr>
              <w:widowControl/>
              <w:autoSpaceDE/>
              <w:autoSpaceDN/>
              <w:jc w:val="right"/>
              <w:rPr>
                <w:sz w:val="18"/>
                <w:szCs w:val="18"/>
              </w:rPr>
            </w:pPr>
            <w:r w:rsidRPr="00D23136">
              <w:rPr>
                <w:sz w:val="18"/>
                <w:szCs w:val="18"/>
              </w:rPr>
              <w:t>0,0032</w:t>
            </w:r>
          </w:p>
        </w:tc>
        <w:tc>
          <w:tcPr>
            <w:tcW w:w="708" w:type="dxa"/>
            <w:vAlign w:val="center"/>
          </w:tcPr>
          <w:p w:rsidR="00FF006A" w:rsidRPr="00482E0D" w:rsidRDefault="00FF006A" w:rsidP="003925CB">
            <w:pPr>
              <w:widowControl/>
              <w:autoSpaceDE/>
              <w:autoSpaceDN/>
              <w:jc w:val="right"/>
              <w:rPr>
                <w:sz w:val="18"/>
                <w:szCs w:val="18"/>
              </w:rPr>
            </w:pPr>
            <w:r w:rsidRPr="00DC4245">
              <w:rPr>
                <w:sz w:val="18"/>
                <w:szCs w:val="18"/>
              </w:rPr>
              <w:t>0,006</w:t>
            </w:r>
            <w:r>
              <w:rPr>
                <w:sz w:val="18"/>
                <w:szCs w:val="18"/>
              </w:rPr>
              <w:t>0</w:t>
            </w:r>
          </w:p>
        </w:tc>
        <w:tc>
          <w:tcPr>
            <w:tcW w:w="708" w:type="dxa"/>
            <w:vAlign w:val="center"/>
          </w:tcPr>
          <w:p w:rsidR="00FF006A" w:rsidRPr="00113CB4" w:rsidRDefault="00FF006A" w:rsidP="003925CB">
            <w:pPr>
              <w:widowControl/>
              <w:autoSpaceDE/>
              <w:autoSpaceDN/>
              <w:jc w:val="right"/>
              <w:rPr>
                <w:sz w:val="18"/>
                <w:szCs w:val="18"/>
              </w:rPr>
            </w:pPr>
            <w:r w:rsidRPr="00DC4245">
              <w:rPr>
                <w:sz w:val="18"/>
                <w:szCs w:val="18"/>
              </w:rPr>
              <w:t>0,0006</w:t>
            </w:r>
          </w:p>
        </w:tc>
        <w:tc>
          <w:tcPr>
            <w:tcW w:w="848" w:type="dxa"/>
            <w:vAlign w:val="center"/>
          </w:tcPr>
          <w:p w:rsidR="00FF006A" w:rsidRPr="00113CB4" w:rsidRDefault="00FF006A" w:rsidP="003925CB">
            <w:pPr>
              <w:widowControl/>
              <w:autoSpaceDE/>
              <w:autoSpaceDN/>
              <w:jc w:val="right"/>
              <w:rPr>
                <w:sz w:val="18"/>
                <w:szCs w:val="18"/>
              </w:rPr>
            </w:pPr>
            <w:r w:rsidRPr="00DC4245">
              <w:rPr>
                <w:sz w:val="18"/>
                <w:szCs w:val="18"/>
              </w:rPr>
              <w:t>0,27</w:t>
            </w:r>
          </w:p>
        </w:tc>
        <w:tc>
          <w:tcPr>
            <w:tcW w:w="849" w:type="dxa"/>
            <w:vAlign w:val="center"/>
          </w:tcPr>
          <w:p w:rsidR="00FF006A" w:rsidRPr="00DC4245" w:rsidRDefault="00FF006A" w:rsidP="003925CB">
            <w:pPr>
              <w:widowControl/>
              <w:autoSpaceDE/>
              <w:autoSpaceDN/>
              <w:jc w:val="right"/>
              <w:rPr>
                <w:sz w:val="18"/>
                <w:szCs w:val="18"/>
              </w:rPr>
            </w:pPr>
            <w:r w:rsidRPr="00DC4245">
              <w:rPr>
                <w:sz w:val="18"/>
                <w:szCs w:val="18"/>
              </w:rPr>
              <w:t>126,6</w:t>
            </w:r>
          </w:p>
        </w:tc>
        <w:tc>
          <w:tcPr>
            <w:tcW w:w="707" w:type="dxa"/>
            <w:vAlign w:val="center"/>
          </w:tcPr>
          <w:p w:rsidR="00FF006A" w:rsidRPr="00113CB4" w:rsidRDefault="00FF006A" w:rsidP="003925CB">
            <w:pPr>
              <w:widowControl/>
              <w:autoSpaceDE/>
              <w:autoSpaceDN/>
              <w:jc w:val="right"/>
              <w:rPr>
                <w:sz w:val="18"/>
                <w:szCs w:val="18"/>
              </w:rPr>
            </w:pPr>
            <w:r w:rsidRPr="00DC4245">
              <w:rPr>
                <w:sz w:val="18"/>
                <w:szCs w:val="18"/>
              </w:rPr>
              <w:t>137,0</w:t>
            </w:r>
            <w:r>
              <w:rPr>
                <w:sz w:val="18"/>
                <w:szCs w:val="18"/>
              </w:rPr>
              <w:t>0</w:t>
            </w:r>
          </w:p>
        </w:tc>
        <w:tc>
          <w:tcPr>
            <w:tcW w:w="867" w:type="dxa"/>
            <w:vAlign w:val="center"/>
          </w:tcPr>
          <w:p w:rsidR="00FF006A" w:rsidRPr="00DC4245" w:rsidRDefault="00FF006A" w:rsidP="003925CB">
            <w:pPr>
              <w:widowControl/>
              <w:autoSpaceDE/>
              <w:autoSpaceDN/>
              <w:jc w:val="right"/>
              <w:rPr>
                <w:sz w:val="18"/>
                <w:szCs w:val="18"/>
              </w:rPr>
            </w:pPr>
            <w:r w:rsidRPr="00113CB4">
              <w:rPr>
                <w:sz w:val="18"/>
                <w:szCs w:val="18"/>
              </w:rPr>
              <w:t>0,26</w:t>
            </w:r>
          </w:p>
        </w:tc>
        <w:tc>
          <w:tcPr>
            <w:tcW w:w="850" w:type="dxa"/>
            <w:vAlign w:val="center"/>
          </w:tcPr>
          <w:p w:rsidR="00FF006A" w:rsidRPr="00113CB4" w:rsidRDefault="00FF006A" w:rsidP="003925CB">
            <w:pPr>
              <w:widowControl/>
              <w:autoSpaceDE/>
              <w:autoSpaceDN/>
              <w:jc w:val="right"/>
              <w:rPr>
                <w:sz w:val="18"/>
                <w:szCs w:val="18"/>
              </w:rPr>
            </w:pPr>
            <w:r w:rsidRPr="00DC4245">
              <w:rPr>
                <w:sz w:val="18"/>
                <w:szCs w:val="18"/>
              </w:rPr>
              <w:t>0,8</w:t>
            </w:r>
          </w:p>
        </w:tc>
        <w:tc>
          <w:tcPr>
            <w:tcW w:w="850" w:type="dxa"/>
            <w:vAlign w:val="center"/>
          </w:tcPr>
          <w:p w:rsidR="00FF006A" w:rsidRPr="00DC4245" w:rsidRDefault="00FF006A" w:rsidP="003925CB">
            <w:pPr>
              <w:widowControl/>
              <w:autoSpaceDE/>
              <w:autoSpaceDN/>
              <w:jc w:val="right"/>
              <w:rPr>
                <w:sz w:val="18"/>
                <w:szCs w:val="18"/>
              </w:rPr>
            </w:pPr>
            <w:r w:rsidRPr="00113CB4">
              <w:rPr>
                <w:sz w:val="18"/>
                <w:szCs w:val="18"/>
              </w:rPr>
              <w:t>0,22</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52,2</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0,025</w:t>
            </w:r>
          </w:p>
        </w:tc>
        <w:tc>
          <w:tcPr>
            <w:tcW w:w="851" w:type="dxa"/>
            <w:vAlign w:val="center"/>
          </w:tcPr>
          <w:p w:rsidR="00FF006A" w:rsidRPr="00DC4245" w:rsidRDefault="00FF006A" w:rsidP="003925CB">
            <w:pPr>
              <w:widowControl/>
              <w:autoSpaceDE/>
              <w:autoSpaceDN/>
              <w:jc w:val="right"/>
              <w:rPr>
                <w:sz w:val="18"/>
                <w:szCs w:val="18"/>
              </w:rPr>
            </w:pPr>
            <w:r w:rsidRPr="00DC4245">
              <w:rPr>
                <w:sz w:val="18"/>
                <w:szCs w:val="18"/>
              </w:rPr>
              <w:t>0,027</w:t>
            </w:r>
          </w:p>
        </w:tc>
        <w:tc>
          <w:tcPr>
            <w:tcW w:w="709" w:type="dxa"/>
            <w:vAlign w:val="center"/>
          </w:tcPr>
          <w:p w:rsidR="00FF006A" w:rsidRPr="00113CB4" w:rsidRDefault="00FF006A" w:rsidP="003925CB">
            <w:pPr>
              <w:widowControl/>
              <w:autoSpaceDE/>
              <w:autoSpaceDN/>
              <w:jc w:val="right"/>
              <w:rPr>
                <w:sz w:val="18"/>
                <w:szCs w:val="18"/>
              </w:rPr>
            </w:pPr>
            <w:r w:rsidRPr="00DC4245">
              <w:rPr>
                <w:sz w:val="18"/>
                <w:szCs w:val="18"/>
              </w:rPr>
              <w:t>0,12</w:t>
            </w:r>
            <w:r>
              <w:rPr>
                <w:sz w:val="18"/>
                <w:szCs w:val="18"/>
              </w:rPr>
              <w:t>0</w:t>
            </w:r>
          </w:p>
        </w:tc>
        <w:tc>
          <w:tcPr>
            <w:tcW w:w="708" w:type="dxa"/>
            <w:vAlign w:val="center"/>
          </w:tcPr>
          <w:p w:rsidR="00FF006A" w:rsidRPr="00DC4245" w:rsidRDefault="00FF006A" w:rsidP="003925CB">
            <w:pPr>
              <w:widowControl/>
              <w:autoSpaceDE/>
              <w:autoSpaceDN/>
              <w:jc w:val="right"/>
              <w:rPr>
                <w:sz w:val="18"/>
                <w:szCs w:val="18"/>
              </w:rPr>
            </w:pPr>
            <w:r w:rsidRPr="00DC4245">
              <w:rPr>
                <w:sz w:val="18"/>
                <w:szCs w:val="18"/>
              </w:rPr>
              <w:t>1,001</w:t>
            </w:r>
          </w:p>
        </w:tc>
        <w:tc>
          <w:tcPr>
            <w:tcW w:w="709" w:type="dxa"/>
            <w:vAlign w:val="center"/>
          </w:tcPr>
          <w:p w:rsidR="00FF006A" w:rsidRPr="00387DC8" w:rsidRDefault="00FF006A" w:rsidP="003925CB">
            <w:pPr>
              <w:widowControl/>
              <w:autoSpaceDE/>
              <w:autoSpaceDN/>
              <w:jc w:val="right"/>
              <w:rPr>
                <w:sz w:val="18"/>
                <w:szCs w:val="18"/>
              </w:rPr>
            </w:pPr>
            <w:r w:rsidRPr="00DC4245">
              <w:rPr>
                <w:sz w:val="18"/>
                <w:szCs w:val="18"/>
              </w:rPr>
              <w:t>0,006</w:t>
            </w:r>
          </w:p>
        </w:tc>
      </w:tr>
    </w:tbl>
    <w:p w:rsidR="00FF006A" w:rsidRDefault="00FF006A" w:rsidP="00FF006A">
      <w:pPr>
        <w:pStyle w:val="Nadpis3"/>
        <w:rPr>
          <w:rFonts w:ascii="Times New Roman" w:hAnsi="Times New Roman" w:cs="Times New Roman"/>
        </w:rPr>
      </w:pPr>
    </w:p>
    <w:p w:rsidR="00FF006A" w:rsidRPr="00454A45" w:rsidRDefault="00FF006A" w:rsidP="00FF006A">
      <w:pPr>
        <w:pStyle w:val="Nadpis3"/>
        <w:rPr>
          <w:rFonts w:ascii="Times New Roman" w:hAnsi="Times New Roman" w:cs="Times New Roman"/>
        </w:rPr>
      </w:pPr>
      <w:r w:rsidRPr="00454A45">
        <w:rPr>
          <w:rFonts w:ascii="Times New Roman" w:hAnsi="Times New Roman" w:cs="Times New Roman"/>
        </w:rPr>
        <w:t>Časť C. Prahové hodnoty pre organické znečisťujúce látky v </w:t>
      </w:r>
      <w:r>
        <w:rPr>
          <w:rFonts w:ascii="Times New Roman" w:hAnsi="Times New Roman" w:cs="Times New Roman"/>
        </w:rPr>
        <w:t>µ</w:t>
      </w:r>
      <w:r w:rsidRPr="00454A45">
        <w:rPr>
          <w:rFonts w:ascii="Times New Roman" w:hAnsi="Times New Roman" w:cs="Times New Roman"/>
        </w:rPr>
        <w:t>g/l</w:t>
      </w:r>
    </w:p>
    <w:tbl>
      <w:tblPr>
        <w:tblStyle w:val="TableNormal"/>
        <w:tblW w:w="53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0"/>
        <w:gridCol w:w="1134"/>
      </w:tblGrid>
      <w:tr w:rsidR="00FF006A" w:rsidRPr="00454A45" w:rsidTr="003925CB">
        <w:trPr>
          <w:trHeight w:val="549"/>
        </w:trPr>
        <w:tc>
          <w:tcPr>
            <w:tcW w:w="4220" w:type="dxa"/>
            <w:vAlign w:val="center"/>
          </w:tcPr>
          <w:p w:rsidR="00FF006A" w:rsidRPr="00454A45" w:rsidRDefault="00FF006A" w:rsidP="003925CB">
            <w:pPr>
              <w:pStyle w:val="TableParagraph"/>
              <w:spacing w:before="81"/>
              <w:ind w:right="142"/>
              <w:jc w:val="center"/>
              <w:rPr>
                <w:rFonts w:ascii="Times New Roman" w:hAnsi="Times New Roman"/>
                <w:b/>
              </w:rPr>
            </w:pPr>
            <w:r w:rsidRPr="00454A45">
              <w:rPr>
                <w:rFonts w:ascii="Times New Roman" w:hAnsi="Times New Roman"/>
                <w:b/>
              </w:rPr>
              <w:t>Organická látka</w:t>
            </w:r>
          </w:p>
        </w:tc>
        <w:tc>
          <w:tcPr>
            <w:tcW w:w="1134" w:type="dxa"/>
            <w:vAlign w:val="center"/>
          </w:tcPr>
          <w:p w:rsidR="00FF006A" w:rsidRPr="00454A45" w:rsidRDefault="00FF006A" w:rsidP="003925CB">
            <w:pPr>
              <w:pStyle w:val="TableParagraph"/>
              <w:spacing w:before="0"/>
              <w:jc w:val="center"/>
              <w:rPr>
                <w:rFonts w:ascii="Times New Roman" w:hAnsi="Times New Roman"/>
                <w:b/>
              </w:rPr>
            </w:pPr>
            <w:r w:rsidRPr="00454A45">
              <w:rPr>
                <w:rFonts w:ascii="Times New Roman" w:hAnsi="Times New Roman"/>
                <w:b/>
              </w:rPr>
              <w:t>Prahová hodnota</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r w:rsidRPr="00454A45">
              <w:rPr>
                <w:rFonts w:ascii="Times New Roman" w:hAnsi="Times New Roman"/>
              </w:rPr>
              <w:t>Benzén</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0,8</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t>Benzo</w:t>
            </w:r>
            <w:proofErr w:type="spellEnd"/>
            <w:r w:rsidRPr="00454A45">
              <w:rPr>
                <w:rFonts w:ascii="Times New Roman" w:hAnsi="Times New Roman"/>
              </w:rPr>
              <w:t>(a)</w:t>
            </w:r>
            <w:proofErr w:type="spellStart"/>
            <w:r w:rsidRPr="00454A45">
              <w:rPr>
                <w:rFonts w:ascii="Times New Roman" w:hAnsi="Times New Roman"/>
              </w:rPr>
              <w:t>pyrén</w:t>
            </w:r>
            <w:proofErr w:type="spellEnd"/>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0,008</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r w:rsidRPr="00454A45">
              <w:rPr>
                <w:rFonts w:ascii="Times New Roman" w:hAnsi="Times New Roman"/>
              </w:rPr>
              <w:t>Celkový organický uhlík (TOC)</w:t>
            </w:r>
            <w:r w:rsidRPr="00454A45">
              <w:rPr>
                <w:rFonts w:ascii="Times New Roman" w:hAnsi="Times New Roman"/>
                <w:vertAlign w:val="superscript"/>
              </w:rPr>
              <w:t>a</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2250</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lastRenderedPageBreak/>
              <w:t>Dichlórbenzény</w:t>
            </w:r>
            <w:proofErr w:type="spellEnd"/>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0,23</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r w:rsidRPr="00454A45">
              <w:rPr>
                <w:rFonts w:ascii="Times New Roman" w:hAnsi="Times New Roman"/>
              </w:rPr>
              <w:t>1,2-dichlóretán</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2,3</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t>Monochlórbenzén</w:t>
            </w:r>
            <w:proofErr w:type="spellEnd"/>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7,5</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t>Polycyklické</w:t>
            </w:r>
            <w:proofErr w:type="spellEnd"/>
            <w:r w:rsidRPr="00454A45">
              <w:rPr>
                <w:rFonts w:ascii="Times New Roman" w:hAnsi="Times New Roman"/>
              </w:rPr>
              <w:t xml:space="preserve"> aromatické uhľovodíky (PAU)</w:t>
            </w:r>
            <w:r w:rsidRPr="00454A45">
              <w:rPr>
                <w:rFonts w:ascii="Times New Roman" w:hAnsi="Times New Roman"/>
                <w:vertAlign w:val="superscript"/>
              </w:rPr>
              <w:t>b</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0,08</w:t>
            </w:r>
          </w:p>
        </w:tc>
      </w:tr>
      <w:tr w:rsidR="00FF006A" w:rsidRPr="00454A45" w:rsidTr="003925CB">
        <w:trPr>
          <w:trHeight w:val="327"/>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t>Tetrachlóretén</w:t>
            </w:r>
            <w:proofErr w:type="spellEnd"/>
            <w:r w:rsidRPr="00454A45">
              <w:rPr>
                <w:rFonts w:ascii="Times New Roman" w:hAnsi="Times New Roman"/>
              </w:rPr>
              <w:t xml:space="preserve"> a </w:t>
            </w:r>
            <w:proofErr w:type="spellStart"/>
            <w:r w:rsidRPr="00454A45">
              <w:rPr>
                <w:rFonts w:ascii="Times New Roman" w:hAnsi="Times New Roman"/>
              </w:rPr>
              <w:t>trichlóretén</w:t>
            </w:r>
            <w:proofErr w:type="spellEnd"/>
            <w:r w:rsidRPr="00454A45">
              <w:rPr>
                <w:rFonts w:ascii="Times New Roman" w:hAnsi="Times New Roman"/>
              </w:rPr>
              <w:t xml:space="preserve"> (PCE + TCE)</w:t>
            </w:r>
            <w:r w:rsidRPr="00454A45">
              <w:rPr>
                <w:rFonts w:ascii="Times New Roman" w:hAnsi="Times New Roman"/>
                <w:vertAlign w:val="superscript"/>
              </w:rPr>
              <w:t>c</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7,5</w:t>
            </w:r>
          </w:p>
        </w:tc>
      </w:tr>
      <w:tr w:rsidR="00FF006A" w:rsidRPr="00454A45" w:rsidTr="003925CB">
        <w:trPr>
          <w:trHeight w:val="374"/>
        </w:trPr>
        <w:tc>
          <w:tcPr>
            <w:tcW w:w="4220" w:type="dxa"/>
            <w:vAlign w:val="center"/>
          </w:tcPr>
          <w:p w:rsidR="00FF006A" w:rsidRPr="00454A45" w:rsidRDefault="00FF006A" w:rsidP="003925CB">
            <w:pPr>
              <w:pStyle w:val="TableParagraph"/>
              <w:spacing w:before="0"/>
              <w:ind w:left="57" w:right="57"/>
              <w:jc w:val="left"/>
              <w:rPr>
                <w:rFonts w:ascii="Times New Roman" w:hAnsi="Times New Roman"/>
              </w:rPr>
            </w:pPr>
            <w:proofErr w:type="spellStart"/>
            <w:r w:rsidRPr="00454A45">
              <w:rPr>
                <w:rFonts w:ascii="Times New Roman" w:hAnsi="Times New Roman"/>
              </w:rPr>
              <w:t>Trihalometány</w:t>
            </w:r>
            <w:proofErr w:type="spellEnd"/>
            <w:r w:rsidRPr="00454A45">
              <w:rPr>
                <w:rFonts w:ascii="Times New Roman" w:hAnsi="Times New Roman"/>
              </w:rPr>
              <w:t xml:space="preserve"> spolu (</w:t>
            </w:r>
            <w:proofErr w:type="spellStart"/>
            <w:r w:rsidRPr="00454A45">
              <w:rPr>
                <w:rFonts w:ascii="Times New Roman" w:hAnsi="Times New Roman"/>
              </w:rPr>
              <w:t>THMs</w:t>
            </w:r>
            <w:proofErr w:type="spellEnd"/>
            <w:r w:rsidRPr="00454A45">
              <w:rPr>
                <w:rFonts w:ascii="Times New Roman" w:hAnsi="Times New Roman"/>
              </w:rPr>
              <w:t>)</w:t>
            </w:r>
            <w:r w:rsidRPr="00454A45">
              <w:rPr>
                <w:rFonts w:ascii="Times New Roman" w:hAnsi="Times New Roman"/>
                <w:vertAlign w:val="superscript"/>
              </w:rPr>
              <w:t>d</w:t>
            </w:r>
          </w:p>
        </w:tc>
        <w:tc>
          <w:tcPr>
            <w:tcW w:w="1134" w:type="dxa"/>
            <w:vAlign w:val="center"/>
          </w:tcPr>
          <w:p w:rsidR="00FF006A" w:rsidRPr="00454A45" w:rsidRDefault="00FF006A" w:rsidP="003925CB">
            <w:pPr>
              <w:pStyle w:val="TableParagraph"/>
              <w:spacing w:before="0"/>
              <w:ind w:right="57"/>
              <w:rPr>
                <w:rFonts w:ascii="Times New Roman" w:hAnsi="Times New Roman"/>
              </w:rPr>
            </w:pPr>
            <w:r w:rsidRPr="00454A45">
              <w:rPr>
                <w:rFonts w:ascii="Times New Roman" w:hAnsi="Times New Roman"/>
              </w:rPr>
              <w:t>75</w:t>
            </w:r>
          </w:p>
        </w:tc>
      </w:tr>
    </w:tbl>
    <w:p w:rsidR="00FF006A" w:rsidRPr="00454A45" w:rsidRDefault="00FF006A" w:rsidP="00FF006A">
      <w:pPr>
        <w:pStyle w:val="Zkladntext0"/>
        <w:spacing w:before="85" w:line="237" w:lineRule="auto"/>
        <w:ind w:left="426" w:right="38" w:hanging="426"/>
        <w:jc w:val="both"/>
        <w:rPr>
          <w:rFonts w:ascii="Times New Roman" w:hAnsi="Times New Roman"/>
          <w:color w:val="20231E"/>
          <w:sz w:val="22"/>
          <w:szCs w:val="22"/>
        </w:rPr>
      </w:pPr>
      <w:r w:rsidRPr="00454A45">
        <w:rPr>
          <w:rFonts w:ascii="Times New Roman" w:hAnsi="Times New Roman"/>
          <w:color w:val="20231E"/>
          <w:sz w:val="22"/>
          <w:szCs w:val="22"/>
          <w:vertAlign w:val="superscript"/>
        </w:rPr>
        <w:t>a</w:t>
      </w:r>
      <w:r w:rsidRPr="00454A45">
        <w:rPr>
          <w:rFonts w:ascii="Times New Roman" w:hAnsi="Times New Roman"/>
          <w:color w:val="20231E"/>
          <w:sz w:val="22"/>
          <w:szCs w:val="22"/>
        </w:rPr>
        <w:t xml:space="preserve"> - hodnotenie chemického stavu útvarov podzemných v</w:t>
      </w:r>
      <w:proofErr w:type="spellStart"/>
      <w:r w:rsidRPr="00454A45">
        <w:rPr>
          <w:rFonts w:ascii="Times New Roman" w:hAnsi="Times New Roman"/>
          <w:color w:val="20231E"/>
          <w:sz w:val="22"/>
          <w:szCs w:val="22"/>
          <w:lang w:val="sk-SK"/>
        </w:rPr>
        <w:t>ôd</w:t>
      </w:r>
      <w:proofErr w:type="spellEnd"/>
      <w:r w:rsidRPr="00454A45">
        <w:rPr>
          <w:rFonts w:ascii="Times New Roman" w:hAnsi="Times New Roman"/>
          <w:color w:val="20231E"/>
          <w:sz w:val="22"/>
          <w:szCs w:val="22"/>
          <w:lang w:val="sk-SK"/>
        </w:rPr>
        <w:t xml:space="preserve"> je potrebné realizovať</w:t>
      </w:r>
      <w:r w:rsidRPr="00454A45">
        <w:rPr>
          <w:rFonts w:ascii="Times New Roman" w:hAnsi="Times New Roman"/>
          <w:color w:val="20231E"/>
          <w:sz w:val="22"/>
          <w:szCs w:val="22"/>
        </w:rPr>
        <w:t xml:space="preserve"> v spojitosti s hodnotením ostatných špecifických organických látok</w:t>
      </w:r>
    </w:p>
    <w:p w:rsidR="00FF006A" w:rsidRPr="00454A45" w:rsidRDefault="00FF006A" w:rsidP="00FF006A">
      <w:pPr>
        <w:pStyle w:val="Textkomentra"/>
        <w:ind w:left="284" w:hanging="284"/>
        <w:rPr>
          <w:rFonts w:ascii="Times New Roman" w:hAnsi="Times New Roman"/>
          <w:color w:val="20231E"/>
          <w:sz w:val="22"/>
          <w:szCs w:val="22"/>
        </w:rPr>
      </w:pPr>
      <w:r w:rsidRPr="00454A45">
        <w:rPr>
          <w:rFonts w:ascii="Times New Roman" w:hAnsi="Times New Roman"/>
          <w:color w:val="20231E"/>
          <w:sz w:val="22"/>
          <w:szCs w:val="22"/>
          <w:vertAlign w:val="superscript"/>
        </w:rPr>
        <w:t>b</w:t>
      </w:r>
      <w:r w:rsidRPr="00454A45">
        <w:rPr>
          <w:rFonts w:ascii="Times New Roman" w:hAnsi="Times New Roman"/>
          <w:color w:val="20231E"/>
          <w:sz w:val="22"/>
          <w:szCs w:val="22"/>
        </w:rPr>
        <w:t xml:space="preserve"> - vzťahuje sa na sumu PAU: </w:t>
      </w:r>
      <w:proofErr w:type="spellStart"/>
      <w:r w:rsidRPr="00454A45">
        <w:rPr>
          <w:rFonts w:ascii="Times New Roman" w:hAnsi="Times New Roman"/>
          <w:color w:val="20231E"/>
          <w:sz w:val="22"/>
          <w:szCs w:val="22"/>
        </w:rPr>
        <w:t>benzo</w:t>
      </w:r>
      <w:proofErr w:type="spellEnd"/>
      <w:r w:rsidRPr="00454A45">
        <w:rPr>
          <w:rFonts w:ascii="Times New Roman" w:hAnsi="Times New Roman"/>
          <w:color w:val="20231E"/>
          <w:sz w:val="22"/>
          <w:szCs w:val="22"/>
        </w:rPr>
        <w:t>(b)</w:t>
      </w:r>
      <w:proofErr w:type="spellStart"/>
      <w:r w:rsidRPr="00454A45">
        <w:rPr>
          <w:rFonts w:ascii="Times New Roman" w:hAnsi="Times New Roman"/>
          <w:color w:val="20231E"/>
          <w:sz w:val="22"/>
          <w:szCs w:val="22"/>
        </w:rPr>
        <w:t>fluorantén</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benzo</w:t>
      </w:r>
      <w:proofErr w:type="spellEnd"/>
      <w:r w:rsidRPr="00454A45">
        <w:rPr>
          <w:rFonts w:ascii="Times New Roman" w:hAnsi="Times New Roman"/>
          <w:color w:val="20231E"/>
          <w:sz w:val="22"/>
          <w:szCs w:val="22"/>
        </w:rPr>
        <w:t>(k)</w:t>
      </w:r>
      <w:proofErr w:type="spellStart"/>
      <w:r w:rsidRPr="00454A45">
        <w:rPr>
          <w:rFonts w:ascii="Times New Roman" w:hAnsi="Times New Roman"/>
          <w:color w:val="20231E"/>
          <w:sz w:val="22"/>
          <w:szCs w:val="22"/>
        </w:rPr>
        <w:t>fluorantén</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benzo</w:t>
      </w:r>
      <w:proofErr w:type="spellEnd"/>
      <w:r w:rsidRPr="00454A45">
        <w:rPr>
          <w:rFonts w:ascii="Times New Roman" w:hAnsi="Times New Roman"/>
          <w:color w:val="20231E"/>
          <w:sz w:val="22"/>
          <w:szCs w:val="22"/>
        </w:rPr>
        <w:t>(</w:t>
      </w:r>
      <w:proofErr w:type="spellStart"/>
      <w:r w:rsidRPr="00454A45">
        <w:rPr>
          <w:rFonts w:ascii="Times New Roman" w:hAnsi="Times New Roman"/>
          <w:color w:val="20231E"/>
          <w:sz w:val="22"/>
          <w:szCs w:val="22"/>
        </w:rPr>
        <w:t>g,h,i</w:t>
      </w:r>
      <w:proofErr w:type="spellEnd"/>
      <w:r w:rsidRPr="00454A45">
        <w:rPr>
          <w:rFonts w:ascii="Times New Roman" w:hAnsi="Times New Roman"/>
          <w:color w:val="20231E"/>
          <w:sz w:val="22"/>
          <w:szCs w:val="22"/>
        </w:rPr>
        <w:t>)</w:t>
      </w:r>
      <w:proofErr w:type="spellStart"/>
      <w:r w:rsidRPr="00454A45">
        <w:rPr>
          <w:rFonts w:ascii="Times New Roman" w:hAnsi="Times New Roman"/>
          <w:color w:val="20231E"/>
          <w:sz w:val="22"/>
          <w:szCs w:val="22"/>
        </w:rPr>
        <w:t>perylén</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indeno</w:t>
      </w:r>
      <w:proofErr w:type="spellEnd"/>
      <w:r w:rsidRPr="00454A45">
        <w:rPr>
          <w:rFonts w:ascii="Times New Roman" w:hAnsi="Times New Roman"/>
          <w:color w:val="20231E"/>
          <w:sz w:val="22"/>
          <w:szCs w:val="22"/>
        </w:rPr>
        <w:t>(1,2,3-c,d)</w:t>
      </w:r>
      <w:proofErr w:type="spellStart"/>
      <w:r w:rsidRPr="00454A45">
        <w:rPr>
          <w:rFonts w:ascii="Times New Roman" w:hAnsi="Times New Roman"/>
          <w:color w:val="20231E"/>
          <w:sz w:val="22"/>
          <w:szCs w:val="22"/>
        </w:rPr>
        <w:t>pyrén</w:t>
      </w:r>
      <w:proofErr w:type="spellEnd"/>
    </w:p>
    <w:p w:rsidR="00FF006A" w:rsidRPr="00454A45" w:rsidRDefault="00FF006A" w:rsidP="00FF006A">
      <w:pPr>
        <w:pStyle w:val="Zkladntext0"/>
        <w:spacing w:before="85" w:line="237" w:lineRule="auto"/>
        <w:ind w:left="426" w:right="38" w:hanging="426"/>
        <w:jc w:val="both"/>
        <w:rPr>
          <w:rFonts w:ascii="Times New Roman" w:hAnsi="Times New Roman"/>
          <w:color w:val="20231E"/>
          <w:sz w:val="22"/>
          <w:szCs w:val="22"/>
        </w:rPr>
      </w:pPr>
      <w:r w:rsidRPr="00454A45">
        <w:rPr>
          <w:rFonts w:ascii="Times New Roman" w:hAnsi="Times New Roman"/>
          <w:color w:val="20231E"/>
          <w:sz w:val="22"/>
          <w:szCs w:val="22"/>
          <w:vertAlign w:val="superscript"/>
        </w:rPr>
        <w:t>c</w:t>
      </w:r>
      <w:r w:rsidRPr="00454A45">
        <w:rPr>
          <w:rFonts w:ascii="Times New Roman" w:hAnsi="Times New Roman"/>
          <w:color w:val="20231E"/>
          <w:sz w:val="22"/>
          <w:szCs w:val="22"/>
        </w:rPr>
        <w:t xml:space="preserve"> - vzťahuje sa na sumu reálne nameraných koncentrácií PCE a TCE</w:t>
      </w:r>
    </w:p>
    <w:p w:rsidR="00FF006A" w:rsidRPr="00454A45" w:rsidRDefault="00FF006A" w:rsidP="00FF006A">
      <w:pPr>
        <w:pStyle w:val="Zkladntext0"/>
        <w:spacing w:before="85" w:line="237" w:lineRule="auto"/>
        <w:ind w:left="426" w:right="38" w:hanging="426"/>
        <w:jc w:val="both"/>
        <w:rPr>
          <w:rFonts w:ascii="Times New Roman" w:hAnsi="Times New Roman"/>
          <w:color w:val="20231E"/>
          <w:sz w:val="22"/>
          <w:szCs w:val="22"/>
        </w:rPr>
      </w:pPr>
      <w:r w:rsidRPr="00454A45">
        <w:rPr>
          <w:rFonts w:ascii="Times New Roman" w:hAnsi="Times New Roman"/>
          <w:color w:val="20231E"/>
          <w:sz w:val="22"/>
          <w:szCs w:val="22"/>
          <w:vertAlign w:val="superscript"/>
        </w:rPr>
        <w:t>d</w:t>
      </w:r>
      <w:r w:rsidRPr="00454A45">
        <w:rPr>
          <w:rFonts w:ascii="Times New Roman" w:hAnsi="Times New Roman"/>
          <w:color w:val="20231E"/>
          <w:sz w:val="22"/>
          <w:szCs w:val="22"/>
        </w:rPr>
        <w:t xml:space="preserve"> - špecifikované zlúčeniny sú: </w:t>
      </w:r>
      <w:proofErr w:type="spellStart"/>
      <w:r w:rsidRPr="00454A45">
        <w:rPr>
          <w:rFonts w:ascii="Times New Roman" w:hAnsi="Times New Roman"/>
          <w:color w:val="20231E"/>
          <w:sz w:val="22"/>
          <w:szCs w:val="22"/>
        </w:rPr>
        <w:t>chlóroform</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brómoform</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dibrómchlórmetán</w:t>
      </w:r>
      <w:proofErr w:type="spellEnd"/>
      <w:r w:rsidRPr="00454A45">
        <w:rPr>
          <w:rFonts w:ascii="Times New Roman" w:hAnsi="Times New Roman"/>
          <w:color w:val="20231E"/>
          <w:sz w:val="22"/>
          <w:szCs w:val="22"/>
        </w:rPr>
        <w:t xml:space="preserve">, </w:t>
      </w:r>
      <w:proofErr w:type="spellStart"/>
      <w:r w:rsidRPr="00454A45">
        <w:rPr>
          <w:rFonts w:ascii="Times New Roman" w:hAnsi="Times New Roman"/>
          <w:color w:val="20231E"/>
          <w:sz w:val="22"/>
          <w:szCs w:val="22"/>
        </w:rPr>
        <w:t>brómdichlórmetán</w:t>
      </w:r>
      <w:proofErr w:type="spellEnd"/>
    </w:p>
    <w:p w:rsidR="00FF006A" w:rsidRPr="00FF006A" w:rsidRDefault="00FF006A" w:rsidP="00FF006A">
      <w:pPr>
        <w:spacing w:after="160" w:line="259" w:lineRule="auto"/>
        <w:rPr>
          <w:sz w:val="18"/>
          <w:szCs w:val="18"/>
        </w:rPr>
      </w:pPr>
    </w:p>
    <w:sectPr w:rsidR="00FF006A" w:rsidRPr="00FF006A" w:rsidSect="008E1C4E">
      <w:footerReference w:type="default" r:id="rId7"/>
      <w:pgSz w:w="16838" w:h="11906" w:orient="landscape"/>
      <w:pgMar w:top="1304" w:right="1021" w:bottom="124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C0" w:rsidRDefault="00E250C0" w:rsidP="002C76F3">
      <w:r>
        <w:separator/>
      </w:r>
    </w:p>
  </w:endnote>
  <w:endnote w:type="continuationSeparator" w:id="0">
    <w:p w:rsidR="00E250C0" w:rsidRDefault="00E250C0" w:rsidP="002C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11442"/>
      <w:docPartObj>
        <w:docPartGallery w:val="Page Numbers (Bottom of Page)"/>
        <w:docPartUnique/>
      </w:docPartObj>
    </w:sdtPr>
    <w:sdtEndPr>
      <w:rPr>
        <w:sz w:val="20"/>
        <w:szCs w:val="20"/>
      </w:rPr>
    </w:sdtEndPr>
    <w:sdtContent>
      <w:p w:rsidR="003925CB" w:rsidRPr="002A40DA" w:rsidRDefault="003925CB">
        <w:pPr>
          <w:pStyle w:val="Pta"/>
          <w:jc w:val="center"/>
          <w:rPr>
            <w:sz w:val="20"/>
            <w:szCs w:val="20"/>
          </w:rPr>
        </w:pPr>
        <w:r w:rsidRPr="002A40DA">
          <w:rPr>
            <w:sz w:val="20"/>
            <w:szCs w:val="20"/>
          </w:rPr>
          <w:fldChar w:fldCharType="begin"/>
        </w:r>
        <w:r w:rsidRPr="002A40DA">
          <w:rPr>
            <w:sz w:val="20"/>
            <w:szCs w:val="20"/>
          </w:rPr>
          <w:instrText>PAGE   \* MERGEFORMAT</w:instrText>
        </w:r>
        <w:r w:rsidRPr="002A40DA">
          <w:rPr>
            <w:sz w:val="20"/>
            <w:szCs w:val="20"/>
          </w:rPr>
          <w:fldChar w:fldCharType="separate"/>
        </w:r>
        <w:r w:rsidR="00BB6A5E">
          <w:rPr>
            <w:noProof/>
            <w:sz w:val="20"/>
            <w:szCs w:val="20"/>
          </w:rPr>
          <w:t>10</w:t>
        </w:r>
        <w:r w:rsidRPr="002A40DA">
          <w:rPr>
            <w:sz w:val="20"/>
            <w:szCs w:val="20"/>
          </w:rPr>
          <w:fldChar w:fldCharType="end"/>
        </w:r>
      </w:p>
    </w:sdtContent>
  </w:sdt>
  <w:p w:rsidR="003925CB" w:rsidRDefault="003925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C0" w:rsidRDefault="00E250C0" w:rsidP="002C76F3">
      <w:r>
        <w:separator/>
      </w:r>
    </w:p>
  </w:footnote>
  <w:footnote w:type="continuationSeparator" w:id="0">
    <w:p w:rsidR="00E250C0" w:rsidRDefault="00E250C0" w:rsidP="002C76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A63"/>
    <w:multiLevelType w:val="hybridMultilevel"/>
    <w:tmpl w:val="13FCEA08"/>
    <w:lvl w:ilvl="0" w:tplc="041B000F">
      <w:start w:val="1"/>
      <w:numFmt w:val="decimal"/>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 w15:restartNumberingAfterBreak="0">
    <w:nsid w:val="102F7FE3"/>
    <w:multiLevelType w:val="hybridMultilevel"/>
    <w:tmpl w:val="FBD4847E"/>
    <w:lvl w:ilvl="0" w:tplc="54362BA2">
      <w:start w:val="1"/>
      <w:numFmt w:val="upperLetter"/>
      <w:lvlText w:val="%1."/>
      <w:lvlJc w:val="left"/>
      <w:pPr>
        <w:ind w:left="1036" w:hanging="272"/>
        <w:jc w:val="right"/>
      </w:pPr>
      <w:rPr>
        <w:rFonts w:ascii="Book Antiqua" w:eastAsia="Book Antiqua" w:hAnsi="Book Antiqua" w:cs="Book Antiqua" w:hint="default"/>
        <w:b/>
        <w:bCs/>
        <w:color w:val="20231E"/>
        <w:spacing w:val="0"/>
        <w:w w:val="103"/>
        <w:sz w:val="19"/>
        <w:szCs w:val="19"/>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AF099B"/>
    <w:multiLevelType w:val="hybridMultilevel"/>
    <w:tmpl w:val="6812E7E8"/>
    <w:lvl w:ilvl="0" w:tplc="E474F6D2">
      <w:start w:val="1"/>
      <w:numFmt w:val="decimal"/>
      <w:lvlText w:val="%1)"/>
      <w:lvlJc w:val="left"/>
      <w:pPr>
        <w:ind w:left="720" w:hanging="360"/>
      </w:pPr>
      <w:rPr>
        <w:rFonts w:hint="default"/>
        <w:color w:val="20231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824BB5"/>
    <w:multiLevelType w:val="hybridMultilevel"/>
    <w:tmpl w:val="6BBECA20"/>
    <w:lvl w:ilvl="0" w:tplc="4A6A37F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E63E3F"/>
    <w:multiLevelType w:val="hybridMultilevel"/>
    <w:tmpl w:val="D9B22FD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225A6E"/>
    <w:multiLevelType w:val="hybridMultilevel"/>
    <w:tmpl w:val="E570BC5A"/>
    <w:lvl w:ilvl="0" w:tplc="7FD0C980">
      <w:numFmt w:val="bullet"/>
      <w:lvlText w:val="-"/>
      <w:lvlJc w:val="left"/>
      <w:pPr>
        <w:ind w:left="720" w:hanging="360"/>
      </w:pPr>
      <w:rPr>
        <w:rFonts w:ascii="Bookman Old Style" w:eastAsia="Bookman Old Style"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F492000"/>
    <w:multiLevelType w:val="hybridMultilevel"/>
    <w:tmpl w:val="B74C67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7D3D16"/>
    <w:multiLevelType w:val="hybridMultilevel"/>
    <w:tmpl w:val="3EFEF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990284"/>
    <w:multiLevelType w:val="hybridMultilevel"/>
    <w:tmpl w:val="7EB45968"/>
    <w:lvl w:ilvl="0" w:tplc="48DA204A">
      <w:start w:val="1"/>
      <w:numFmt w:val="decimal"/>
      <w:lvlText w:val="%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5664CF"/>
    <w:multiLevelType w:val="hybridMultilevel"/>
    <w:tmpl w:val="AB1CC794"/>
    <w:lvl w:ilvl="0" w:tplc="93E8BA9C">
      <w:start w:val="1"/>
      <w:numFmt w:val="decimal"/>
      <w:lvlText w:val="(%1)"/>
      <w:lvlJc w:val="left"/>
      <w:pPr>
        <w:ind w:left="720" w:hanging="360"/>
      </w:pPr>
      <w:rPr>
        <w:rFonts w:hint="default"/>
        <w:color w:val="auto"/>
        <w:w w:val="1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724CA4"/>
    <w:multiLevelType w:val="hybridMultilevel"/>
    <w:tmpl w:val="B4745F26"/>
    <w:lvl w:ilvl="0" w:tplc="28CEDD9E">
      <w:start w:val="1"/>
      <w:numFmt w:val="decimal"/>
      <w:lvlText w:val="%1."/>
      <w:lvlJc w:val="left"/>
      <w:pPr>
        <w:ind w:left="491" w:hanging="360"/>
      </w:pPr>
      <w:rPr>
        <w:rFonts w:hint="default"/>
      </w:rPr>
    </w:lvl>
    <w:lvl w:ilvl="1" w:tplc="041B0019" w:tentative="1">
      <w:start w:val="1"/>
      <w:numFmt w:val="lowerLetter"/>
      <w:lvlText w:val="%2."/>
      <w:lvlJc w:val="left"/>
      <w:pPr>
        <w:ind w:left="1211" w:hanging="360"/>
      </w:pPr>
    </w:lvl>
    <w:lvl w:ilvl="2" w:tplc="041B001B" w:tentative="1">
      <w:start w:val="1"/>
      <w:numFmt w:val="lowerRoman"/>
      <w:lvlText w:val="%3."/>
      <w:lvlJc w:val="right"/>
      <w:pPr>
        <w:ind w:left="1931" w:hanging="180"/>
      </w:pPr>
    </w:lvl>
    <w:lvl w:ilvl="3" w:tplc="041B000F" w:tentative="1">
      <w:start w:val="1"/>
      <w:numFmt w:val="decimal"/>
      <w:lvlText w:val="%4."/>
      <w:lvlJc w:val="left"/>
      <w:pPr>
        <w:ind w:left="2651" w:hanging="360"/>
      </w:pPr>
    </w:lvl>
    <w:lvl w:ilvl="4" w:tplc="041B0019" w:tentative="1">
      <w:start w:val="1"/>
      <w:numFmt w:val="lowerLetter"/>
      <w:lvlText w:val="%5."/>
      <w:lvlJc w:val="left"/>
      <w:pPr>
        <w:ind w:left="3371" w:hanging="360"/>
      </w:pPr>
    </w:lvl>
    <w:lvl w:ilvl="5" w:tplc="041B001B" w:tentative="1">
      <w:start w:val="1"/>
      <w:numFmt w:val="lowerRoman"/>
      <w:lvlText w:val="%6."/>
      <w:lvlJc w:val="right"/>
      <w:pPr>
        <w:ind w:left="4091" w:hanging="180"/>
      </w:pPr>
    </w:lvl>
    <w:lvl w:ilvl="6" w:tplc="041B000F" w:tentative="1">
      <w:start w:val="1"/>
      <w:numFmt w:val="decimal"/>
      <w:lvlText w:val="%7."/>
      <w:lvlJc w:val="left"/>
      <w:pPr>
        <w:ind w:left="4811" w:hanging="360"/>
      </w:pPr>
    </w:lvl>
    <w:lvl w:ilvl="7" w:tplc="041B0019" w:tentative="1">
      <w:start w:val="1"/>
      <w:numFmt w:val="lowerLetter"/>
      <w:lvlText w:val="%8."/>
      <w:lvlJc w:val="left"/>
      <w:pPr>
        <w:ind w:left="5531" w:hanging="360"/>
      </w:pPr>
    </w:lvl>
    <w:lvl w:ilvl="8" w:tplc="041B001B" w:tentative="1">
      <w:start w:val="1"/>
      <w:numFmt w:val="lowerRoman"/>
      <w:lvlText w:val="%9."/>
      <w:lvlJc w:val="right"/>
      <w:pPr>
        <w:ind w:left="6251" w:hanging="180"/>
      </w:pPr>
    </w:lvl>
  </w:abstractNum>
  <w:abstractNum w:abstractNumId="11" w15:restartNumberingAfterBreak="0">
    <w:nsid w:val="58A73D16"/>
    <w:multiLevelType w:val="hybridMultilevel"/>
    <w:tmpl w:val="8D66210A"/>
    <w:lvl w:ilvl="0" w:tplc="E2D46EC8">
      <w:start w:val="1"/>
      <w:numFmt w:val="decimal"/>
      <w:lvlText w:val="(%1)"/>
      <w:lvlJc w:val="left"/>
      <w:pPr>
        <w:ind w:left="114" w:hanging="279"/>
      </w:pPr>
      <w:rPr>
        <w:rFonts w:ascii="Bookman Old Style" w:eastAsia="Bookman Old Style" w:hAnsi="Bookman Old Style" w:cs="Bookman Old Style" w:hint="default"/>
        <w:color w:val="20231E"/>
        <w:spacing w:val="0"/>
        <w:w w:val="100"/>
        <w:sz w:val="19"/>
        <w:szCs w:val="19"/>
        <w:lang w:val="sk" w:eastAsia="sk" w:bidi="sk"/>
      </w:rPr>
    </w:lvl>
    <w:lvl w:ilvl="1" w:tplc="54362BA2">
      <w:start w:val="1"/>
      <w:numFmt w:val="upperLetter"/>
      <w:lvlText w:val="%2."/>
      <w:lvlJc w:val="left"/>
      <w:pPr>
        <w:ind w:left="1036" w:hanging="272"/>
        <w:jc w:val="right"/>
      </w:pPr>
      <w:rPr>
        <w:rFonts w:ascii="Book Antiqua" w:eastAsia="Book Antiqua" w:hAnsi="Book Antiqua" w:cs="Book Antiqua" w:hint="default"/>
        <w:b/>
        <w:bCs/>
        <w:color w:val="20231E"/>
        <w:spacing w:val="0"/>
        <w:w w:val="103"/>
        <w:sz w:val="19"/>
        <w:szCs w:val="19"/>
        <w:lang w:val="sk" w:eastAsia="sk" w:bidi="sk"/>
      </w:rPr>
    </w:lvl>
    <w:lvl w:ilvl="2" w:tplc="6094A0FE">
      <w:numFmt w:val="bullet"/>
      <w:lvlText w:val="•"/>
      <w:lvlJc w:val="left"/>
      <w:pPr>
        <w:ind w:left="1511" w:hanging="272"/>
      </w:pPr>
      <w:rPr>
        <w:rFonts w:hint="default"/>
        <w:lang w:val="sk" w:eastAsia="sk" w:bidi="sk"/>
      </w:rPr>
    </w:lvl>
    <w:lvl w:ilvl="3" w:tplc="BCAEF000">
      <w:numFmt w:val="bullet"/>
      <w:lvlText w:val="•"/>
      <w:lvlJc w:val="left"/>
      <w:pPr>
        <w:ind w:left="1983" w:hanging="272"/>
      </w:pPr>
      <w:rPr>
        <w:rFonts w:hint="default"/>
        <w:lang w:val="sk" w:eastAsia="sk" w:bidi="sk"/>
      </w:rPr>
    </w:lvl>
    <w:lvl w:ilvl="4" w:tplc="B300BC02">
      <w:numFmt w:val="bullet"/>
      <w:lvlText w:val="•"/>
      <w:lvlJc w:val="left"/>
      <w:pPr>
        <w:ind w:left="2455" w:hanging="272"/>
      </w:pPr>
      <w:rPr>
        <w:rFonts w:hint="default"/>
        <w:lang w:val="sk" w:eastAsia="sk" w:bidi="sk"/>
      </w:rPr>
    </w:lvl>
    <w:lvl w:ilvl="5" w:tplc="1E562630">
      <w:numFmt w:val="bullet"/>
      <w:lvlText w:val="•"/>
      <w:lvlJc w:val="left"/>
      <w:pPr>
        <w:ind w:left="2927" w:hanging="272"/>
      </w:pPr>
      <w:rPr>
        <w:rFonts w:hint="default"/>
        <w:lang w:val="sk" w:eastAsia="sk" w:bidi="sk"/>
      </w:rPr>
    </w:lvl>
    <w:lvl w:ilvl="6" w:tplc="6824C8E2">
      <w:numFmt w:val="bullet"/>
      <w:lvlText w:val="•"/>
      <w:lvlJc w:val="left"/>
      <w:pPr>
        <w:ind w:left="3399" w:hanging="272"/>
      </w:pPr>
      <w:rPr>
        <w:rFonts w:hint="default"/>
        <w:lang w:val="sk" w:eastAsia="sk" w:bidi="sk"/>
      </w:rPr>
    </w:lvl>
    <w:lvl w:ilvl="7" w:tplc="16983A6A">
      <w:numFmt w:val="bullet"/>
      <w:lvlText w:val="•"/>
      <w:lvlJc w:val="left"/>
      <w:pPr>
        <w:ind w:left="3871" w:hanging="272"/>
      </w:pPr>
      <w:rPr>
        <w:rFonts w:hint="default"/>
        <w:lang w:val="sk" w:eastAsia="sk" w:bidi="sk"/>
      </w:rPr>
    </w:lvl>
    <w:lvl w:ilvl="8" w:tplc="41D4E12C">
      <w:numFmt w:val="bullet"/>
      <w:lvlText w:val="•"/>
      <w:lvlJc w:val="left"/>
      <w:pPr>
        <w:ind w:left="4343" w:hanging="272"/>
      </w:pPr>
      <w:rPr>
        <w:rFonts w:hint="default"/>
        <w:lang w:val="sk" w:eastAsia="sk" w:bidi="sk"/>
      </w:rPr>
    </w:lvl>
  </w:abstractNum>
  <w:abstractNum w:abstractNumId="12" w15:restartNumberingAfterBreak="0">
    <w:nsid w:val="63FC0C63"/>
    <w:multiLevelType w:val="hybridMultilevel"/>
    <w:tmpl w:val="B1302614"/>
    <w:lvl w:ilvl="0" w:tplc="AA224ED4">
      <w:start w:val="1"/>
      <w:numFmt w:val="decimal"/>
      <w:lvlText w:val="(%1)"/>
      <w:lvlJc w:val="left"/>
      <w:pPr>
        <w:tabs>
          <w:tab w:val="num" w:pos="870"/>
        </w:tabs>
        <w:ind w:left="870" w:hanging="87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7F676C62"/>
    <w:multiLevelType w:val="hybridMultilevel"/>
    <w:tmpl w:val="7C16ED40"/>
    <w:lvl w:ilvl="0" w:tplc="54362BA2">
      <w:start w:val="1"/>
      <w:numFmt w:val="upperLetter"/>
      <w:lvlText w:val="%1."/>
      <w:lvlJc w:val="left"/>
      <w:pPr>
        <w:ind w:left="1036" w:hanging="272"/>
        <w:jc w:val="right"/>
      </w:pPr>
      <w:rPr>
        <w:rFonts w:ascii="Book Antiqua" w:eastAsia="Book Antiqua" w:hAnsi="Book Antiqua" w:cs="Book Antiqua" w:hint="default"/>
        <w:b/>
        <w:bCs/>
        <w:color w:val="20231E"/>
        <w:spacing w:val="0"/>
        <w:w w:val="103"/>
        <w:sz w:val="19"/>
        <w:szCs w:val="19"/>
        <w:lang w:val="sk" w:eastAsia="sk" w:bidi="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0"/>
  </w:num>
  <w:num w:numId="5">
    <w:abstractNumId w:val="11"/>
  </w:num>
  <w:num w:numId="6">
    <w:abstractNumId w:val="13"/>
  </w:num>
  <w:num w:numId="7">
    <w:abstractNumId w:val="1"/>
  </w:num>
  <w:num w:numId="8">
    <w:abstractNumId w:val="4"/>
  </w:num>
  <w:num w:numId="9">
    <w:abstractNumId w:val="3"/>
  </w:num>
  <w:num w:numId="10">
    <w:abstractNumId w:val="5"/>
  </w:num>
  <w:num w:numId="11">
    <w:abstractNumId w:val="2"/>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4E"/>
    <w:rsid w:val="00000B84"/>
    <w:rsid w:val="000A3A93"/>
    <w:rsid w:val="001C0ACD"/>
    <w:rsid w:val="002A40DA"/>
    <w:rsid w:val="002C5F03"/>
    <w:rsid w:val="002C76F3"/>
    <w:rsid w:val="003925CB"/>
    <w:rsid w:val="00580DB8"/>
    <w:rsid w:val="00591A8C"/>
    <w:rsid w:val="005A1142"/>
    <w:rsid w:val="00610DF2"/>
    <w:rsid w:val="008C2121"/>
    <w:rsid w:val="008E1C4E"/>
    <w:rsid w:val="00996EBA"/>
    <w:rsid w:val="00B218B3"/>
    <w:rsid w:val="00BB6A5E"/>
    <w:rsid w:val="00C451D3"/>
    <w:rsid w:val="00E250C0"/>
    <w:rsid w:val="00E65E85"/>
    <w:rsid w:val="00FF0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89E"/>
  <w15:chartTrackingRefBased/>
  <w15:docId w15:val="{CA3A0200-3782-45A5-A889-6D0B6124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1C4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1"/>
    <w:qFormat/>
    <w:rsid w:val="00FF006A"/>
    <w:pPr>
      <w:keepNext/>
      <w:jc w:val="center"/>
      <w:outlineLvl w:val="0"/>
    </w:pPr>
    <w:rPr>
      <w:b/>
      <w:bCs/>
    </w:rPr>
  </w:style>
  <w:style w:type="paragraph" w:styleId="Nadpis2">
    <w:name w:val="heading 2"/>
    <w:aliases w:val="Char Char,Char Char Char Char"/>
    <w:basedOn w:val="Normlny"/>
    <w:next w:val="Normlny"/>
    <w:link w:val="Nadpis2Char"/>
    <w:uiPriority w:val="1"/>
    <w:qFormat/>
    <w:rsid w:val="008E1C4E"/>
    <w:pPr>
      <w:keepNext/>
      <w:widowControl w:val="0"/>
      <w:jc w:val="center"/>
      <w:outlineLvl w:val="1"/>
    </w:pPr>
    <w:rPr>
      <w:b/>
      <w:bCs/>
      <w:sz w:val="20"/>
      <w:szCs w:val="20"/>
      <w:lang w:val="cs-CZ"/>
    </w:rPr>
  </w:style>
  <w:style w:type="paragraph" w:styleId="Nadpis3">
    <w:name w:val="heading 3"/>
    <w:basedOn w:val="Normlny"/>
    <w:next w:val="Normlny"/>
    <w:link w:val="Nadpis3Char"/>
    <w:uiPriority w:val="9"/>
    <w:unhideWhenUsed/>
    <w:qFormat/>
    <w:rsid w:val="000A3A9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FF006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Char Char Char,Char Char Char Char Char"/>
    <w:basedOn w:val="Predvolenpsmoodseku"/>
    <w:link w:val="Nadpis2"/>
    <w:uiPriority w:val="1"/>
    <w:rsid w:val="008E1C4E"/>
    <w:rPr>
      <w:rFonts w:ascii="Times New Roman" w:eastAsia="Times New Roman" w:hAnsi="Times New Roman" w:cs="Times New Roman"/>
      <w:b/>
      <w:bCs/>
      <w:sz w:val="20"/>
      <w:szCs w:val="20"/>
      <w:lang w:val="cs-CZ" w:eastAsia="sk-SK"/>
    </w:rPr>
  </w:style>
  <w:style w:type="paragraph" w:styleId="Obyajntext">
    <w:name w:val="Plain Text"/>
    <w:basedOn w:val="Normlny"/>
    <w:link w:val="ObyajntextChar"/>
    <w:rsid w:val="008E1C4E"/>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rsid w:val="008E1C4E"/>
    <w:rPr>
      <w:rFonts w:ascii="Courier New" w:eastAsia="Times New Roman" w:hAnsi="Courier New" w:cs="Courier New"/>
      <w:sz w:val="20"/>
      <w:szCs w:val="20"/>
      <w:lang w:eastAsia="cs-CZ"/>
    </w:rPr>
  </w:style>
  <w:style w:type="paragraph" w:customStyle="1" w:styleId="Default">
    <w:name w:val="Default"/>
    <w:rsid w:val="008E1C4E"/>
    <w:pPr>
      <w:widowControl w:val="0"/>
      <w:autoSpaceDE w:val="0"/>
      <w:autoSpaceDN w:val="0"/>
      <w:adjustRightInd w:val="0"/>
      <w:spacing w:after="0" w:line="240" w:lineRule="auto"/>
    </w:pPr>
    <w:rPr>
      <w:rFonts w:ascii="EU Albertina" w:eastAsia="Times New Roman" w:hAnsi="EU Albertina" w:cs="EU Albertina"/>
      <w:color w:val="000000"/>
      <w:sz w:val="24"/>
      <w:szCs w:val="24"/>
      <w:lang w:eastAsia="sk-SK"/>
    </w:rPr>
  </w:style>
  <w:style w:type="paragraph" w:styleId="Textpoznmkypodiarou">
    <w:name w:val="footnote text"/>
    <w:basedOn w:val="Normlny"/>
    <w:link w:val="TextpoznmkypodiarouChar"/>
    <w:semiHidden/>
    <w:rsid w:val="002C76F3"/>
    <w:rPr>
      <w:sz w:val="20"/>
      <w:szCs w:val="20"/>
    </w:rPr>
  </w:style>
  <w:style w:type="character" w:customStyle="1" w:styleId="TextpoznmkypodiarouChar">
    <w:name w:val="Text poznámky pod čiarou Char"/>
    <w:basedOn w:val="Predvolenpsmoodseku"/>
    <w:link w:val="Textpoznmkypodiarou"/>
    <w:semiHidden/>
    <w:rsid w:val="002C76F3"/>
    <w:rPr>
      <w:rFonts w:ascii="Times New Roman" w:eastAsia="Times New Roman" w:hAnsi="Times New Roman" w:cs="Times New Roman"/>
      <w:sz w:val="20"/>
      <w:szCs w:val="20"/>
      <w:lang w:eastAsia="sk-SK"/>
    </w:rPr>
  </w:style>
  <w:style w:type="character" w:styleId="Odkaznapoznmkupodiarou">
    <w:name w:val="footnote reference"/>
    <w:semiHidden/>
    <w:rsid w:val="002C76F3"/>
    <w:rPr>
      <w:rFonts w:cs="Times New Roman"/>
      <w:vertAlign w:val="superscript"/>
    </w:rPr>
  </w:style>
  <w:style w:type="paragraph" w:styleId="Odsekzoznamu">
    <w:name w:val="List Paragraph"/>
    <w:basedOn w:val="Normlny"/>
    <w:uiPriority w:val="1"/>
    <w:qFormat/>
    <w:rsid w:val="002C76F3"/>
    <w:pPr>
      <w:ind w:left="708"/>
    </w:pPr>
  </w:style>
  <w:style w:type="paragraph" w:customStyle="1" w:styleId="Normlny0">
    <w:name w:val="_Normálny"/>
    <w:basedOn w:val="Normlny"/>
    <w:uiPriority w:val="99"/>
    <w:rsid w:val="002C76F3"/>
    <w:pPr>
      <w:autoSpaceDE w:val="0"/>
      <w:autoSpaceDN w:val="0"/>
    </w:pPr>
    <w:rPr>
      <w:sz w:val="20"/>
      <w:szCs w:val="20"/>
      <w:lang w:eastAsia="en-US"/>
    </w:rPr>
  </w:style>
  <w:style w:type="paragraph" w:customStyle="1" w:styleId="Normlny1">
    <w:name w:val="Normálny1"/>
    <w:basedOn w:val="Normlny"/>
    <w:rsid w:val="002C76F3"/>
    <w:pPr>
      <w:spacing w:before="120"/>
      <w:jc w:val="both"/>
    </w:pPr>
  </w:style>
  <w:style w:type="character" w:customStyle="1" w:styleId="super">
    <w:name w:val="super"/>
    <w:rsid w:val="002C76F3"/>
    <w:rPr>
      <w:sz w:val="17"/>
      <w:szCs w:val="17"/>
      <w:vertAlign w:val="superscript"/>
    </w:rPr>
  </w:style>
  <w:style w:type="character" w:styleId="Hypertextovprepojenie">
    <w:name w:val="Hyperlink"/>
    <w:uiPriority w:val="99"/>
    <w:unhideWhenUsed/>
    <w:rsid w:val="002C76F3"/>
    <w:rPr>
      <w:color w:val="0000FF"/>
      <w:u w:val="single"/>
    </w:rPr>
  </w:style>
  <w:style w:type="paragraph" w:styleId="Hlavika">
    <w:name w:val="header"/>
    <w:basedOn w:val="Normlny"/>
    <w:link w:val="HlavikaChar"/>
    <w:uiPriority w:val="99"/>
    <w:unhideWhenUsed/>
    <w:rsid w:val="002A40DA"/>
    <w:pPr>
      <w:tabs>
        <w:tab w:val="center" w:pos="4536"/>
        <w:tab w:val="right" w:pos="9072"/>
      </w:tabs>
    </w:pPr>
  </w:style>
  <w:style w:type="character" w:customStyle="1" w:styleId="HlavikaChar">
    <w:name w:val="Hlavička Char"/>
    <w:basedOn w:val="Predvolenpsmoodseku"/>
    <w:link w:val="Hlavika"/>
    <w:uiPriority w:val="99"/>
    <w:rsid w:val="002A40D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40DA"/>
    <w:pPr>
      <w:tabs>
        <w:tab w:val="center" w:pos="4536"/>
        <w:tab w:val="right" w:pos="9072"/>
      </w:tabs>
    </w:pPr>
  </w:style>
  <w:style w:type="character" w:customStyle="1" w:styleId="PtaChar">
    <w:name w:val="Päta Char"/>
    <w:basedOn w:val="Predvolenpsmoodseku"/>
    <w:link w:val="Pta"/>
    <w:uiPriority w:val="99"/>
    <w:rsid w:val="002A40DA"/>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0A3A93"/>
    <w:rPr>
      <w:rFonts w:asciiTheme="majorHAnsi" w:eastAsiaTheme="majorEastAsia" w:hAnsiTheme="majorHAnsi" w:cstheme="majorBidi"/>
      <w:color w:val="1F4D78" w:themeColor="accent1" w:themeShade="7F"/>
      <w:sz w:val="24"/>
      <w:szCs w:val="24"/>
      <w:lang w:eastAsia="sk-SK"/>
    </w:rPr>
  </w:style>
  <w:style w:type="character" w:customStyle="1" w:styleId="Nadpis1Char">
    <w:name w:val="Nadpis 1 Char"/>
    <w:basedOn w:val="Predvolenpsmoodseku"/>
    <w:link w:val="Nadpis1"/>
    <w:uiPriority w:val="1"/>
    <w:rsid w:val="00FF006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FF006A"/>
    <w:rPr>
      <w:rFonts w:ascii="Times New Roman" w:eastAsia="Times New Roman" w:hAnsi="Times New Roman" w:cs="Times New Roman"/>
      <w:b/>
      <w:bCs/>
      <w:lang w:eastAsia="sk-SK"/>
    </w:rPr>
  </w:style>
  <w:style w:type="paragraph" w:styleId="Zkladntext2">
    <w:name w:val="Body Text 2"/>
    <w:basedOn w:val="Normlny"/>
    <w:link w:val="Zkladntext2Char"/>
    <w:uiPriority w:val="99"/>
    <w:rsid w:val="00FF006A"/>
    <w:pPr>
      <w:jc w:val="center"/>
    </w:pPr>
    <w:rPr>
      <w:sz w:val="20"/>
      <w:szCs w:val="20"/>
    </w:rPr>
  </w:style>
  <w:style w:type="character" w:customStyle="1" w:styleId="Zkladntext2Char">
    <w:name w:val="Základný text 2 Char"/>
    <w:basedOn w:val="Predvolenpsmoodseku"/>
    <w:link w:val="Zkladntext2"/>
    <w:uiPriority w:val="99"/>
    <w:rsid w:val="00FF006A"/>
    <w:rPr>
      <w:rFonts w:ascii="Times New Roman" w:eastAsia="Times New Roman" w:hAnsi="Times New Roman" w:cs="Times New Roman"/>
      <w:sz w:val="20"/>
      <w:szCs w:val="20"/>
      <w:lang w:eastAsia="sk-SK"/>
    </w:rPr>
  </w:style>
  <w:style w:type="paragraph" w:customStyle="1" w:styleId="CM4">
    <w:name w:val="CM4"/>
    <w:basedOn w:val="Default"/>
    <w:next w:val="Default"/>
    <w:uiPriority w:val="99"/>
    <w:rsid w:val="00FF006A"/>
    <w:pPr>
      <w:widowControl/>
    </w:pPr>
    <w:rPr>
      <w:rFonts w:ascii="EUAlbertina" w:hAnsi="EUAlbertina" w:cs="Times New Roman"/>
      <w:color w:val="auto"/>
    </w:rPr>
  </w:style>
  <w:style w:type="paragraph" w:customStyle="1" w:styleId="Zkladntext">
    <w:name w:val="Základní text"/>
    <w:aliases w:val="Základný text Char Char"/>
    <w:rsid w:val="00FF006A"/>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customStyle="1" w:styleId="CM1">
    <w:name w:val="CM1"/>
    <w:basedOn w:val="Default"/>
    <w:next w:val="Default"/>
    <w:uiPriority w:val="99"/>
    <w:rsid w:val="00FF006A"/>
    <w:pPr>
      <w:widowControl/>
    </w:pPr>
    <w:rPr>
      <w:rFonts w:ascii="EUAlbertina" w:hAnsi="EUAlbertina" w:cs="Times New Roman"/>
      <w:color w:val="auto"/>
    </w:rPr>
  </w:style>
  <w:style w:type="paragraph" w:customStyle="1" w:styleId="doc-ti">
    <w:name w:val="doc-ti"/>
    <w:basedOn w:val="Normlny"/>
    <w:rsid w:val="00FF006A"/>
    <w:pPr>
      <w:spacing w:before="240" w:after="120"/>
      <w:jc w:val="center"/>
    </w:pPr>
    <w:rPr>
      <w:b/>
      <w:bCs/>
    </w:rPr>
  </w:style>
  <w:style w:type="paragraph" w:styleId="Zarkazkladnhotextu2">
    <w:name w:val="Body Text Indent 2"/>
    <w:basedOn w:val="Normlny"/>
    <w:link w:val="Zarkazkladnhotextu2Char"/>
    <w:uiPriority w:val="99"/>
    <w:semiHidden/>
    <w:unhideWhenUsed/>
    <w:rsid w:val="00FF006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F006A"/>
    <w:rPr>
      <w:rFonts w:ascii="Times New Roman" w:eastAsia="Times New Roman" w:hAnsi="Times New Roman" w:cs="Times New Roman"/>
      <w:sz w:val="24"/>
      <w:szCs w:val="24"/>
      <w:lang w:eastAsia="sk-SK"/>
    </w:rPr>
  </w:style>
  <w:style w:type="character" w:customStyle="1" w:styleId="italic">
    <w:name w:val="italic"/>
    <w:basedOn w:val="Predvolenpsmoodseku"/>
    <w:rsid w:val="00FF006A"/>
    <w:rPr>
      <w:i/>
      <w:iCs/>
    </w:rPr>
  </w:style>
  <w:style w:type="character" w:styleId="PouitHypertextovPrepojenie">
    <w:name w:val="FollowedHyperlink"/>
    <w:basedOn w:val="Predvolenpsmoodseku"/>
    <w:uiPriority w:val="99"/>
    <w:semiHidden/>
    <w:unhideWhenUsed/>
    <w:rsid w:val="00FF006A"/>
    <w:rPr>
      <w:color w:val="954F72" w:themeColor="followedHyperlink"/>
      <w:u w:val="single"/>
    </w:rPr>
  </w:style>
  <w:style w:type="paragraph" w:customStyle="1" w:styleId="ti-grseq-1">
    <w:name w:val="ti-grseq-1"/>
    <w:basedOn w:val="Normlny"/>
    <w:rsid w:val="00FF006A"/>
    <w:pPr>
      <w:spacing w:before="240" w:after="120"/>
      <w:jc w:val="both"/>
    </w:pPr>
    <w:rPr>
      <w:b/>
      <w:bCs/>
    </w:rPr>
  </w:style>
  <w:style w:type="character" w:customStyle="1" w:styleId="bold">
    <w:name w:val="bold"/>
    <w:basedOn w:val="Predvolenpsmoodseku"/>
    <w:rsid w:val="00FF006A"/>
    <w:rPr>
      <w:b/>
      <w:bCs/>
    </w:rPr>
  </w:style>
  <w:style w:type="paragraph" w:styleId="Textbubliny">
    <w:name w:val="Balloon Text"/>
    <w:basedOn w:val="Normlny"/>
    <w:link w:val="TextbublinyChar"/>
    <w:uiPriority w:val="99"/>
    <w:semiHidden/>
    <w:unhideWhenUsed/>
    <w:rsid w:val="00FF006A"/>
    <w:rPr>
      <w:rFonts w:ascii="Tahoma" w:hAnsi="Tahoma" w:cs="Tahoma"/>
      <w:sz w:val="16"/>
      <w:szCs w:val="16"/>
    </w:rPr>
  </w:style>
  <w:style w:type="character" w:customStyle="1" w:styleId="TextbublinyChar">
    <w:name w:val="Text bubliny Char"/>
    <w:basedOn w:val="Predvolenpsmoodseku"/>
    <w:link w:val="Textbubliny"/>
    <w:uiPriority w:val="99"/>
    <w:semiHidden/>
    <w:rsid w:val="00FF006A"/>
    <w:rPr>
      <w:rFonts w:ascii="Tahoma" w:eastAsia="Times New Roman" w:hAnsi="Tahoma" w:cs="Tahoma"/>
      <w:sz w:val="16"/>
      <w:szCs w:val="16"/>
      <w:lang w:eastAsia="sk-SK"/>
    </w:rPr>
  </w:style>
  <w:style w:type="paragraph" w:customStyle="1" w:styleId="Char1">
    <w:name w:val="Char1"/>
    <w:basedOn w:val="Normlny"/>
    <w:rsid w:val="00FF006A"/>
    <w:pPr>
      <w:widowControl w:val="0"/>
      <w:autoSpaceDE w:val="0"/>
      <w:autoSpaceDN w:val="0"/>
      <w:spacing w:line="240" w:lineRule="exact"/>
    </w:pPr>
    <w:rPr>
      <w:rFonts w:ascii="Tahoma" w:hAnsi="Tahoma"/>
      <w:sz w:val="20"/>
      <w:szCs w:val="20"/>
      <w:lang w:val="en-US" w:eastAsia="sk"/>
    </w:rPr>
  </w:style>
  <w:style w:type="paragraph" w:styleId="Zkladntext0">
    <w:name w:val="Body Text"/>
    <w:basedOn w:val="Normlny"/>
    <w:link w:val="ZkladntextChar"/>
    <w:uiPriority w:val="1"/>
    <w:qFormat/>
    <w:rsid w:val="00FF006A"/>
    <w:pPr>
      <w:widowControl w:val="0"/>
      <w:autoSpaceDE w:val="0"/>
      <w:autoSpaceDN w:val="0"/>
    </w:pPr>
    <w:rPr>
      <w:rFonts w:ascii="Bookman Old Style" w:eastAsia="Bookman Old Style" w:hAnsi="Bookman Old Style"/>
      <w:sz w:val="19"/>
      <w:szCs w:val="19"/>
      <w:lang w:val="sk" w:eastAsia="sk"/>
    </w:rPr>
  </w:style>
  <w:style w:type="character" w:customStyle="1" w:styleId="ZkladntextChar">
    <w:name w:val="Základný text Char"/>
    <w:basedOn w:val="Predvolenpsmoodseku"/>
    <w:link w:val="Zkladntext0"/>
    <w:uiPriority w:val="1"/>
    <w:rsid w:val="00FF006A"/>
    <w:rPr>
      <w:rFonts w:ascii="Bookman Old Style" w:eastAsia="Bookman Old Style" w:hAnsi="Bookman Old Style" w:cs="Times New Roman"/>
      <w:sz w:val="19"/>
      <w:szCs w:val="19"/>
      <w:lang w:val="sk" w:eastAsia="sk"/>
    </w:rPr>
  </w:style>
  <w:style w:type="table" w:customStyle="1" w:styleId="TableNormal">
    <w:name w:val="Table Normal"/>
    <w:uiPriority w:val="2"/>
    <w:semiHidden/>
    <w:unhideWhenUsed/>
    <w:qFormat/>
    <w:rsid w:val="00FF00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F006A"/>
    <w:pPr>
      <w:widowControl w:val="0"/>
      <w:autoSpaceDE w:val="0"/>
      <w:autoSpaceDN w:val="0"/>
      <w:spacing w:before="104"/>
      <w:jc w:val="right"/>
    </w:pPr>
    <w:rPr>
      <w:rFonts w:ascii="Bookman Old Style" w:eastAsia="Bookman Old Style" w:hAnsi="Bookman Old Style"/>
      <w:sz w:val="22"/>
      <w:szCs w:val="22"/>
      <w:lang w:val="sk" w:eastAsia="sk"/>
    </w:rPr>
  </w:style>
  <w:style w:type="character" w:styleId="Odkaznakomentr">
    <w:name w:val="annotation reference"/>
    <w:basedOn w:val="Predvolenpsmoodseku"/>
    <w:uiPriority w:val="99"/>
    <w:semiHidden/>
    <w:unhideWhenUsed/>
    <w:rsid w:val="00FF006A"/>
    <w:rPr>
      <w:sz w:val="16"/>
      <w:szCs w:val="16"/>
    </w:rPr>
  </w:style>
  <w:style w:type="paragraph" w:styleId="Textkomentra">
    <w:name w:val="annotation text"/>
    <w:basedOn w:val="Normlny"/>
    <w:link w:val="TextkomentraChar"/>
    <w:uiPriority w:val="99"/>
    <w:unhideWhenUsed/>
    <w:rsid w:val="00FF006A"/>
    <w:pPr>
      <w:widowControl w:val="0"/>
      <w:autoSpaceDE w:val="0"/>
      <w:autoSpaceDN w:val="0"/>
    </w:pPr>
    <w:rPr>
      <w:rFonts w:ascii="Bookman Old Style" w:eastAsia="Bookman Old Style" w:hAnsi="Bookman Old Style"/>
      <w:sz w:val="20"/>
      <w:szCs w:val="20"/>
      <w:lang w:val="sk" w:eastAsia="sk"/>
    </w:rPr>
  </w:style>
  <w:style w:type="character" w:customStyle="1" w:styleId="TextkomentraChar">
    <w:name w:val="Text komentára Char"/>
    <w:basedOn w:val="Predvolenpsmoodseku"/>
    <w:link w:val="Textkomentra"/>
    <w:uiPriority w:val="99"/>
    <w:rsid w:val="00FF006A"/>
    <w:rPr>
      <w:rFonts w:ascii="Bookman Old Style" w:eastAsia="Bookman Old Style" w:hAnsi="Bookman Old Style"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FF006A"/>
    <w:rPr>
      <w:b/>
      <w:bCs/>
    </w:rPr>
  </w:style>
  <w:style w:type="character" w:customStyle="1" w:styleId="PredmetkomentraChar">
    <w:name w:val="Predmet komentára Char"/>
    <w:basedOn w:val="TextkomentraChar"/>
    <w:link w:val="Predmetkomentra"/>
    <w:uiPriority w:val="99"/>
    <w:semiHidden/>
    <w:rsid w:val="00FF006A"/>
    <w:rPr>
      <w:rFonts w:ascii="Bookman Old Style" w:eastAsia="Bookman Old Style" w:hAnsi="Bookman Old Style" w:cs="Times New Roman"/>
      <w:b/>
      <w:bCs/>
      <w:sz w:val="20"/>
      <w:szCs w:val="20"/>
      <w:lang w:val="sk" w:eastAsia="sk"/>
    </w:rPr>
  </w:style>
  <w:style w:type="paragraph" w:styleId="Revzia">
    <w:name w:val="Revision"/>
    <w:hidden/>
    <w:uiPriority w:val="99"/>
    <w:semiHidden/>
    <w:rsid w:val="00FF006A"/>
    <w:pPr>
      <w:spacing w:after="0" w:line="240" w:lineRule="auto"/>
    </w:pPr>
    <w:rPr>
      <w:rFonts w:ascii="Bookman Old Style" w:eastAsia="Bookman Old Style" w:hAnsi="Bookman Old Style" w:cs="Times New Roman"/>
      <w:lang w:val="sk" w:eastAsia="sk"/>
    </w:rPr>
  </w:style>
  <w:style w:type="paragraph" w:customStyle="1" w:styleId="sti-art">
    <w:name w:val="sti-art"/>
    <w:basedOn w:val="Normlny"/>
    <w:rsid w:val="003925CB"/>
    <w:pPr>
      <w:spacing w:before="100" w:beforeAutospacing="1" w:after="100" w:afterAutospacing="1"/>
    </w:pPr>
  </w:style>
  <w:style w:type="paragraph" w:customStyle="1" w:styleId="Normlny2">
    <w:name w:val="Normálny2"/>
    <w:basedOn w:val="Normlny"/>
    <w:rsid w:val="00392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21544">
      <w:bodyDiv w:val="1"/>
      <w:marLeft w:val="0"/>
      <w:marRight w:val="0"/>
      <w:marTop w:val="0"/>
      <w:marBottom w:val="0"/>
      <w:divBdr>
        <w:top w:val="none" w:sz="0" w:space="0" w:color="auto"/>
        <w:left w:val="none" w:sz="0" w:space="0" w:color="auto"/>
        <w:bottom w:val="none" w:sz="0" w:space="0" w:color="auto"/>
        <w:right w:val="none" w:sz="0" w:space="0" w:color="auto"/>
      </w:divBdr>
      <w:divsChild>
        <w:div w:id="972323797">
          <w:marLeft w:val="0"/>
          <w:marRight w:val="0"/>
          <w:marTop w:val="0"/>
          <w:marBottom w:val="0"/>
          <w:divBdr>
            <w:top w:val="none" w:sz="0" w:space="0" w:color="auto"/>
            <w:left w:val="none" w:sz="0" w:space="0" w:color="auto"/>
            <w:bottom w:val="none" w:sz="0" w:space="0" w:color="auto"/>
            <w:right w:val="none" w:sz="0" w:space="0" w:color="auto"/>
          </w:divBdr>
          <w:divsChild>
            <w:div w:id="661130109">
              <w:marLeft w:val="0"/>
              <w:marRight w:val="0"/>
              <w:marTop w:val="0"/>
              <w:marBottom w:val="0"/>
              <w:divBdr>
                <w:top w:val="none" w:sz="0" w:space="0" w:color="auto"/>
                <w:left w:val="none" w:sz="0" w:space="0" w:color="auto"/>
                <w:bottom w:val="none" w:sz="0" w:space="0" w:color="auto"/>
                <w:right w:val="none" w:sz="0" w:space="0" w:color="auto"/>
              </w:divBdr>
              <w:divsChild>
                <w:div w:id="180553643">
                  <w:marLeft w:val="0"/>
                  <w:marRight w:val="0"/>
                  <w:marTop w:val="0"/>
                  <w:marBottom w:val="0"/>
                  <w:divBdr>
                    <w:top w:val="none" w:sz="0" w:space="0" w:color="auto"/>
                    <w:left w:val="none" w:sz="0" w:space="0" w:color="auto"/>
                    <w:bottom w:val="none" w:sz="0" w:space="0" w:color="auto"/>
                    <w:right w:val="none" w:sz="0" w:space="0" w:color="auto"/>
                  </w:divBdr>
                  <w:divsChild>
                    <w:div w:id="11051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5799">
      <w:bodyDiv w:val="1"/>
      <w:marLeft w:val="0"/>
      <w:marRight w:val="0"/>
      <w:marTop w:val="0"/>
      <w:marBottom w:val="0"/>
      <w:divBdr>
        <w:top w:val="none" w:sz="0" w:space="0" w:color="auto"/>
        <w:left w:val="none" w:sz="0" w:space="0" w:color="auto"/>
        <w:bottom w:val="none" w:sz="0" w:space="0" w:color="auto"/>
        <w:right w:val="none" w:sz="0" w:space="0" w:color="auto"/>
      </w:divBdr>
      <w:divsChild>
        <w:div w:id="2019960200">
          <w:marLeft w:val="0"/>
          <w:marRight w:val="0"/>
          <w:marTop w:val="0"/>
          <w:marBottom w:val="0"/>
          <w:divBdr>
            <w:top w:val="none" w:sz="0" w:space="0" w:color="auto"/>
            <w:left w:val="none" w:sz="0" w:space="0" w:color="auto"/>
            <w:bottom w:val="none" w:sz="0" w:space="0" w:color="auto"/>
            <w:right w:val="none" w:sz="0" w:space="0" w:color="auto"/>
          </w:divBdr>
          <w:divsChild>
            <w:div w:id="121847765">
              <w:marLeft w:val="0"/>
              <w:marRight w:val="0"/>
              <w:marTop w:val="0"/>
              <w:marBottom w:val="0"/>
              <w:divBdr>
                <w:top w:val="none" w:sz="0" w:space="0" w:color="auto"/>
                <w:left w:val="none" w:sz="0" w:space="0" w:color="auto"/>
                <w:bottom w:val="none" w:sz="0" w:space="0" w:color="auto"/>
                <w:right w:val="none" w:sz="0" w:space="0" w:color="auto"/>
              </w:divBdr>
              <w:divsChild>
                <w:div w:id="2111663425">
                  <w:marLeft w:val="0"/>
                  <w:marRight w:val="0"/>
                  <w:marTop w:val="0"/>
                  <w:marBottom w:val="0"/>
                  <w:divBdr>
                    <w:top w:val="none" w:sz="0" w:space="0" w:color="auto"/>
                    <w:left w:val="none" w:sz="0" w:space="0" w:color="auto"/>
                    <w:bottom w:val="none" w:sz="0" w:space="0" w:color="auto"/>
                    <w:right w:val="none" w:sz="0" w:space="0" w:color="auto"/>
                  </w:divBdr>
                  <w:divsChild>
                    <w:div w:id="1731340047">
                      <w:marLeft w:val="0"/>
                      <w:marRight w:val="0"/>
                      <w:marTop w:val="0"/>
                      <w:marBottom w:val="0"/>
                      <w:divBdr>
                        <w:top w:val="none" w:sz="0" w:space="0" w:color="auto"/>
                        <w:left w:val="none" w:sz="0" w:space="0" w:color="auto"/>
                        <w:bottom w:val="none" w:sz="0" w:space="0" w:color="auto"/>
                        <w:right w:val="none" w:sz="0" w:space="0" w:color="auto"/>
                      </w:divBdr>
                      <w:divsChild>
                        <w:div w:id="11419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2698</Words>
  <Characters>15379</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Strelková Ľudmila</dc:creator>
  <cp:keywords/>
  <dc:description/>
  <cp:lastModifiedBy>Rozborilová Monika</cp:lastModifiedBy>
  <cp:revision>3</cp:revision>
  <dcterms:created xsi:type="dcterms:W3CDTF">2019-10-03T08:40:00Z</dcterms:created>
  <dcterms:modified xsi:type="dcterms:W3CDTF">2019-10-07T12:24:00Z</dcterms:modified>
</cp:coreProperties>
</file>