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4D5542" w:rsidRPr="004D5542" w:rsidRDefault="004D5542" w:rsidP="004D5542">
            <w:r w:rsidRPr="004D5542">
              <w:t>Návrh nariadenia vlády Slovenskej republiky, ktorým sa mení a dopĺňa nariadenie vlády Slovenskej republiky č. 282/2010 Z. z., ktorým sa ustanovujú prahové hodnoty a zoznam útvarov podzemných vôd</w:t>
            </w:r>
          </w:p>
          <w:p w:rsidR="003501A1" w:rsidRPr="004F4CEE" w:rsidRDefault="004F4CEE" w:rsidP="000F405C">
            <w:pPr>
              <w:jc w:val="both"/>
            </w:pPr>
            <w:r w:rsidRPr="004F4CEE">
              <w:rPr>
                <w:color w:val="000000"/>
              </w:rPr>
              <w:t xml:space="preserve">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6E8A" w:rsidRPr="00A179AE" w:rsidRDefault="005A6E8A" w:rsidP="005A6E8A">
            <w:r>
              <w:t>Mini</w:t>
            </w:r>
            <w:r w:rsidR="0065278B">
              <w:t>sterstvo životného prostredia Slovenskej republiky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2B0A52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46025A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2B0A52" w:rsidRPr="00A179AE" w:rsidRDefault="002B0A52" w:rsidP="004F4CEE">
            <w:pPr>
              <w:jc w:val="both"/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BC6D02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BC6D02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BC6D02" w:rsidRDefault="004F4CEE" w:rsidP="007B71A4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A6E8A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5A6E8A" w:rsidRPr="00A179AE" w:rsidRDefault="005A6E8A" w:rsidP="005A6E8A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A" w:rsidRPr="00A179AE" w:rsidRDefault="0046025A" w:rsidP="00AE42A1">
            <w:pPr>
              <w:rPr>
                <w:i/>
              </w:rPr>
            </w:pPr>
            <w:r>
              <w:rPr>
                <w:i/>
              </w:rPr>
              <w:t xml:space="preserve">August </w:t>
            </w:r>
            <w:bookmarkStart w:id="0" w:name="_GoBack"/>
            <w:bookmarkEnd w:id="0"/>
            <w:r w:rsidR="005A6E8A">
              <w:rPr>
                <w:i/>
              </w:rPr>
              <w:t>201</w:t>
            </w:r>
            <w:r w:rsidR="00340843">
              <w:rPr>
                <w:i/>
              </w:rPr>
              <w:t>9</w:t>
            </w:r>
          </w:p>
        </w:tc>
      </w:tr>
      <w:tr w:rsidR="005A6E8A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5A6E8A" w:rsidRPr="00A179AE" w:rsidRDefault="005A6E8A" w:rsidP="005A6E8A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8A" w:rsidRPr="00A179AE" w:rsidRDefault="00232A31" w:rsidP="00232A31">
            <w:pPr>
              <w:jc w:val="both"/>
              <w:rPr>
                <w:i/>
              </w:rPr>
            </w:pPr>
            <w:r>
              <w:rPr>
                <w:i/>
              </w:rPr>
              <w:t>október 2019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E9265B">
            <w:pPr>
              <w:jc w:val="both"/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232A31" w:rsidRPr="00520430" w:rsidRDefault="00232A31" w:rsidP="00232A31">
            <w:pPr>
              <w:jc w:val="both"/>
              <w:rPr>
                <w:iCs/>
                <w:lang w:eastAsia="cs-CZ"/>
              </w:rPr>
            </w:pPr>
            <w:r>
              <w:rPr>
                <w:bCs/>
                <w:color w:val="231F20"/>
              </w:rPr>
              <w:t>Hodnoty prahových hodnôt</w:t>
            </w:r>
            <w:r w:rsidRPr="00DB3E85">
              <w:rPr>
                <w:bCs/>
                <w:color w:val="231F20"/>
              </w:rPr>
              <w:t xml:space="preserve"> a zoznam útvarov podzemných vôd</w:t>
            </w:r>
            <w:r w:rsidRPr="004831CD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sa</w:t>
            </w:r>
            <w:r w:rsidRPr="00DB3E85">
              <w:rPr>
                <w:bCs/>
                <w:color w:val="231F20"/>
              </w:rPr>
              <w:t xml:space="preserve"> ustanovujú</w:t>
            </w:r>
            <w:r>
              <w:rPr>
                <w:bCs/>
                <w:color w:val="231F20"/>
              </w:rPr>
              <w:t xml:space="preserve"> v </w:t>
            </w:r>
            <w:r w:rsidRPr="00520430">
              <w:rPr>
                <w:lang w:eastAsia="cs-CZ"/>
              </w:rPr>
              <w:t>súlade s</w:t>
            </w:r>
            <w:r>
              <w:rPr>
                <w:lang w:eastAsia="cs-CZ"/>
              </w:rPr>
              <w:t> </w:t>
            </w:r>
            <w:r w:rsidRPr="00520430">
              <w:rPr>
                <w:lang w:eastAsia="cs-CZ"/>
              </w:rPr>
              <w:t>ustanoveniami</w:t>
            </w:r>
            <w:r>
              <w:rPr>
                <w:lang w:eastAsia="cs-CZ"/>
              </w:rPr>
              <w:t xml:space="preserve"> druhej časti vodného zákona</w:t>
            </w:r>
            <w:r w:rsidR="002E2589">
              <w:rPr>
                <w:lang w:eastAsia="cs-CZ"/>
              </w:rPr>
              <w:t xml:space="preserve"> „Zisťovanie výskytu, množstva a stavu vôd“</w:t>
            </w:r>
            <w:r>
              <w:rPr>
                <w:lang w:eastAsia="cs-CZ"/>
              </w:rPr>
              <w:t>.</w:t>
            </w:r>
            <w:r w:rsidRPr="00520430">
              <w:rPr>
                <w:lang w:eastAsia="cs-CZ"/>
              </w:rPr>
              <w:t xml:space="preserve"> </w:t>
            </w:r>
            <w:r w:rsidRPr="009A5486">
              <w:t xml:space="preserve">Prahové </w:t>
            </w:r>
            <w:r w:rsidRPr="00AD7120">
              <w:t xml:space="preserve">hodnoty </w:t>
            </w:r>
            <w:r>
              <w:t>sa ustanovujú</w:t>
            </w:r>
            <w:r w:rsidRPr="009A5486">
              <w:t xml:space="preserve"> </w:t>
            </w:r>
            <w:r>
              <w:t>na účely</w:t>
            </w:r>
            <w:r w:rsidRPr="00D94BCB">
              <w:t xml:space="preserve"> hodnotenia chemického stavu útvaru</w:t>
            </w:r>
            <w:r>
              <w:t xml:space="preserve"> podzemných vôd, alebo skupiny útvarov</w:t>
            </w:r>
            <w:r w:rsidRPr="00D94BCB">
              <w:t xml:space="preserve"> podzemných vôd</w:t>
            </w:r>
            <w:r>
              <w:t>.</w:t>
            </w:r>
            <w:r w:rsidRPr="00AD7120">
              <w:t xml:space="preserve"> </w:t>
            </w:r>
            <w:r>
              <w:t xml:space="preserve">Prahové hodnoty sú </w:t>
            </w:r>
            <w:r w:rsidRPr="00AD7120">
              <w:t>normy kvality podzemných vôd stanovené pre útvary podzemných vôd okrem útvarov geotermálnych vôd</w:t>
            </w:r>
            <w:r w:rsidR="002E2589">
              <w:t>.</w:t>
            </w:r>
          </w:p>
          <w:p w:rsidR="007245F3" w:rsidRPr="00714CE3" w:rsidRDefault="007245F3" w:rsidP="00340843">
            <w:pPr>
              <w:jc w:val="both"/>
              <w:rPr>
                <w:b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232A31" w:rsidRPr="009A5486" w:rsidRDefault="00232A31" w:rsidP="00232A31">
            <w:pPr>
              <w:jc w:val="both"/>
            </w:pPr>
            <w:r w:rsidRPr="002C364D">
              <w:t xml:space="preserve">Prahové hodnoty sú </w:t>
            </w:r>
            <w:r>
              <w:t>v</w:t>
            </w:r>
            <w:r w:rsidRPr="002C364D">
              <w:t>ýchodiskom pre návrh programu opatrení na ochranu a zlepšenie kvality podzemnej vody pre dosiahnutie environmentálnych cieľov, t.</w:t>
            </w:r>
            <w:r>
              <w:t xml:space="preserve"> </w:t>
            </w:r>
            <w:r w:rsidRPr="002C364D">
              <w:t xml:space="preserve">j. dosiahnutie dobrého chemického stavu v útvaroch podzemných vôd. </w:t>
            </w:r>
          </w:p>
          <w:p w:rsidR="00714538" w:rsidRPr="00A179AE" w:rsidRDefault="00714538" w:rsidP="005F290D">
            <w:pPr>
              <w:pStyle w:val="Default"/>
              <w:jc w:val="both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4538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525357" w:rsidRPr="00525357" w:rsidRDefault="00525357" w:rsidP="007B71A4">
            <w:r>
              <w:t xml:space="preserve">Nepredpokladá sa priame ani nepriame ovplyvnenie subjektov. </w:t>
            </w:r>
          </w:p>
          <w:p w:rsidR="003501A1" w:rsidRPr="00A179AE" w:rsidRDefault="003501A1" w:rsidP="00340843">
            <w:pPr>
              <w:jc w:val="both"/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:rsidR="00184813" w:rsidRDefault="00232A31" w:rsidP="00184813">
            <w:r>
              <w:t>Žiadne alternatívne riešenia neboli posudzované.</w:t>
            </w:r>
          </w:p>
          <w:p w:rsidR="00EA3DC1" w:rsidRPr="002D0FAB" w:rsidRDefault="00EA3DC1" w:rsidP="00184813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157D32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C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157D32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DC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4F4CEE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76D4A" w:rsidRDefault="00EA3DC1" w:rsidP="00340843">
            <w:pPr>
              <w:jc w:val="both"/>
            </w:pPr>
            <w:r>
              <w:t xml:space="preserve">Národná právna úprava </w:t>
            </w:r>
            <w:r w:rsidR="006F1905">
              <w:t xml:space="preserve">je v súlade </w:t>
            </w:r>
            <w:r>
              <w:t>požiadavk</w:t>
            </w:r>
            <w:r w:rsidR="006F1905">
              <w:t>ami smerníc</w:t>
            </w:r>
            <w:r>
              <w:t xml:space="preserve"> EÚ (smernica EP a Rady 2006/118/ES, príloha II, časť B) v stanovení prahových hodnôt pre znečisťujúce látky: fluoridy, sodík, chróm, mangán, železo, meď, selén, </w:t>
            </w:r>
            <w:r>
              <w:lastRenderedPageBreak/>
              <w:t xml:space="preserve">benzén, benzo(a)pyrén, celkový organický uhlík, dichlórbenzény, 1,2-dichlóretán, monochlórbenzén, polycyklické aromatické uhľovodíky a trihalometány. Dôvodom je ich častý výskyt v podzemných vodách v SR a ich možný vplyv na zhoršovanie stavu útvarov podzemných vôd.  </w:t>
            </w:r>
          </w:p>
          <w:p w:rsidR="00EA3DC1" w:rsidRPr="00840C16" w:rsidRDefault="00EA3DC1" w:rsidP="00340843">
            <w:pPr>
              <w:jc w:val="both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525357" w:rsidRPr="00525357" w:rsidRDefault="00525357" w:rsidP="00AE42A1"/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A6E8A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600EF9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32A31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32A31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4A062B">
            <w:r w:rsidRPr="00A179AE">
              <w:t xml:space="preserve">    z toho vplyvy na </w:t>
            </w:r>
            <w:r w:rsidR="004A062B">
              <w:t>malé a stredné podniky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E10EB6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E10EB6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CC179D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CC179D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232A31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32A31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A6E8A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E866D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-728687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465B" w:rsidRPr="009634B3" w:rsidRDefault="00E866D0" w:rsidP="00B83402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☐</w:t>
                </w:r>
              </w:p>
            </w:sdtContent>
          </w:sdt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-14828482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465B" w:rsidRPr="009634B3" w:rsidRDefault="005A6E8A" w:rsidP="00B83402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☒</w:t>
                </w:r>
              </w:p>
            </w:sdtContent>
          </w:sdt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426012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465B" w:rsidRPr="009634B3" w:rsidRDefault="00E866D0" w:rsidP="00B83402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☐</w:t>
                </w:r>
              </w:p>
            </w:sdtContent>
          </w:sdt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9634B3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-1197545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465B" w:rsidRPr="009634B3" w:rsidRDefault="00E866D0" w:rsidP="00B83402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☐</w:t>
                </w:r>
              </w:p>
            </w:sdtContent>
          </w:sdt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3537064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465B" w:rsidRPr="009634B3" w:rsidRDefault="005A6E8A" w:rsidP="00B83402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☒</w:t>
                </w:r>
              </w:p>
            </w:sdtContent>
          </w:sdt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1490440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5465B" w:rsidRPr="009634B3" w:rsidRDefault="00E866D0" w:rsidP="00B83402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☐</w:t>
                </w:r>
              </w:p>
            </w:sdtContent>
          </w:sdt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5B" w:rsidRPr="009634B3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4F6F1F" w:rsidRPr="005A6E8A" w:rsidRDefault="004F6F1F" w:rsidP="00E9265B">
            <w:pPr>
              <w:jc w:val="both"/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:rsidR="00232A31" w:rsidRDefault="00232A31" w:rsidP="007C5FB5">
            <w:r>
              <w:t>Mgr. Oliver Horvát, PhD.</w:t>
            </w:r>
            <w:r w:rsidR="00600EF9" w:rsidRPr="00600EF9">
              <w:t xml:space="preserve">, odbor </w:t>
            </w:r>
            <w:r>
              <w:t>strategického vodného plánovania</w:t>
            </w:r>
            <w:r w:rsidR="00600EF9" w:rsidRPr="00600EF9">
              <w:t>,</w:t>
            </w:r>
          </w:p>
          <w:p w:rsidR="00714538" w:rsidRDefault="00232A31" w:rsidP="007C5FB5">
            <w:r>
              <w:t>oliver.horvat</w:t>
            </w:r>
            <w:r w:rsidR="00600EF9" w:rsidRPr="00600EF9">
              <w:t>@enviro.gov.sk, tel.: +421 2 59</w:t>
            </w:r>
            <w:r>
              <w:t> </w:t>
            </w:r>
            <w:r w:rsidR="00600EF9" w:rsidRPr="00600EF9">
              <w:t>56</w:t>
            </w:r>
            <w:r>
              <w:t>3 205</w:t>
            </w:r>
          </w:p>
          <w:p w:rsidR="00232A31" w:rsidRDefault="00232A31" w:rsidP="00232A31">
            <w:r>
              <w:t xml:space="preserve">Katarína Karasová, </w:t>
            </w:r>
            <w:r w:rsidRPr="00600EF9">
              <w:t xml:space="preserve">odbor </w:t>
            </w:r>
            <w:r>
              <w:t>strategického vodného plánovania</w:t>
            </w:r>
            <w:r w:rsidRPr="00600EF9">
              <w:t>,</w:t>
            </w:r>
          </w:p>
          <w:p w:rsidR="00600EF9" w:rsidRPr="001B1473" w:rsidRDefault="00232A31" w:rsidP="00232A31">
            <w:r>
              <w:t>katarina.karasova</w:t>
            </w:r>
            <w:r w:rsidR="00600EF9">
              <w:t xml:space="preserve">@enviro.gov.sk, </w:t>
            </w:r>
            <w:r>
              <w:t>tel.: +421 2 59 563 106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044EEE" w:rsidRPr="00044EEE" w:rsidRDefault="00044EEE" w:rsidP="007B71A4"/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5A6E8A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</w:tc>
      </w:tr>
    </w:tbl>
    <w:p w:rsidR="003501A1" w:rsidRDefault="003501A1" w:rsidP="005A6E8A">
      <w:pPr>
        <w:rPr>
          <w:b/>
        </w:rPr>
      </w:pPr>
    </w:p>
    <w:sectPr w:rsidR="003501A1" w:rsidSect="004C60B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32" w:rsidRDefault="00157D32" w:rsidP="003501A1">
      <w:r>
        <w:separator/>
      </w:r>
    </w:p>
  </w:endnote>
  <w:endnote w:type="continuationSeparator" w:id="0">
    <w:p w:rsidR="00157D32" w:rsidRDefault="00157D32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32" w:rsidRDefault="00157D32" w:rsidP="003501A1">
      <w:r>
        <w:separator/>
      </w:r>
    </w:p>
  </w:footnote>
  <w:footnote w:type="continuationSeparator" w:id="0">
    <w:p w:rsidR="00157D32" w:rsidRDefault="00157D32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536C"/>
    <w:multiLevelType w:val="hybridMultilevel"/>
    <w:tmpl w:val="F4CCE868"/>
    <w:lvl w:ilvl="0" w:tplc="55703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04F2F"/>
    <w:rsid w:val="00036A60"/>
    <w:rsid w:val="00044EEE"/>
    <w:rsid w:val="00084D20"/>
    <w:rsid w:val="000C09B6"/>
    <w:rsid w:val="000C0D21"/>
    <w:rsid w:val="000E20A9"/>
    <w:rsid w:val="000F405C"/>
    <w:rsid w:val="00114C87"/>
    <w:rsid w:val="00151F1B"/>
    <w:rsid w:val="00157D32"/>
    <w:rsid w:val="00175FD8"/>
    <w:rsid w:val="00184813"/>
    <w:rsid w:val="0019474E"/>
    <w:rsid w:val="001B1473"/>
    <w:rsid w:val="001D7E47"/>
    <w:rsid w:val="00232A31"/>
    <w:rsid w:val="00255EB1"/>
    <w:rsid w:val="002B0A52"/>
    <w:rsid w:val="002B3012"/>
    <w:rsid w:val="002D0FAB"/>
    <w:rsid w:val="002D2838"/>
    <w:rsid w:val="002E2589"/>
    <w:rsid w:val="002F5737"/>
    <w:rsid w:val="00340843"/>
    <w:rsid w:val="00345ADD"/>
    <w:rsid w:val="003501A1"/>
    <w:rsid w:val="00395098"/>
    <w:rsid w:val="0045465B"/>
    <w:rsid w:val="0046025A"/>
    <w:rsid w:val="004A062B"/>
    <w:rsid w:val="004B0467"/>
    <w:rsid w:val="004B624C"/>
    <w:rsid w:val="004C60B8"/>
    <w:rsid w:val="004C794A"/>
    <w:rsid w:val="004D5542"/>
    <w:rsid w:val="004F4CEE"/>
    <w:rsid w:val="004F6F1F"/>
    <w:rsid w:val="004F7D6F"/>
    <w:rsid w:val="00525357"/>
    <w:rsid w:val="005701B6"/>
    <w:rsid w:val="00570B48"/>
    <w:rsid w:val="005A5D07"/>
    <w:rsid w:val="005A6E8A"/>
    <w:rsid w:val="005B7A8D"/>
    <w:rsid w:val="005F290D"/>
    <w:rsid w:val="005F5304"/>
    <w:rsid w:val="00600EF9"/>
    <w:rsid w:val="006122DC"/>
    <w:rsid w:val="0065278B"/>
    <w:rsid w:val="006835ED"/>
    <w:rsid w:val="006A236E"/>
    <w:rsid w:val="006C3B7D"/>
    <w:rsid w:val="006F1905"/>
    <w:rsid w:val="00714538"/>
    <w:rsid w:val="00714CE3"/>
    <w:rsid w:val="007245F3"/>
    <w:rsid w:val="00741717"/>
    <w:rsid w:val="00753163"/>
    <w:rsid w:val="0079484A"/>
    <w:rsid w:val="007C36C1"/>
    <w:rsid w:val="007C3A28"/>
    <w:rsid w:val="007C4900"/>
    <w:rsid w:val="007C5FB5"/>
    <w:rsid w:val="00840C16"/>
    <w:rsid w:val="00866CF6"/>
    <w:rsid w:val="008E3561"/>
    <w:rsid w:val="00963E62"/>
    <w:rsid w:val="0097073E"/>
    <w:rsid w:val="009A2F9D"/>
    <w:rsid w:val="009F1B58"/>
    <w:rsid w:val="009F58A9"/>
    <w:rsid w:val="00A13359"/>
    <w:rsid w:val="00A73F08"/>
    <w:rsid w:val="00AA56D4"/>
    <w:rsid w:val="00AC2477"/>
    <w:rsid w:val="00AD064A"/>
    <w:rsid w:val="00AE42A1"/>
    <w:rsid w:val="00B43224"/>
    <w:rsid w:val="00B50426"/>
    <w:rsid w:val="00B65A86"/>
    <w:rsid w:val="00B75EC1"/>
    <w:rsid w:val="00B76D4A"/>
    <w:rsid w:val="00B77F16"/>
    <w:rsid w:val="00BA294F"/>
    <w:rsid w:val="00BC38F4"/>
    <w:rsid w:val="00BC6D02"/>
    <w:rsid w:val="00BD7450"/>
    <w:rsid w:val="00BF04CC"/>
    <w:rsid w:val="00BF4924"/>
    <w:rsid w:val="00C345AC"/>
    <w:rsid w:val="00C43D11"/>
    <w:rsid w:val="00C704A2"/>
    <w:rsid w:val="00C769E2"/>
    <w:rsid w:val="00CA0BE9"/>
    <w:rsid w:val="00CB3623"/>
    <w:rsid w:val="00CC179D"/>
    <w:rsid w:val="00CC33EF"/>
    <w:rsid w:val="00CE6DB0"/>
    <w:rsid w:val="00D13B6F"/>
    <w:rsid w:val="00D75D35"/>
    <w:rsid w:val="00D75D70"/>
    <w:rsid w:val="00DB555A"/>
    <w:rsid w:val="00DB7DB8"/>
    <w:rsid w:val="00DE2A12"/>
    <w:rsid w:val="00E10EB6"/>
    <w:rsid w:val="00E604F7"/>
    <w:rsid w:val="00E64699"/>
    <w:rsid w:val="00E866D0"/>
    <w:rsid w:val="00E9265B"/>
    <w:rsid w:val="00EA3DC1"/>
    <w:rsid w:val="00EB59E3"/>
    <w:rsid w:val="00ED7ED4"/>
    <w:rsid w:val="00F22831"/>
    <w:rsid w:val="00F45428"/>
    <w:rsid w:val="00F47229"/>
    <w:rsid w:val="00F54A1B"/>
    <w:rsid w:val="00F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5591"/>
  <w15:docId w15:val="{94DB4599-52F4-4B53-808F-83319E96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A6E8A"/>
    <w:rPr>
      <w:color w:val="0000FF" w:themeColor="hyperlink"/>
      <w:u w:val="single"/>
    </w:rPr>
  </w:style>
  <w:style w:type="paragraph" w:customStyle="1" w:styleId="Default">
    <w:name w:val="Default"/>
    <w:rsid w:val="00E9265B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Obyajntext">
    <w:name w:val="Plain Text"/>
    <w:basedOn w:val="Normlny"/>
    <w:link w:val="ObyajntextChar"/>
    <w:rsid w:val="00232A31"/>
    <w:rPr>
      <w:rFonts w:ascii="Courier New" w:hAnsi="Courier New" w:cs="Courier New"/>
    </w:rPr>
  </w:style>
  <w:style w:type="character" w:customStyle="1" w:styleId="ObyajntextChar">
    <w:name w:val="Obyčajný text Char"/>
    <w:basedOn w:val="Predvolenpsmoodseku"/>
    <w:link w:val="Obyajntext"/>
    <w:rsid w:val="00232A31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5F82-CDE1-412D-BE95-9CA1944A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OOH</dc:creator>
  <cp:lastModifiedBy>Rozborilová Monika</cp:lastModifiedBy>
  <cp:revision>2</cp:revision>
  <dcterms:created xsi:type="dcterms:W3CDTF">2019-10-02T11:24:00Z</dcterms:created>
  <dcterms:modified xsi:type="dcterms:W3CDTF">2019-10-02T11:24:00Z</dcterms:modified>
</cp:coreProperties>
</file>