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9D" w:rsidRDefault="0097509D" w:rsidP="0097509D">
      <w:pPr>
        <w:spacing w:line="276" w:lineRule="auto"/>
        <w:ind w:right="1"/>
        <w:rPr>
          <w:b/>
          <w:sz w:val="28"/>
          <w:szCs w:val="28"/>
        </w:rPr>
      </w:pPr>
      <w:bookmarkStart w:id="0" w:name="_GoBack"/>
      <w:bookmarkEnd w:id="0"/>
      <w:r>
        <w:rPr>
          <w:b/>
          <w:sz w:val="28"/>
          <w:szCs w:val="28"/>
        </w:rPr>
        <w:t>DÔVODOVÁ SPRÁVA</w:t>
      </w:r>
    </w:p>
    <w:p w:rsidR="0097509D" w:rsidRDefault="0097509D" w:rsidP="0097509D">
      <w:pPr>
        <w:spacing w:line="276" w:lineRule="auto"/>
        <w:ind w:right="1"/>
        <w:rPr>
          <w:b/>
          <w:sz w:val="28"/>
          <w:szCs w:val="28"/>
        </w:rPr>
      </w:pPr>
    </w:p>
    <w:p w:rsidR="0097509D" w:rsidRDefault="0097509D" w:rsidP="0097509D">
      <w:pPr>
        <w:numPr>
          <w:ilvl w:val="0"/>
          <w:numId w:val="1"/>
        </w:numPr>
        <w:spacing w:line="276" w:lineRule="auto"/>
        <w:ind w:right="1"/>
        <w:jc w:val="left"/>
        <w:rPr>
          <w:b/>
        </w:rPr>
      </w:pPr>
      <w:r>
        <w:rPr>
          <w:b/>
        </w:rPr>
        <w:t>Všeobecná časť</w:t>
      </w:r>
    </w:p>
    <w:p w:rsidR="0097509D" w:rsidRDefault="0097509D" w:rsidP="0097509D">
      <w:pPr>
        <w:spacing w:line="276" w:lineRule="auto"/>
        <w:ind w:left="644" w:right="1" w:firstLine="0"/>
        <w:rPr>
          <w:b/>
        </w:rPr>
      </w:pPr>
    </w:p>
    <w:p w:rsidR="0097509D" w:rsidRDefault="0097509D" w:rsidP="0097509D">
      <w:pPr>
        <w:spacing w:line="276" w:lineRule="auto"/>
        <w:ind w:left="644" w:right="1" w:firstLine="0"/>
        <w:rPr>
          <w:b/>
        </w:rPr>
      </w:pPr>
      <w:r>
        <w:rPr>
          <w:b/>
        </w:rPr>
        <w:t>I.</w:t>
      </w:r>
    </w:p>
    <w:p w:rsidR="0097509D" w:rsidRDefault="0097509D" w:rsidP="0097509D">
      <w:pPr>
        <w:spacing w:line="276" w:lineRule="auto"/>
        <w:ind w:left="644" w:right="1" w:firstLine="0"/>
        <w:jc w:val="both"/>
        <w:rPr>
          <w:b/>
        </w:rPr>
      </w:pPr>
    </w:p>
    <w:p w:rsidR="0097509D" w:rsidRDefault="0097509D" w:rsidP="0097509D">
      <w:pPr>
        <w:spacing w:line="276" w:lineRule="auto"/>
        <w:ind w:right="1"/>
        <w:jc w:val="both"/>
      </w:pPr>
      <w:r>
        <w:t>Jadrom stavebného práva</w:t>
      </w:r>
      <w:r w:rsidR="00F82C97">
        <w:t xml:space="preserve"> v súčasnosti</w:t>
      </w:r>
      <w:r>
        <w:t xml:space="preserve"> je zákon č. 50/1976 Zb. o územnom plánovaní a stavebnom poriadku (stavebný zákon) prijatý Federálnym zhromaždením Československej socialistickej republiky 27. apríla 1976, ktorý nadobudol účinnosť 1. októbra 1976. Nahradil zákon o územnom plánovaní a zákon o stavebnom poriadku, oba z roku 1958, a zákon o dokumentácii stavieb z roku 1959.  </w:t>
      </w:r>
    </w:p>
    <w:p w:rsidR="0097509D" w:rsidRDefault="0097509D" w:rsidP="0097509D">
      <w:pPr>
        <w:spacing w:line="276" w:lineRule="auto"/>
        <w:ind w:right="1"/>
        <w:jc w:val="both"/>
      </w:pPr>
      <w:r>
        <w:t>Stavebný</w:t>
      </w:r>
      <w:r w:rsidR="00F82C97">
        <w:t>m</w:t>
      </w:r>
      <w:r>
        <w:t xml:space="preserve"> zákon</w:t>
      </w:r>
      <w:r w:rsidR="00F82C97">
        <w:t>om</w:t>
      </w:r>
      <w:r>
        <w:t xml:space="preserve"> z roku 1976 bol</w:t>
      </w:r>
      <w:r w:rsidR="00F82C97">
        <w:t>a</w:t>
      </w:r>
      <w:r>
        <w:t xml:space="preserve"> zavŕšen</w:t>
      </w:r>
      <w:r w:rsidR="00F82C97">
        <w:t>á</w:t>
      </w:r>
      <w:r>
        <w:t xml:space="preserve"> tzv. normalizáci</w:t>
      </w:r>
      <w:r w:rsidR="00F82C97">
        <w:t>a</w:t>
      </w:r>
      <w:r>
        <w:t xml:space="preserve"> spoločnosti v oblasti regulácie územného plánovania a výstavby. Formálne znamenal kodifikáciu podstatnej časti stavebného práva a obsahovo znamenal dokončenie centralizácie štátnej regulácie výstavby začatej po Februári 1948. Utvoril nevyhnutné politické a právne predpoklady jednotného národohospodárskeho plánovania, centrálneho riadenia a kontroly umiestňovania, povoľovania, financovania a uskutočňovania výstavby, najmä v prospech rozsiahlej štátnej výstavby, osobitne tzv. komplexnej bytovej výstavby (prevažne</w:t>
      </w:r>
      <w:r w:rsidR="00EA7D48">
        <w:t xml:space="preserve"> veľkých</w:t>
      </w:r>
      <w:r>
        <w:t xml:space="preserve"> panelových sídlisk), industrializácie krajiny</w:t>
      </w:r>
      <w:r w:rsidR="00EA7D48">
        <w:t xml:space="preserve"> (veľkých výrobných podnikov)</w:t>
      </w:r>
      <w:r>
        <w:t xml:space="preserve"> a rozvoja dopravnej infraštruktúry</w:t>
      </w:r>
      <w:r w:rsidR="00EA7D48">
        <w:t xml:space="preserve"> (diaľnic a rýchlostných ciest, elektrifikácie železničných dráh)</w:t>
      </w:r>
      <w:r>
        <w:t>. Pre ostatnú, centrálne neregulovanú výstavbu, najmä pre stavby občanov a stavby ob</w:t>
      </w:r>
      <w:r w:rsidR="00F82C97">
        <w:t>e</w:t>
      </w:r>
      <w:r>
        <w:t>c</w:t>
      </w:r>
      <w:r w:rsidR="00F82C97">
        <w:t>nej infraštruktúry</w:t>
      </w:r>
      <w:r>
        <w:t>,</w:t>
      </w:r>
      <w:r w:rsidR="00F82C97">
        <w:t xml:space="preserve"> však</w:t>
      </w:r>
      <w:r>
        <w:t xml:space="preserve"> znamenal výrazné obmedzenie prístupu obyvateľstva k stavebným výrobkom a k stavebným dodávateľským kapacitám, čím túto časť výstavbu vytesnil do občianskej svojpomocnej formy a do brigádnickej formy najmä v rámci tzv. akcií Z (zveľaďovanie) organizovaných miestnymi národnými výbormi.</w:t>
      </w:r>
    </w:p>
    <w:p w:rsidR="00510A6C" w:rsidRDefault="0097509D" w:rsidP="0097509D">
      <w:pPr>
        <w:spacing w:line="276" w:lineRule="auto"/>
        <w:ind w:right="1"/>
        <w:jc w:val="both"/>
      </w:pPr>
      <w:r>
        <w:t>Stavebný zákon z roku 1976 vytvoril centrálne plánovaný systém štátneho riadenia výstavby z úrovne federácie, ktorého jadrom riadenia bolo Federálne ministerstvo pre technický a investičný rozvoj. Počnúc centrálne organizovaným a financovaným územným plánovaním v</w:t>
      </w:r>
      <w:r w:rsidR="00F82C97">
        <w:t>o vertikálne usporiadaných</w:t>
      </w:r>
      <w:r>
        <w:t xml:space="preserve"> tzv. kategóriách a stupňoch územnoplánovacej dokumentácie, cez centrálne financovanie výstavby zo štátneho rozpočtu a centrálne riadenie organizácie výstavby plánovaním využitia stavebných dodávateľských kapacít (stavebných firiem) a výroby a distribúcie stavebných výrobkov až po režim vyvlastňovania na prospech centrálne riadenej štátnej výstavby. Výkonnými zložkami tohto riadiaceho systému boli republikové ministerstvá výstavby a stavebníctva a sústava všetkých stupňov národných výborov. </w:t>
      </w:r>
    </w:p>
    <w:p w:rsidR="0097509D" w:rsidRDefault="0097509D" w:rsidP="0097509D">
      <w:pPr>
        <w:spacing w:line="276" w:lineRule="auto"/>
        <w:ind w:right="1"/>
        <w:jc w:val="both"/>
      </w:pPr>
      <w:r>
        <w:t xml:space="preserve">Od roku 1990 bol stavebný zákon novelizovaný </w:t>
      </w:r>
      <w:r w:rsidR="00EA7D48">
        <w:t>40</w:t>
      </w:r>
      <w:r>
        <w:t xml:space="preserve">-krát a dvakrát bol dotknutý nálezmi Ústavného súdu SR. Všetky čiastkové novely, najmä však rozsiahle novely v rokoch 1997, 2000 a 2005, sledovali cieľ - priblížiť stavebný zákon novým ústavným pomerom založeným na trhovom hospodárstve, </w:t>
      </w:r>
      <w:r w:rsidR="00E4156E">
        <w:t xml:space="preserve">na </w:t>
      </w:r>
      <w:r>
        <w:t xml:space="preserve">rovnosti druhov vlastníctva, </w:t>
      </w:r>
      <w:r w:rsidR="00E4156E">
        <w:t xml:space="preserve">na </w:t>
      </w:r>
      <w:r>
        <w:t>právach osôb a</w:t>
      </w:r>
      <w:r w:rsidR="00E4156E">
        <w:t xml:space="preserve"> na </w:t>
      </w:r>
      <w:r>
        <w:t xml:space="preserve">dekoncentrácii a decentralizácii verejnej správy v oblasti výstavby, ako aj </w:t>
      </w:r>
      <w:r w:rsidR="00E4156E">
        <w:t xml:space="preserve">zladiť s </w:t>
      </w:r>
      <w:r>
        <w:t>medzinárodným</w:t>
      </w:r>
      <w:r w:rsidR="00E4156E">
        <w:t>i</w:t>
      </w:r>
      <w:r>
        <w:t xml:space="preserve"> záväzk</w:t>
      </w:r>
      <w:r w:rsidR="00E4156E">
        <w:t>a</w:t>
      </w:r>
      <w:r>
        <w:t>m</w:t>
      </w:r>
      <w:r w:rsidR="00E4156E">
        <w:t>i</w:t>
      </w:r>
      <w:r>
        <w:t xml:space="preserve"> Slovenskej republiky v oblasti prístupu k informáciám, účasti verejnosti na rozhodovaní verejnej správy a požiadavkám ochrany životného prostredia.</w:t>
      </w:r>
    </w:p>
    <w:p w:rsidR="0097509D" w:rsidRDefault="0097509D" w:rsidP="0097509D">
      <w:pPr>
        <w:spacing w:line="276" w:lineRule="auto"/>
        <w:ind w:right="1"/>
        <w:jc w:val="both"/>
      </w:pPr>
      <w:r>
        <w:t xml:space="preserve">Napriek mnohým </w:t>
      </w:r>
      <w:r w:rsidR="00F82C97">
        <w:t xml:space="preserve">čiastkovým pozitívnym </w:t>
      </w:r>
      <w:r>
        <w:t>zmenám textu však stavebný zákon zostal svojou zastaranou legislatívnou konštrukciou, usporiadaním právnych vzťahov, terminológiou a formami verejnej správy stále v pôvodnom rámci. Toto poznanie vyvolalo potrebu nového zákona už v 90-</w:t>
      </w:r>
      <w:r>
        <w:lastRenderedPageBreak/>
        <w:t>tych rokoch, a tak od roku 1994 bolo niekoľko pokusov pripraviť nový stavebný zákon. Tieto pokusy stroskotali na nevyjasnenosti koncepcie stavebného práva, na rýchlo sa meniacich spoločenských pomeroch, na rôznorodosti záujmov štátu, obcí, investorov a stavebných firiem a na opakovaných zmenách organizácie verejnej správy od ministerskej úrovne po úroveň miestnych orgánov. V nedávnej minulosti boli nádejné pokus</w:t>
      </w:r>
      <w:r w:rsidR="00EA7D48">
        <w:t>y</w:t>
      </w:r>
      <w:r>
        <w:t xml:space="preserve"> prijať nový stavebný zákon v roku 2009 a v roku 2015, ale vláda v oboch prípadoch stiahla vládny návrh z </w:t>
      </w:r>
      <w:r w:rsidR="00F82C97">
        <w:t>Národnej rady</w:t>
      </w:r>
      <w:r>
        <w:t xml:space="preserve"> Slovenskej republiky.</w:t>
      </w:r>
    </w:p>
    <w:p w:rsidR="0097509D" w:rsidRDefault="0097509D" w:rsidP="0097509D">
      <w:pPr>
        <w:spacing w:line="276" w:lineRule="auto"/>
        <w:ind w:right="1"/>
        <w:jc w:val="both"/>
      </w:pPr>
    </w:p>
    <w:p w:rsidR="0097509D" w:rsidRDefault="0097509D" w:rsidP="0097509D">
      <w:pPr>
        <w:spacing w:line="276" w:lineRule="auto"/>
        <w:ind w:right="1"/>
        <w:rPr>
          <w:b/>
        </w:rPr>
      </w:pPr>
      <w:r>
        <w:rPr>
          <w:b/>
        </w:rPr>
        <w:t>II.</w:t>
      </w:r>
    </w:p>
    <w:p w:rsidR="0097509D" w:rsidRDefault="0097509D" w:rsidP="0097509D">
      <w:pPr>
        <w:spacing w:line="276" w:lineRule="auto"/>
        <w:ind w:right="1"/>
        <w:jc w:val="both"/>
        <w:rPr>
          <w:b/>
        </w:rPr>
      </w:pPr>
    </w:p>
    <w:p w:rsidR="0097509D" w:rsidRDefault="00F82C97" w:rsidP="0097509D">
      <w:pPr>
        <w:spacing w:line="276" w:lineRule="auto"/>
        <w:ind w:right="1"/>
        <w:jc w:val="both"/>
      </w:pPr>
      <w:r>
        <w:t>N</w:t>
      </w:r>
      <w:r w:rsidR="0097509D">
        <w:t xml:space="preserve">avrhovaný zákon sleduje odstrániť nedostatky terajšej úpravy, ale zachovať a prehĺbiť osvedčené právne inštitúty, ktoré boli vnesené do zákona jeho novelami po roku 1990 a doplniť o právne inštitúty známe zo zahraničia. Navrhovaný zákon </w:t>
      </w:r>
    </w:p>
    <w:p w:rsidR="0097509D" w:rsidRDefault="0097509D" w:rsidP="0097509D">
      <w:pPr>
        <w:numPr>
          <w:ilvl w:val="0"/>
          <w:numId w:val="2"/>
        </w:numPr>
        <w:spacing w:line="276" w:lineRule="auto"/>
        <w:ind w:right="1"/>
        <w:jc w:val="both"/>
      </w:pPr>
      <w:r>
        <w:t>je koncepčne usporiadaný podľa súčasných požiadaviek na vnútorné usporiadanie zákonov; v súlade so zákonom č. 400/2015 Z.z. o tvorbe právnych predpisov a o Zbierke zákonov Slovenskej republiky a s legislatívnymi pravidlami je oddelená časť základných ustanovení (definícií) od organizácie verejnej správy a sú oddelené hmotnoprávne ustanovenia od procesnoprávnych ustanovení</w:t>
      </w:r>
      <w:r w:rsidR="009E4722">
        <w:t xml:space="preserve"> (</w:t>
      </w:r>
      <w:r w:rsidR="00EA7D48">
        <w:t xml:space="preserve">od </w:t>
      </w:r>
      <w:r w:rsidR="009E4722">
        <w:t>konaní)</w:t>
      </w:r>
      <w:r>
        <w:t>;</w:t>
      </w:r>
    </w:p>
    <w:p w:rsidR="0097509D" w:rsidRDefault="00290C30" w:rsidP="0097509D">
      <w:pPr>
        <w:numPr>
          <w:ilvl w:val="0"/>
          <w:numId w:val="2"/>
        </w:numPr>
        <w:spacing w:line="276" w:lineRule="auto"/>
        <w:ind w:right="1"/>
        <w:jc w:val="both"/>
      </w:pPr>
      <w:r>
        <w:t xml:space="preserve">preberá </w:t>
      </w:r>
      <w:r w:rsidR="0097509D">
        <w:t>v oblasti odbornej terminológie návrh jednak historicky osvedčenú a všeobecne zaužívanú terminológiu slovenského práva a jednak preberá novú terminológiu z odborných medzinárodných dokumentov, z právne závä</w:t>
      </w:r>
      <w:r w:rsidR="00154BB5">
        <w:t>zných aktov Európskej únie a z M</w:t>
      </w:r>
      <w:r w:rsidR="0097509D">
        <w:t>edzinárodnej štatistickej klasifikácie stavieb;</w:t>
      </w:r>
    </w:p>
    <w:p w:rsidR="0097509D" w:rsidRDefault="00290C30" w:rsidP="0097509D">
      <w:pPr>
        <w:numPr>
          <w:ilvl w:val="0"/>
          <w:numId w:val="2"/>
        </w:numPr>
        <w:spacing w:line="276" w:lineRule="auto"/>
        <w:ind w:right="1"/>
        <w:jc w:val="both"/>
      </w:pPr>
      <w:r>
        <w:t xml:space="preserve">nahrádza </w:t>
      </w:r>
      <w:r w:rsidR="0097509D">
        <w:t xml:space="preserve">v názve zákona termín „stavebný poriadok“ (ako preklad z českého originálu  „stavební řád“) termínom „výstavba“; dôvodom je skutočnosť, že v slovenskom práve slovo „poriadok“ znamená buď interné predpisy právnických osôb, napríklad organizačný poriadok, etický poriadok, volebný poriadok, disciplinárny poriadok, rokovací poriadok, a ďalšie, alebo procesný všeobecne záväzný právny predpis, napríklad Trestný poriadok, Exekučný poriadok, Správny súdny poriadok, Správny poriadok, Notársky poriadok, pričom navrhovaný obsah stavebného zákona nie je ani jedno, ani druhé; slovo „výstavba“ v názve bolo použité už v prvom </w:t>
      </w:r>
      <w:r w:rsidR="00F82C97">
        <w:t xml:space="preserve">povojnovom </w:t>
      </w:r>
      <w:r w:rsidR="0097509D">
        <w:t xml:space="preserve">stavebnom zákone z roku 1949 a na viacerých miestach ho používa aj terajší zákon a je vyjadrené aj v názve príslušného ministerstva; </w:t>
      </w:r>
    </w:p>
    <w:p w:rsidR="0097509D" w:rsidRDefault="00023043" w:rsidP="0097509D">
      <w:pPr>
        <w:numPr>
          <w:ilvl w:val="0"/>
          <w:numId w:val="2"/>
        </w:numPr>
        <w:spacing w:line="276" w:lineRule="auto"/>
        <w:ind w:right="1"/>
        <w:jc w:val="both"/>
      </w:pPr>
      <w:r>
        <w:t xml:space="preserve">opúšťa </w:t>
      </w:r>
      <w:r w:rsidR="0097509D">
        <w:t>koncepciu</w:t>
      </w:r>
      <w:r>
        <w:t xml:space="preserve"> spojenia</w:t>
      </w:r>
      <w:r w:rsidR="0097509D">
        <w:t xml:space="preserve"> územného plánovania</w:t>
      </w:r>
      <w:r>
        <w:t xml:space="preserve"> a výstavby účelovo zavedenú v roku 1976 </w:t>
      </w:r>
      <w:r w:rsidR="00EA7D48">
        <w:t>d</w:t>
      </w:r>
      <w:r w:rsidR="0097509D">
        <w:t xml:space="preserve">o jednotnej vertikály centrálne riadených a kontrolovaných tzv. stupňov zodpovedajúcich stupňom národných výborov, pretože podľa </w:t>
      </w:r>
      <w:r>
        <w:t xml:space="preserve">teraz platnej </w:t>
      </w:r>
      <w:r w:rsidR="0097509D">
        <w:t xml:space="preserve">Ústavy Slovenskej republiky ide </w:t>
      </w:r>
      <w:r>
        <w:t xml:space="preserve">v územnom plánovaní </w:t>
      </w:r>
      <w:r w:rsidR="0097509D">
        <w:t xml:space="preserve">o samostatnú pôsobnosť územných celkov </w:t>
      </w:r>
      <w:r>
        <w:t>a vo veciach výstavby ide o výkon štátnej správy</w:t>
      </w:r>
      <w:r w:rsidR="0097509D">
        <w:t>;</w:t>
      </w:r>
      <w:r>
        <w:t xml:space="preserve"> okrem toho spojenie územného plánovania a výstavby v jednom zákone vyvolávalo neprehľadnosť právnej úpravy, čo bol aj jeden z dôvodov, pre ktoré vládne návrhy stavebného zákona v rokoch 2009 a 2015 neboli prijaté;</w:t>
      </w:r>
    </w:p>
    <w:p w:rsidR="00023043" w:rsidRPr="00B34A89" w:rsidRDefault="00023043" w:rsidP="0097509D">
      <w:pPr>
        <w:numPr>
          <w:ilvl w:val="0"/>
          <w:numId w:val="2"/>
        </w:numPr>
        <w:spacing w:line="276" w:lineRule="auto"/>
        <w:ind w:right="1"/>
        <w:jc w:val="both"/>
      </w:pPr>
      <w:r>
        <w:t>posilňuje postavenie vlastníkov pozemkov a</w:t>
      </w:r>
      <w:r w:rsidR="00667240">
        <w:t> </w:t>
      </w:r>
      <w:r>
        <w:t>stavieb</w:t>
      </w:r>
      <w:r w:rsidR="00667240">
        <w:t xml:space="preserve"> a ich práv</w:t>
      </w:r>
      <w:r w:rsidR="00EA7D48">
        <w:t>a</w:t>
      </w:r>
      <w:r w:rsidR="00667240">
        <w:t xml:space="preserve"> k stavbe</w:t>
      </w:r>
      <w:r>
        <w:t xml:space="preserve">, pretože zhotoviť stavbu na pozemku je súčasťou prirodzeného a ústavou chráneného práva užívať svoj </w:t>
      </w:r>
      <w:r w:rsidRPr="00B34A89">
        <w:t xml:space="preserve">majetok (pozemok alebo stavbu); </w:t>
      </w:r>
    </w:p>
    <w:p w:rsidR="00B34A89" w:rsidRPr="00B34A89" w:rsidRDefault="00B34A89" w:rsidP="00B34A89">
      <w:pPr>
        <w:pStyle w:val="Odsekzoznamu"/>
        <w:numPr>
          <w:ilvl w:val="0"/>
          <w:numId w:val="2"/>
        </w:numPr>
        <w:spacing w:line="276" w:lineRule="auto"/>
        <w:ind w:right="1"/>
        <w:jc w:val="both"/>
      </w:pPr>
      <w:r w:rsidRPr="00B34A89">
        <w:t xml:space="preserve">obnovuje pôvodný účel orgánov štátnej stavebnej správy ako čisto odborných stavebnotechnických štátnych orgánov zbavených povinnosti sledovať netechnické činnosti </w:t>
      </w:r>
      <w:r w:rsidRPr="00B34A89">
        <w:lastRenderedPageBreak/>
        <w:t>(napríklad, účelnosť, užívacie vzťahy, susedské spory, riešenie hnuteľných vecí, a podobne);</w:t>
      </w:r>
    </w:p>
    <w:p w:rsidR="00290C30" w:rsidRPr="003838F3" w:rsidRDefault="00FA0269" w:rsidP="0097509D">
      <w:pPr>
        <w:numPr>
          <w:ilvl w:val="0"/>
          <w:numId w:val="2"/>
        </w:numPr>
        <w:spacing w:line="276" w:lineRule="auto"/>
        <w:ind w:right="1"/>
        <w:jc w:val="both"/>
      </w:pPr>
      <w:r w:rsidRPr="003838F3">
        <w:t>výrazné zjednoduš</w:t>
      </w:r>
      <w:r w:rsidR="00290C30" w:rsidRPr="003838F3">
        <w:t>uje</w:t>
      </w:r>
      <w:r w:rsidRPr="003838F3">
        <w:t xml:space="preserve"> </w:t>
      </w:r>
      <w:r w:rsidR="00290C30" w:rsidRPr="003838F3">
        <w:t xml:space="preserve">proces prípravy </w:t>
      </w:r>
      <w:r w:rsidRPr="003838F3">
        <w:t>výstavb</w:t>
      </w:r>
      <w:r w:rsidR="00290C30" w:rsidRPr="003838F3">
        <w:t>y</w:t>
      </w:r>
      <w:r w:rsidRPr="003838F3">
        <w:t xml:space="preserve"> tým, že </w:t>
      </w:r>
      <w:r w:rsidR="003838F3" w:rsidRPr="003838F3">
        <w:t>opúšťa terajšie dvoj</w:t>
      </w:r>
      <w:r w:rsidR="00290C30" w:rsidRPr="003838F3">
        <w:t>zložkové rozhodovanie (územné rozhodovanie</w:t>
      </w:r>
      <w:r w:rsidR="003838F3" w:rsidRPr="003838F3">
        <w:t xml:space="preserve"> a</w:t>
      </w:r>
      <w:r w:rsidR="00290C30" w:rsidRPr="003838F3">
        <w:t xml:space="preserve"> stavebné povoľovanie) a zavádza len jedno rozhodovanie –</w:t>
      </w:r>
      <w:r w:rsidR="00C42ED1" w:rsidRPr="003838F3">
        <w:t xml:space="preserve"> </w:t>
      </w:r>
      <w:r w:rsidR="00290C30" w:rsidRPr="003838F3">
        <w:t>stavebn</w:t>
      </w:r>
      <w:r w:rsidR="00C42ED1" w:rsidRPr="003838F3">
        <w:t>ý súhlas</w:t>
      </w:r>
      <w:r w:rsidR="003838F3" w:rsidRPr="003838F3">
        <w:t>, ktorým stavebný úrad súhlasí so stavebným zámerom</w:t>
      </w:r>
      <w:r w:rsidR="00290C30" w:rsidRPr="003838F3">
        <w:t>;</w:t>
      </w:r>
    </w:p>
    <w:p w:rsidR="00B970D9" w:rsidRPr="00B34A89" w:rsidRDefault="00B34A89" w:rsidP="00B34A89">
      <w:pPr>
        <w:numPr>
          <w:ilvl w:val="0"/>
          <w:numId w:val="2"/>
        </w:numPr>
        <w:spacing w:line="276" w:lineRule="auto"/>
        <w:ind w:right="1"/>
        <w:jc w:val="both"/>
      </w:pPr>
      <w:r w:rsidRPr="00B34A89">
        <w:t>obmedzuje agendu stavebného úradu prenesenú na obce, len na mestá, ktoré sú sídlom stavebného obvodu; sta</w:t>
      </w:r>
      <w:r w:rsidR="003838F3">
        <w:t>vebným obvodom je územie okresu.</w:t>
      </w:r>
      <w:r w:rsidRPr="00B34A89">
        <w:t xml:space="preserve"> </w:t>
      </w:r>
      <w:r w:rsidR="003838F3">
        <w:t>D</w:t>
      </w:r>
      <w:r w:rsidR="00FA0269" w:rsidRPr="00B34A89">
        <w:t xml:space="preserve">oterajšie 15 ročné poznatky </w:t>
      </w:r>
      <w:r w:rsidR="00675D1B" w:rsidRPr="00B34A89">
        <w:t xml:space="preserve">jednoznačne </w:t>
      </w:r>
      <w:r w:rsidR="00FA0269" w:rsidRPr="00B34A89">
        <w:t>preukazujú, že prenesený výkon štátnej správy na obce nebol zabezpečený jednotn</w:t>
      </w:r>
      <w:r w:rsidR="003D6DBD" w:rsidRPr="00B34A89">
        <w:t>e na celom území Slovenska;</w:t>
      </w:r>
      <w:r w:rsidR="00FA0269" w:rsidRPr="00B34A89">
        <w:t xml:space="preserve"> riadenie a kontrola výkonu štátnej správy </w:t>
      </w:r>
      <w:r w:rsidR="003D6DBD" w:rsidRPr="00B34A89">
        <w:t xml:space="preserve">vo </w:t>
      </w:r>
      <w:r w:rsidR="00FA0269" w:rsidRPr="00B34A89">
        <w:t xml:space="preserve">viac ako 2 900 </w:t>
      </w:r>
      <w:r w:rsidR="00F869A6" w:rsidRPr="00B34A89">
        <w:t>obci</w:t>
      </w:r>
      <w:r w:rsidR="003D6DBD" w:rsidRPr="00B34A89">
        <w:t>ach</w:t>
      </w:r>
      <w:r w:rsidR="00F869A6" w:rsidRPr="00B34A89">
        <w:t xml:space="preserve"> z jedného miesta (minist</w:t>
      </w:r>
      <w:r w:rsidR="00675D1B" w:rsidRPr="00B34A89">
        <w:t>erstva</w:t>
      </w:r>
      <w:r w:rsidR="003D6DBD" w:rsidRPr="00B34A89">
        <w:t xml:space="preserve"> výstavby</w:t>
      </w:r>
      <w:r w:rsidR="00675D1B" w:rsidRPr="00B34A89">
        <w:t xml:space="preserve">) </w:t>
      </w:r>
      <w:r w:rsidR="003D6DBD" w:rsidRPr="00B34A89">
        <w:t xml:space="preserve">je fyzicky </w:t>
      </w:r>
      <w:r w:rsidR="00675D1B" w:rsidRPr="00B34A89">
        <w:t>nemožná, čo sa prejavilo</w:t>
      </w:r>
      <w:r w:rsidR="00FA0269" w:rsidRPr="00B34A89">
        <w:t xml:space="preserve"> </w:t>
      </w:r>
      <w:r w:rsidR="00F869A6" w:rsidRPr="00B34A89">
        <w:t xml:space="preserve">v </w:t>
      </w:r>
      <w:r w:rsidR="00FA0269" w:rsidRPr="00B34A89">
        <w:t>niekoľkonásobn</w:t>
      </w:r>
      <w:r w:rsidR="00F869A6" w:rsidRPr="00B34A89">
        <w:t>om</w:t>
      </w:r>
      <w:r w:rsidR="00FA0269" w:rsidRPr="00B34A89">
        <w:t xml:space="preserve"> </w:t>
      </w:r>
      <w:r w:rsidR="00F869A6" w:rsidRPr="00B34A89">
        <w:t>náraste</w:t>
      </w:r>
      <w:r w:rsidR="00FA0269" w:rsidRPr="00B34A89">
        <w:t xml:space="preserve"> počtu nepovolených stavebných prác</w:t>
      </w:r>
      <w:r w:rsidR="00675D1B" w:rsidRPr="00B34A89">
        <w:t xml:space="preserve"> (tzv. čiernych stavieb)</w:t>
      </w:r>
      <w:r w:rsidR="00FA0269" w:rsidRPr="00B34A89">
        <w:t xml:space="preserve">, </w:t>
      </w:r>
      <w:r w:rsidR="00F869A6" w:rsidRPr="00B34A89">
        <w:t xml:space="preserve">vo </w:t>
      </w:r>
      <w:r w:rsidR="00FA0269" w:rsidRPr="00B34A89">
        <w:t>veľk</w:t>
      </w:r>
      <w:r w:rsidR="00F869A6" w:rsidRPr="00B34A89">
        <w:t>om</w:t>
      </w:r>
      <w:r w:rsidR="00FA0269" w:rsidRPr="00B34A89">
        <w:t xml:space="preserve"> počt</w:t>
      </w:r>
      <w:r w:rsidR="00F869A6" w:rsidRPr="00B34A89">
        <w:t>e</w:t>
      </w:r>
      <w:r w:rsidR="00FA0269" w:rsidRPr="00B34A89">
        <w:t xml:space="preserve"> súdnych konaní </w:t>
      </w:r>
      <w:r w:rsidR="00675D1B" w:rsidRPr="00B34A89">
        <w:t xml:space="preserve">z dôvodu nezákonných rozhodnutí a nesprávneho úradného postupu </w:t>
      </w:r>
      <w:r w:rsidR="00F869A6" w:rsidRPr="00B34A89">
        <w:t>s následnými</w:t>
      </w:r>
      <w:r w:rsidR="00FA0269" w:rsidRPr="00B34A89">
        <w:t xml:space="preserve"> náhrad</w:t>
      </w:r>
      <w:r w:rsidR="00F869A6" w:rsidRPr="00B34A89">
        <w:t>ami</w:t>
      </w:r>
      <w:r w:rsidR="00FA0269" w:rsidRPr="00B34A89">
        <w:t xml:space="preserve"> škody zo štátneho rozpočtu</w:t>
      </w:r>
      <w:r w:rsidR="00F869A6" w:rsidRPr="00B34A89">
        <w:t xml:space="preserve"> </w:t>
      </w:r>
      <w:r w:rsidR="003D6DBD" w:rsidRPr="00B34A89">
        <w:t>a v nevhodných subjektívnych zásahoc</w:t>
      </w:r>
      <w:r w:rsidR="00D36790" w:rsidRPr="00B34A89">
        <w:t>h do umiestňovania, povoľovania a</w:t>
      </w:r>
      <w:r w:rsidR="003D6DBD" w:rsidRPr="00B34A89">
        <w:t xml:space="preserve"> kolaudácie stavieb zo strany starostov a</w:t>
      </w:r>
      <w:r w:rsidR="00D36790" w:rsidRPr="00B34A89">
        <w:t> </w:t>
      </w:r>
      <w:r w:rsidR="003D6DBD" w:rsidRPr="00B34A89">
        <w:t>poslancov</w:t>
      </w:r>
      <w:r w:rsidR="00D36790" w:rsidRPr="00B34A89">
        <w:t>, ktorú</w:t>
      </w:r>
      <w:r w:rsidR="003D6DBD" w:rsidRPr="00B34A89">
        <w:t xml:space="preserve"> </w:t>
      </w:r>
      <w:r w:rsidR="00D36790" w:rsidRPr="00B34A89">
        <w:t>umožňuje</w:t>
      </w:r>
      <w:r w:rsidR="003D6DBD" w:rsidRPr="00B34A89">
        <w:t> nevhodn</w:t>
      </w:r>
      <w:r w:rsidR="00D36790" w:rsidRPr="00B34A89">
        <w:t>á</w:t>
      </w:r>
      <w:r w:rsidR="003D6DBD" w:rsidRPr="00B34A89">
        <w:t xml:space="preserve"> koncentráci</w:t>
      </w:r>
      <w:r w:rsidR="00D36790" w:rsidRPr="00B34A89">
        <w:t>a</w:t>
      </w:r>
      <w:r w:rsidR="003D6DBD" w:rsidRPr="00B34A89">
        <w:t xml:space="preserve"> moci v jedných rukách</w:t>
      </w:r>
      <w:r w:rsidR="00953517" w:rsidRPr="00B34A89">
        <w:t xml:space="preserve"> (tzv. systémová predpojatosť)</w:t>
      </w:r>
      <w:r w:rsidR="003D6DBD" w:rsidRPr="00B34A89">
        <w:t xml:space="preserve"> - starosta obce podpisuje územný plán a jeho zmeny a doplnky, územné rozhodnutia, stavebné povolenia i kolaudačné rozhodnutia;</w:t>
      </w:r>
    </w:p>
    <w:p w:rsidR="00F869A6" w:rsidRDefault="00B970D9" w:rsidP="0097509D">
      <w:pPr>
        <w:numPr>
          <w:ilvl w:val="0"/>
          <w:numId w:val="2"/>
        </w:numPr>
        <w:spacing w:line="276" w:lineRule="auto"/>
        <w:ind w:right="1"/>
        <w:jc w:val="both"/>
      </w:pPr>
      <w:r>
        <w:t xml:space="preserve">sleduje sprísnenie odbornej prípravy zamestnancov pracujúcich v štátnej stavebnej správe, pretože </w:t>
      </w:r>
      <w:r w:rsidR="003D6DBD">
        <w:t>terajšie nedostatky výkonu štátnej správy na obciach sú aj dôsledkom</w:t>
      </w:r>
      <w:r w:rsidR="00F869A6">
        <w:t> nižšej odbornej kvalit</w:t>
      </w:r>
      <w:r w:rsidR="003D6DBD">
        <w:t>y</w:t>
      </w:r>
      <w:r w:rsidR="00F869A6">
        <w:t xml:space="preserve"> úradníkov,</w:t>
      </w:r>
      <w:r w:rsidR="00675D1B">
        <w:t xml:space="preserve"> keď len asi polovica zamestnancov na stavebných úradoch</w:t>
      </w:r>
      <w:r w:rsidR="00D36790">
        <w:t xml:space="preserve"> v obciach</w:t>
      </w:r>
      <w:r w:rsidR="00675D1B">
        <w:t xml:space="preserve"> má </w:t>
      </w:r>
      <w:r w:rsidR="003D6DBD">
        <w:t xml:space="preserve">zákonom požadovanú </w:t>
      </w:r>
      <w:r w:rsidR="00675D1B">
        <w:t>tzv. osobitnú odbornú spôsobilosť a v malých obciach</w:t>
      </w:r>
      <w:r w:rsidR="003D6DBD">
        <w:t xml:space="preserve"> zasa pre nízku využiteľnosť </w:t>
      </w:r>
      <w:r w:rsidR="00675D1B">
        <w:t xml:space="preserve">ide väčšinou o kumulované </w:t>
      </w:r>
      <w:r w:rsidR="003D6DBD">
        <w:t>agendy;</w:t>
      </w:r>
      <w:r w:rsidR="00675D1B">
        <w:t xml:space="preserve"> </w:t>
      </w:r>
    </w:p>
    <w:p w:rsidR="0097509D" w:rsidRDefault="0097509D" w:rsidP="0097509D">
      <w:pPr>
        <w:numPr>
          <w:ilvl w:val="0"/>
          <w:numId w:val="2"/>
        </w:numPr>
        <w:spacing w:line="276" w:lineRule="auto"/>
        <w:ind w:right="1"/>
        <w:jc w:val="both"/>
      </w:pPr>
      <w:r>
        <w:t>upravuje ochranu umeleckých diel v stavbách a na verejných priestranstvách pred poškodením alebo zničením stavebnou činnosťou; ide o požiadavky vyplývajúce z medzinárodných právnych dokumentov (z Dohovoru o ochrane architektonického dedičstva Európy, z Dohovoru o ochrane archeologického dedičstva a z Dohovoru o hodnote kultúrneho dedičstva pre spoločnosť);</w:t>
      </w:r>
    </w:p>
    <w:p w:rsidR="0097509D" w:rsidRDefault="0097509D" w:rsidP="0097509D">
      <w:pPr>
        <w:numPr>
          <w:ilvl w:val="0"/>
          <w:numId w:val="2"/>
        </w:numPr>
        <w:spacing w:line="276" w:lineRule="auto"/>
        <w:ind w:right="1"/>
        <w:jc w:val="both"/>
      </w:pPr>
      <w:r>
        <w:t>precizuje správne konani</w:t>
      </w:r>
      <w:r w:rsidR="00816228">
        <w:t>e</w:t>
      </w:r>
      <w:r>
        <w:t xml:space="preserve"> a procesné práva a povinnosti účastníkov a dotknutých osôb a obsah výstupných rozhodnutí </w:t>
      </w:r>
      <w:r w:rsidR="00CF4A9E">
        <w:t>a súhlasov</w:t>
      </w:r>
      <w:r>
        <w:t xml:space="preserve">; </w:t>
      </w:r>
    </w:p>
    <w:p w:rsidR="0097509D" w:rsidRDefault="00F869A6" w:rsidP="0097509D">
      <w:pPr>
        <w:numPr>
          <w:ilvl w:val="0"/>
          <w:numId w:val="2"/>
        </w:numPr>
        <w:spacing w:line="276" w:lineRule="auto"/>
        <w:ind w:right="1"/>
        <w:jc w:val="both"/>
      </w:pPr>
      <w:r>
        <w:t>ustanovuje dodatočný</w:t>
      </w:r>
      <w:r w:rsidR="0097509D">
        <w:t xml:space="preserve"> postup </w:t>
      </w:r>
      <w:r>
        <w:t>vo vzťahu k</w:t>
      </w:r>
      <w:r w:rsidR="0097509D">
        <w:t xml:space="preserve"> nepovolený</w:t>
      </w:r>
      <w:r w:rsidR="009E4722">
        <w:t>m</w:t>
      </w:r>
      <w:r w:rsidR="0097509D">
        <w:t xml:space="preserve"> stavbá</w:t>
      </w:r>
      <w:r w:rsidR="009E4722">
        <w:t>m</w:t>
      </w:r>
      <w:r w:rsidR="00880237">
        <w:t xml:space="preserve"> zhotovený</w:t>
      </w:r>
      <w:r w:rsidR="009E4722">
        <w:t>m</w:t>
      </w:r>
      <w:r w:rsidR="00880237">
        <w:t xml:space="preserve"> do účinnosti navrhovaného zákona</w:t>
      </w:r>
      <w:r w:rsidR="0097509D">
        <w:t>,</w:t>
      </w:r>
      <w:r w:rsidR="00880237">
        <w:t xml:space="preserve"> aby sa do určitého času buď takéto stavby dodatočne </w:t>
      </w:r>
      <w:r w:rsidR="00B970D9">
        <w:t>osvedči</w:t>
      </w:r>
      <w:r w:rsidR="00880237">
        <w:t xml:space="preserve">li, alebo odstránili; sleduje sa tým, aby nefigurovali ako večne nepovolené, neskolaudované, ale roky </w:t>
      </w:r>
      <w:r w:rsidR="003D6DBD">
        <w:t xml:space="preserve">bezproblémovo </w:t>
      </w:r>
      <w:r w:rsidR="00880237">
        <w:t>užívané</w:t>
      </w:r>
      <w:r w:rsidR="0097509D">
        <w:t>;</w:t>
      </w:r>
    </w:p>
    <w:p w:rsidR="0097509D" w:rsidRDefault="0097509D" w:rsidP="0097509D">
      <w:pPr>
        <w:numPr>
          <w:ilvl w:val="0"/>
          <w:numId w:val="2"/>
        </w:numPr>
        <w:spacing w:line="276" w:lineRule="auto"/>
        <w:ind w:right="1"/>
        <w:jc w:val="both"/>
      </w:pPr>
      <w:r>
        <w:t>precizuje priestupky a iné správne delikty a rozširuje okruh sankcionovaných osôb aj na ďalšie osoby vo výstavbe (na zhotoviteľov stavieb, na os</w:t>
      </w:r>
      <w:r w:rsidR="003838F3">
        <w:t>oby vykonávajúce stavebný dozor</w:t>
      </w:r>
      <w:r>
        <w:t xml:space="preserve">), pretože pri prevažujúcom dodávateľskom spôsobe výstavby stavebník je len objednávateľom </w:t>
      </w:r>
      <w:r w:rsidR="002C3BDA">
        <w:t>služby (</w:t>
      </w:r>
      <w:r>
        <w:t>výstavby</w:t>
      </w:r>
      <w:r w:rsidR="002C3BDA">
        <w:t>)</w:t>
      </w:r>
      <w:r>
        <w:t xml:space="preserve"> a osobne neriadi výstavbu; podľa občianskeho práva za porušenia zákona a za škody spôsobené poskytnutím služby má zodpovedať ten, kto ich spôsobil</w:t>
      </w:r>
      <w:r w:rsidR="002C3BDA">
        <w:t xml:space="preserve"> (zhotoviteľ)</w:t>
      </w:r>
      <w:r>
        <w:t>, a nie objednávateľ služby</w:t>
      </w:r>
      <w:r w:rsidR="002C3BDA">
        <w:t xml:space="preserve"> (stavebník)</w:t>
      </w:r>
      <w:r>
        <w:t xml:space="preserve">; </w:t>
      </w:r>
    </w:p>
    <w:p w:rsidR="0097509D" w:rsidRDefault="0097509D" w:rsidP="0097509D">
      <w:pPr>
        <w:numPr>
          <w:ilvl w:val="0"/>
          <w:numId w:val="2"/>
        </w:numPr>
        <w:spacing w:line="276" w:lineRule="auto"/>
        <w:ind w:right="1"/>
        <w:jc w:val="both"/>
      </w:pPr>
      <w:r>
        <w:t xml:space="preserve">zvýrazňuje dôležitosť účasti oprávnených osôb vo výstavbe, najmä precizuje oprávnenia a  zodpovednosť projektanta, stavbyvedúceho, zhotoviteľa stavby, stavebných dozorov, geodeta a statika v príprave výstavby a pri </w:t>
      </w:r>
      <w:r w:rsidR="00880237">
        <w:t>zhotovo</w:t>
      </w:r>
      <w:r>
        <w:t>vaní stavby na úroveň obvyklú v zahraničí, najmä čerpaním inšpirácie a podkladov z rakúskeho</w:t>
      </w:r>
      <w:r w:rsidR="00F90D5C">
        <w:t xml:space="preserve"> a z nemeckého stavebného práva.</w:t>
      </w:r>
    </w:p>
    <w:p w:rsidR="00A01288" w:rsidRDefault="00A01288" w:rsidP="00A01288">
      <w:pPr>
        <w:spacing w:line="276" w:lineRule="auto"/>
        <w:ind w:left="644" w:right="1" w:firstLine="0"/>
        <w:jc w:val="both"/>
      </w:pPr>
    </w:p>
    <w:p w:rsidR="0097509D" w:rsidRDefault="0097509D" w:rsidP="0097509D">
      <w:pPr>
        <w:spacing w:line="276" w:lineRule="auto"/>
        <w:ind w:right="1"/>
        <w:jc w:val="both"/>
      </w:pPr>
      <w:r>
        <w:t xml:space="preserve">Navrhovaný zákon sa člení na </w:t>
      </w:r>
      <w:r w:rsidR="00B56D6D">
        <w:t xml:space="preserve">štyri </w:t>
      </w:r>
      <w:r>
        <w:t>čast</w:t>
      </w:r>
      <w:r w:rsidR="00B56D6D">
        <w:t>i</w:t>
      </w:r>
    </w:p>
    <w:p w:rsidR="0097509D" w:rsidRDefault="0097509D" w:rsidP="0097509D">
      <w:pPr>
        <w:numPr>
          <w:ilvl w:val="0"/>
          <w:numId w:val="2"/>
        </w:numPr>
        <w:spacing w:line="276" w:lineRule="auto"/>
        <w:ind w:left="567" w:right="1" w:hanging="283"/>
        <w:jc w:val="both"/>
      </w:pPr>
      <w:r>
        <w:t>na prvú časť (</w:t>
      </w:r>
      <w:r>
        <w:rPr>
          <w:b/>
        </w:rPr>
        <w:t>Základné ustanovenia</w:t>
      </w:r>
      <w:r>
        <w:t xml:space="preserve">), ktorá obsahuje </w:t>
      </w:r>
      <w:r w:rsidR="00CF4A9E">
        <w:t xml:space="preserve">základnú terminológiu súvisiacu s výstavbou a </w:t>
      </w:r>
      <w:r>
        <w:t>definície platné pre celý zákon;</w:t>
      </w:r>
    </w:p>
    <w:p w:rsidR="00471A56" w:rsidRDefault="0097509D" w:rsidP="0097509D">
      <w:pPr>
        <w:numPr>
          <w:ilvl w:val="0"/>
          <w:numId w:val="2"/>
        </w:numPr>
        <w:spacing w:line="276" w:lineRule="auto"/>
        <w:ind w:left="567" w:right="1" w:hanging="283"/>
        <w:jc w:val="both"/>
      </w:pPr>
      <w:r>
        <w:t>na druhú časť (</w:t>
      </w:r>
      <w:r w:rsidR="00880237" w:rsidRPr="00880237">
        <w:rPr>
          <w:b/>
        </w:rPr>
        <w:t>Výstavba</w:t>
      </w:r>
      <w:r>
        <w:t>), ktorá</w:t>
      </w:r>
      <w:r w:rsidR="00880237">
        <w:t xml:space="preserve"> </w:t>
      </w:r>
      <w:r w:rsidR="00CF4A9E">
        <w:t xml:space="preserve">je </w:t>
      </w:r>
      <w:r w:rsidR="00880237">
        <w:t>hmotnoprávnym jadrom navrhovaného zá</w:t>
      </w:r>
      <w:r w:rsidR="00B56D6D">
        <w:t>k</w:t>
      </w:r>
      <w:r w:rsidR="00880237">
        <w:t>ona</w:t>
      </w:r>
      <w:r w:rsidR="00471A56">
        <w:t xml:space="preserve"> a člení sa na tri hlavy:</w:t>
      </w:r>
    </w:p>
    <w:p w:rsidR="00471A56" w:rsidRDefault="00471A56" w:rsidP="00471A56">
      <w:pPr>
        <w:spacing w:line="276" w:lineRule="auto"/>
        <w:ind w:left="993" w:right="1" w:hanging="426"/>
        <w:jc w:val="both"/>
      </w:pPr>
      <w:r>
        <w:t xml:space="preserve">   -</w:t>
      </w:r>
      <w:r w:rsidR="0097509D">
        <w:t xml:space="preserve"> </w:t>
      </w:r>
      <w:r>
        <w:t xml:space="preserve">prvá hlava (Príprava stavieb) </w:t>
      </w:r>
      <w:r w:rsidR="0097509D">
        <w:t xml:space="preserve">komplexne upravuje </w:t>
      </w:r>
      <w:r w:rsidR="00880237">
        <w:t>všeobecné povinnosti vo výstavbe, všeobecné technické požiadavky na výstavbu</w:t>
      </w:r>
      <w:r w:rsidR="00510A6C">
        <w:t xml:space="preserve"> a stavebné práce</w:t>
      </w:r>
      <w:r>
        <w:t>;</w:t>
      </w:r>
      <w:r w:rsidR="00880237">
        <w:t xml:space="preserve"> </w:t>
      </w:r>
    </w:p>
    <w:p w:rsidR="00471A56" w:rsidRDefault="00471A56" w:rsidP="00471A56">
      <w:pPr>
        <w:spacing w:line="276" w:lineRule="auto"/>
        <w:ind w:left="993" w:right="1" w:hanging="426"/>
        <w:jc w:val="both"/>
      </w:pPr>
      <w:r>
        <w:t xml:space="preserve">   - d</w:t>
      </w:r>
      <w:r w:rsidR="00880237">
        <w:t>ruhá hlava</w:t>
      </w:r>
      <w:r>
        <w:t xml:space="preserve"> (Zhotovovanie stavieb)</w:t>
      </w:r>
      <w:r w:rsidR="00B56D6D">
        <w:t xml:space="preserve"> </w:t>
      </w:r>
      <w:r>
        <w:t xml:space="preserve">upravuje činnosti vo výstavbe a vyhradené činnosti vo výstavbe a práva a povinnosti účastníkov výstavby </w:t>
      </w:r>
      <w:r w:rsidR="00B56D6D">
        <w:t>a</w:t>
      </w:r>
    </w:p>
    <w:p w:rsidR="0097509D" w:rsidRDefault="00471A56" w:rsidP="00471A56">
      <w:pPr>
        <w:spacing w:line="276" w:lineRule="auto"/>
        <w:ind w:left="993" w:right="1" w:hanging="426"/>
        <w:jc w:val="both"/>
      </w:pPr>
      <w:r>
        <w:t xml:space="preserve">   - tretia hlava (Prevádzka a odstraňovanie stavieb) upravuje </w:t>
      </w:r>
      <w:r w:rsidR="00B56D6D">
        <w:t xml:space="preserve">hmotnoprávnu stránku </w:t>
      </w:r>
      <w:r>
        <w:t>dokončovania stavieb, skúšob</w:t>
      </w:r>
      <w:r w:rsidR="00510A6C">
        <w:t>nej</w:t>
      </w:r>
      <w:r>
        <w:t xml:space="preserve"> prevádzk</w:t>
      </w:r>
      <w:r w:rsidR="00510A6C">
        <w:t>y</w:t>
      </w:r>
      <w:r>
        <w:t xml:space="preserve">, </w:t>
      </w:r>
      <w:r w:rsidR="00B56D6D">
        <w:t>kolaudáci</w:t>
      </w:r>
      <w:r w:rsidR="00510A6C">
        <w:t>e</w:t>
      </w:r>
      <w:r>
        <w:t xml:space="preserve"> a</w:t>
      </w:r>
      <w:r w:rsidR="00B56D6D">
        <w:t xml:space="preserve"> odstraňovania stavieb;</w:t>
      </w:r>
    </w:p>
    <w:p w:rsidR="0097509D" w:rsidRDefault="0097509D" w:rsidP="00B56D6D">
      <w:pPr>
        <w:numPr>
          <w:ilvl w:val="0"/>
          <w:numId w:val="2"/>
        </w:numPr>
        <w:spacing w:line="276" w:lineRule="auto"/>
        <w:ind w:left="567" w:right="1" w:hanging="283"/>
        <w:jc w:val="both"/>
      </w:pPr>
      <w:r>
        <w:t>na tretiu časť</w:t>
      </w:r>
      <w:r w:rsidR="00B56D6D">
        <w:t xml:space="preserve"> </w:t>
      </w:r>
      <w:r>
        <w:t>(</w:t>
      </w:r>
      <w:r w:rsidRPr="00B56D6D">
        <w:rPr>
          <w:b/>
        </w:rPr>
        <w:t>Verejná správa</w:t>
      </w:r>
      <w:r>
        <w:t>), ktorá komplexne upravuje kompetenčné a procesné ustanovenia v členení na pôsobnos</w:t>
      </w:r>
      <w:r w:rsidR="00510A6C">
        <w:t>ti orgánov</w:t>
      </w:r>
      <w:r>
        <w:t xml:space="preserve"> </w:t>
      </w:r>
      <w:r w:rsidR="00B56D6D">
        <w:t>(Pravá hlava), štátny stavebný dohľad vrátane sankcií (Druhá hlava)</w:t>
      </w:r>
      <w:r w:rsidR="00471A56">
        <w:t>,</w:t>
      </w:r>
      <w:r>
        <w:t> na konania</w:t>
      </w:r>
      <w:r w:rsidR="00B56D6D">
        <w:t xml:space="preserve"> (Tretia hlava)</w:t>
      </w:r>
      <w:r>
        <w:t xml:space="preserve">; </w:t>
      </w:r>
    </w:p>
    <w:p w:rsidR="0097509D" w:rsidRDefault="0097509D" w:rsidP="0097509D">
      <w:pPr>
        <w:numPr>
          <w:ilvl w:val="0"/>
          <w:numId w:val="2"/>
        </w:numPr>
        <w:spacing w:line="276" w:lineRule="auto"/>
        <w:ind w:left="567" w:right="1" w:hanging="283"/>
        <w:jc w:val="both"/>
      </w:pPr>
      <w:r>
        <w:t xml:space="preserve">na </w:t>
      </w:r>
      <w:r w:rsidR="00B56D6D">
        <w:t>štvrtú</w:t>
      </w:r>
      <w:r>
        <w:t xml:space="preserve"> časť (</w:t>
      </w:r>
      <w:r>
        <w:rPr>
          <w:b/>
        </w:rPr>
        <w:t>Záverečné ustanovenia</w:t>
      </w:r>
      <w:r>
        <w:t xml:space="preserve">), ktorá obsahuje </w:t>
      </w:r>
      <w:r w:rsidR="00B56D6D">
        <w:t xml:space="preserve">spoločné, </w:t>
      </w:r>
      <w:r>
        <w:t>prechodné a zrušovacie ustanovenia a</w:t>
      </w:r>
      <w:r w:rsidR="004F4734">
        <w:t> </w:t>
      </w:r>
      <w:r>
        <w:t>účinnosť</w:t>
      </w:r>
      <w:r w:rsidR="004F4734">
        <w:t>.</w:t>
      </w:r>
      <w:r>
        <w:t xml:space="preserve"> </w:t>
      </w:r>
    </w:p>
    <w:p w:rsidR="0097509D" w:rsidRDefault="0097509D" w:rsidP="0097509D">
      <w:pPr>
        <w:spacing w:line="276" w:lineRule="auto"/>
        <w:ind w:right="1" w:firstLine="0"/>
        <w:jc w:val="both"/>
        <w:rPr>
          <w:b/>
        </w:rPr>
      </w:pPr>
    </w:p>
    <w:p w:rsidR="0097509D" w:rsidRDefault="0097509D" w:rsidP="0097509D">
      <w:pPr>
        <w:spacing w:line="276" w:lineRule="auto"/>
        <w:ind w:left="284" w:right="1" w:firstLine="0"/>
        <w:rPr>
          <w:b/>
        </w:rPr>
      </w:pPr>
      <w:r>
        <w:rPr>
          <w:b/>
        </w:rPr>
        <w:t>III.</w:t>
      </w:r>
    </w:p>
    <w:p w:rsidR="0097509D" w:rsidRDefault="0097509D" w:rsidP="0097509D">
      <w:pPr>
        <w:spacing w:line="276" w:lineRule="auto"/>
        <w:ind w:left="284" w:right="1" w:firstLine="0"/>
        <w:jc w:val="both"/>
        <w:rPr>
          <w:b/>
        </w:rPr>
      </w:pPr>
    </w:p>
    <w:p w:rsidR="0097509D" w:rsidRDefault="0097509D" w:rsidP="0097509D">
      <w:pPr>
        <w:spacing w:line="276" w:lineRule="auto"/>
        <w:ind w:right="1"/>
        <w:jc w:val="both"/>
      </w:pPr>
      <w:r>
        <w:t>Navrhovaný zákon je v súlade s ústavou Slovenskej republiky, inými zákonmi a s medzinárodnými záväzkami Slovenskej republiky.</w:t>
      </w:r>
    </w:p>
    <w:p w:rsidR="0097509D" w:rsidRDefault="0097509D" w:rsidP="0097509D">
      <w:pPr>
        <w:spacing w:line="276" w:lineRule="auto"/>
        <w:ind w:right="1" w:firstLine="0"/>
        <w:jc w:val="both"/>
      </w:pPr>
    </w:p>
    <w:sectPr w:rsidR="0097509D" w:rsidSect="00953517">
      <w:foot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670" w:rsidRDefault="00A31670" w:rsidP="00F82C97">
      <w:r>
        <w:separator/>
      </w:r>
    </w:p>
  </w:endnote>
  <w:endnote w:type="continuationSeparator" w:id="0">
    <w:p w:rsidR="00A31670" w:rsidRDefault="00A31670" w:rsidP="00F8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537538"/>
      <w:docPartObj>
        <w:docPartGallery w:val="Page Numbers (Bottom of Page)"/>
        <w:docPartUnique/>
      </w:docPartObj>
    </w:sdtPr>
    <w:sdtEndPr/>
    <w:sdtContent>
      <w:p w:rsidR="00F82C97" w:rsidRDefault="00462B9A">
        <w:pPr>
          <w:pStyle w:val="Pta"/>
        </w:pPr>
        <w:r>
          <w:fldChar w:fldCharType="begin"/>
        </w:r>
        <w:r w:rsidR="00F82C97">
          <w:instrText>PAGE   \* MERGEFORMAT</w:instrText>
        </w:r>
        <w:r>
          <w:fldChar w:fldCharType="separate"/>
        </w:r>
        <w:r w:rsidR="007460EB">
          <w:rPr>
            <w:noProof/>
          </w:rPr>
          <w:t>2</w:t>
        </w:r>
        <w:r>
          <w:fldChar w:fldCharType="end"/>
        </w:r>
      </w:p>
    </w:sdtContent>
  </w:sdt>
  <w:p w:rsidR="00F82C97" w:rsidRDefault="00F82C9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670" w:rsidRDefault="00A31670" w:rsidP="00F82C97">
      <w:r>
        <w:separator/>
      </w:r>
    </w:p>
  </w:footnote>
  <w:footnote w:type="continuationSeparator" w:id="0">
    <w:p w:rsidR="00A31670" w:rsidRDefault="00A31670" w:rsidP="00F82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B57"/>
    <w:multiLevelType w:val="hybridMultilevel"/>
    <w:tmpl w:val="CC6A92EA"/>
    <w:lvl w:ilvl="0" w:tplc="5B147E02">
      <w:start w:val="180"/>
      <w:numFmt w:val="bullet"/>
      <w:lvlText w:val=""/>
      <w:lvlJc w:val="left"/>
      <w:pPr>
        <w:ind w:left="1068" w:hanging="360"/>
      </w:pPr>
      <w:rPr>
        <w:rFonts w:ascii="Symbol" w:eastAsia="Times New Roman" w:hAnsi="Symbol" w:hint="default"/>
      </w:rPr>
    </w:lvl>
    <w:lvl w:ilvl="1" w:tplc="041B0003">
      <w:start w:val="1"/>
      <w:numFmt w:val="bullet"/>
      <w:lvlText w:val="o"/>
      <w:lvlJc w:val="left"/>
      <w:pPr>
        <w:ind w:left="1788" w:hanging="360"/>
      </w:pPr>
      <w:rPr>
        <w:rFonts w:ascii="Courier New" w:hAnsi="Courier New" w:cs="Times New Roman"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Times New Roman"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Times New Roman" w:hint="default"/>
      </w:rPr>
    </w:lvl>
    <w:lvl w:ilvl="8" w:tplc="041B0005">
      <w:start w:val="1"/>
      <w:numFmt w:val="bullet"/>
      <w:lvlText w:val=""/>
      <w:lvlJc w:val="left"/>
      <w:pPr>
        <w:ind w:left="6828" w:hanging="360"/>
      </w:pPr>
      <w:rPr>
        <w:rFonts w:ascii="Wingdings" w:hAnsi="Wingdings" w:hint="default"/>
      </w:rPr>
    </w:lvl>
  </w:abstractNum>
  <w:abstractNum w:abstractNumId="1">
    <w:nsid w:val="151A2803"/>
    <w:multiLevelType w:val="hybridMultilevel"/>
    <w:tmpl w:val="26AE2D42"/>
    <w:lvl w:ilvl="0" w:tplc="2430C744">
      <w:start w:val="1"/>
      <w:numFmt w:val="upperLetter"/>
      <w:lvlText w:val="%1."/>
      <w:lvlJc w:val="left"/>
      <w:pPr>
        <w:ind w:left="644"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nsid w:val="162415DC"/>
    <w:multiLevelType w:val="hybridMultilevel"/>
    <w:tmpl w:val="B77EE1A4"/>
    <w:lvl w:ilvl="0" w:tplc="5B147E02">
      <w:start w:val="180"/>
      <w:numFmt w:val="bullet"/>
      <w:lvlText w:val=""/>
      <w:lvlJc w:val="left"/>
      <w:pPr>
        <w:ind w:left="1004" w:hanging="360"/>
      </w:pPr>
      <w:rPr>
        <w:rFonts w:ascii="Symbol" w:eastAsia="Times New Roman" w:hAnsi="Symbol" w:hint="default"/>
      </w:rPr>
    </w:lvl>
    <w:lvl w:ilvl="1" w:tplc="041B0003">
      <w:start w:val="1"/>
      <w:numFmt w:val="bullet"/>
      <w:lvlText w:val="o"/>
      <w:lvlJc w:val="left"/>
      <w:pPr>
        <w:ind w:left="1724" w:hanging="360"/>
      </w:pPr>
      <w:rPr>
        <w:rFonts w:ascii="Courier New" w:hAnsi="Courier New" w:cs="Times New Roman"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Times New Roman"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Times New Roman" w:hint="default"/>
      </w:rPr>
    </w:lvl>
    <w:lvl w:ilvl="8" w:tplc="041B0005">
      <w:start w:val="1"/>
      <w:numFmt w:val="bullet"/>
      <w:lvlText w:val=""/>
      <w:lvlJc w:val="left"/>
      <w:pPr>
        <w:ind w:left="6764" w:hanging="360"/>
      </w:pPr>
      <w:rPr>
        <w:rFonts w:ascii="Wingdings" w:hAnsi="Wingdings" w:hint="default"/>
      </w:rPr>
    </w:lvl>
  </w:abstractNum>
  <w:abstractNum w:abstractNumId="3">
    <w:nsid w:val="19533593"/>
    <w:multiLevelType w:val="hybridMultilevel"/>
    <w:tmpl w:val="A9E2D836"/>
    <w:lvl w:ilvl="0" w:tplc="FA24DCF8">
      <w:start w:val="2"/>
      <w:numFmt w:val="bullet"/>
      <w:lvlText w:val="-"/>
      <w:lvlJc w:val="left"/>
      <w:pPr>
        <w:ind w:left="644"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4">
    <w:nsid w:val="56206178"/>
    <w:multiLevelType w:val="hybridMultilevel"/>
    <w:tmpl w:val="97B21D50"/>
    <w:lvl w:ilvl="0" w:tplc="3510392C">
      <w:start w:val="4"/>
      <w:numFmt w:val="lowerLetter"/>
      <w:lvlText w:val="%1)"/>
      <w:lvlJc w:val="left"/>
      <w:pPr>
        <w:ind w:left="1428" w:hanging="360"/>
      </w:pPr>
      <w:rPr>
        <w:rFonts w:cs="Times New Roman"/>
      </w:rPr>
    </w:lvl>
    <w:lvl w:ilvl="1" w:tplc="041B0019">
      <w:start w:val="1"/>
      <w:numFmt w:val="lowerLetter"/>
      <w:lvlText w:val="%2."/>
      <w:lvlJc w:val="left"/>
      <w:pPr>
        <w:ind w:left="2148" w:hanging="360"/>
      </w:pPr>
      <w:rPr>
        <w:rFonts w:cs="Times New Roman"/>
      </w:rPr>
    </w:lvl>
    <w:lvl w:ilvl="2" w:tplc="041B001B">
      <w:start w:val="1"/>
      <w:numFmt w:val="lowerRoman"/>
      <w:lvlText w:val="%3."/>
      <w:lvlJc w:val="right"/>
      <w:pPr>
        <w:ind w:left="2868" w:hanging="180"/>
      </w:pPr>
      <w:rPr>
        <w:rFonts w:cs="Times New Roman"/>
      </w:rPr>
    </w:lvl>
    <w:lvl w:ilvl="3" w:tplc="041B000F">
      <w:start w:val="1"/>
      <w:numFmt w:val="decimal"/>
      <w:lvlText w:val="%4."/>
      <w:lvlJc w:val="left"/>
      <w:pPr>
        <w:ind w:left="3588" w:hanging="360"/>
      </w:pPr>
      <w:rPr>
        <w:rFonts w:cs="Times New Roman"/>
      </w:rPr>
    </w:lvl>
    <w:lvl w:ilvl="4" w:tplc="041B0019">
      <w:start w:val="1"/>
      <w:numFmt w:val="lowerLetter"/>
      <w:lvlText w:val="%5."/>
      <w:lvlJc w:val="left"/>
      <w:pPr>
        <w:ind w:left="4308" w:hanging="360"/>
      </w:pPr>
      <w:rPr>
        <w:rFonts w:cs="Times New Roman"/>
      </w:rPr>
    </w:lvl>
    <w:lvl w:ilvl="5" w:tplc="041B001B">
      <w:start w:val="1"/>
      <w:numFmt w:val="lowerRoman"/>
      <w:lvlText w:val="%6."/>
      <w:lvlJc w:val="right"/>
      <w:pPr>
        <w:ind w:left="5028" w:hanging="180"/>
      </w:pPr>
      <w:rPr>
        <w:rFonts w:cs="Times New Roman"/>
      </w:rPr>
    </w:lvl>
    <w:lvl w:ilvl="6" w:tplc="041B000F">
      <w:start w:val="1"/>
      <w:numFmt w:val="decimal"/>
      <w:lvlText w:val="%7."/>
      <w:lvlJc w:val="left"/>
      <w:pPr>
        <w:ind w:left="5748" w:hanging="360"/>
      </w:pPr>
      <w:rPr>
        <w:rFonts w:cs="Times New Roman"/>
      </w:rPr>
    </w:lvl>
    <w:lvl w:ilvl="7" w:tplc="041B0019">
      <w:start w:val="1"/>
      <w:numFmt w:val="lowerLetter"/>
      <w:lvlText w:val="%8."/>
      <w:lvlJc w:val="left"/>
      <w:pPr>
        <w:ind w:left="6468" w:hanging="360"/>
      </w:pPr>
      <w:rPr>
        <w:rFonts w:cs="Times New Roman"/>
      </w:rPr>
    </w:lvl>
    <w:lvl w:ilvl="8" w:tplc="041B001B">
      <w:start w:val="1"/>
      <w:numFmt w:val="lowerRoman"/>
      <w:lvlText w:val="%9."/>
      <w:lvlJc w:val="right"/>
      <w:pPr>
        <w:ind w:left="7188"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509D"/>
    <w:rsid w:val="0001419B"/>
    <w:rsid w:val="00023043"/>
    <w:rsid w:val="000C6DB1"/>
    <w:rsid w:val="00154BB5"/>
    <w:rsid w:val="00192793"/>
    <w:rsid w:val="001C3EE0"/>
    <w:rsid w:val="00290C30"/>
    <w:rsid w:val="002A1506"/>
    <w:rsid w:val="002C3BDA"/>
    <w:rsid w:val="003270B1"/>
    <w:rsid w:val="00374AC5"/>
    <w:rsid w:val="003838F3"/>
    <w:rsid w:val="003A47A7"/>
    <w:rsid w:val="003C2083"/>
    <w:rsid w:val="003D3B2F"/>
    <w:rsid w:val="003D6DBD"/>
    <w:rsid w:val="00462B9A"/>
    <w:rsid w:val="00471A56"/>
    <w:rsid w:val="004F4734"/>
    <w:rsid w:val="00510A6C"/>
    <w:rsid w:val="005A1CA7"/>
    <w:rsid w:val="00667240"/>
    <w:rsid w:val="00675D1B"/>
    <w:rsid w:val="007460EB"/>
    <w:rsid w:val="007A285F"/>
    <w:rsid w:val="00816228"/>
    <w:rsid w:val="00870F51"/>
    <w:rsid w:val="00880237"/>
    <w:rsid w:val="0089777D"/>
    <w:rsid w:val="00915E48"/>
    <w:rsid w:val="00953517"/>
    <w:rsid w:val="0097509D"/>
    <w:rsid w:val="009E4722"/>
    <w:rsid w:val="00A01288"/>
    <w:rsid w:val="00A25524"/>
    <w:rsid w:val="00A31670"/>
    <w:rsid w:val="00A826EB"/>
    <w:rsid w:val="00B34A89"/>
    <w:rsid w:val="00B56D6D"/>
    <w:rsid w:val="00B970D9"/>
    <w:rsid w:val="00C42ED1"/>
    <w:rsid w:val="00CF4A9E"/>
    <w:rsid w:val="00D36790"/>
    <w:rsid w:val="00E4156E"/>
    <w:rsid w:val="00EA7D48"/>
    <w:rsid w:val="00F82C97"/>
    <w:rsid w:val="00F869A6"/>
    <w:rsid w:val="00F90D5C"/>
    <w:rsid w:val="00FA0269"/>
    <w:rsid w:val="00FB0E91"/>
    <w:rsid w:val="00FF2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line="276" w:lineRule="auto"/>
        <w:ind w:left="284"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Normálny text"/>
    <w:qFormat/>
    <w:rsid w:val="0097509D"/>
    <w:pPr>
      <w:spacing w:line="240" w:lineRule="auto"/>
      <w:ind w:left="0" w:right="0" w:firstLine="284"/>
      <w:jc w:val="center"/>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semiHidden/>
    <w:unhideWhenUsed/>
    <w:qFormat/>
    <w:rsid w:val="0097509D"/>
    <w:pPr>
      <w:ind w:left="720"/>
      <w:contextualSpacing/>
    </w:pPr>
  </w:style>
  <w:style w:type="paragraph" w:customStyle="1" w:styleId="BodyText21">
    <w:name w:val="Body Text 21"/>
    <w:basedOn w:val="Normlny"/>
    <w:uiPriority w:val="99"/>
    <w:rsid w:val="0097509D"/>
    <w:pPr>
      <w:widowControl w:val="0"/>
      <w:ind w:firstLine="0"/>
      <w:jc w:val="both"/>
    </w:pPr>
    <w:rPr>
      <w:rFonts w:ascii="Book Antiqua" w:hAnsi="Book Antiqua" w:cs="Book Antiqua"/>
      <w:b/>
      <w:bCs/>
      <w:lang w:eastAsia="cs-CZ"/>
    </w:rPr>
  </w:style>
  <w:style w:type="paragraph" w:styleId="Hlavika">
    <w:name w:val="header"/>
    <w:basedOn w:val="Normlny"/>
    <w:link w:val="HlavikaChar"/>
    <w:uiPriority w:val="99"/>
    <w:unhideWhenUsed/>
    <w:rsid w:val="00F82C97"/>
    <w:pPr>
      <w:tabs>
        <w:tab w:val="center" w:pos="4536"/>
        <w:tab w:val="right" w:pos="9072"/>
      </w:tabs>
    </w:pPr>
  </w:style>
  <w:style w:type="character" w:customStyle="1" w:styleId="HlavikaChar">
    <w:name w:val="Hlavička Char"/>
    <w:basedOn w:val="Predvolenpsmoodseku"/>
    <w:link w:val="Hlavika"/>
    <w:uiPriority w:val="99"/>
    <w:rsid w:val="00F82C97"/>
    <w:rPr>
      <w:rFonts w:ascii="Times New Roman" w:eastAsia="Times New Roman" w:hAnsi="Times New Roman" w:cs="Times New Roman"/>
      <w:sz w:val="24"/>
      <w:szCs w:val="24"/>
    </w:rPr>
  </w:style>
  <w:style w:type="paragraph" w:styleId="Pta">
    <w:name w:val="footer"/>
    <w:basedOn w:val="Normlny"/>
    <w:link w:val="PtaChar"/>
    <w:uiPriority w:val="99"/>
    <w:unhideWhenUsed/>
    <w:rsid w:val="00F82C97"/>
    <w:pPr>
      <w:tabs>
        <w:tab w:val="center" w:pos="4536"/>
        <w:tab w:val="right" w:pos="9072"/>
      </w:tabs>
    </w:pPr>
  </w:style>
  <w:style w:type="character" w:customStyle="1" w:styleId="PtaChar">
    <w:name w:val="Päta Char"/>
    <w:basedOn w:val="Predvolenpsmoodseku"/>
    <w:link w:val="Pta"/>
    <w:uiPriority w:val="99"/>
    <w:rsid w:val="00F82C97"/>
    <w:rPr>
      <w:rFonts w:ascii="Times New Roman" w:eastAsia="Times New Roman" w:hAnsi="Times New Roman" w:cs="Times New Roman"/>
      <w:sz w:val="24"/>
      <w:szCs w:val="24"/>
    </w:rPr>
  </w:style>
  <w:style w:type="paragraph" w:styleId="Odsekzoznamu">
    <w:name w:val="List Paragraph"/>
    <w:basedOn w:val="Normlny"/>
    <w:uiPriority w:val="34"/>
    <w:qFormat/>
    <w:rsid w:val="00B34A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line="276" w:lineRule="auto"/>
        <w:ind w:left="284"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Normálny text"/>
    <w:qFormat/>
    <w:rsid w:val="0097509D"/>
    <w:pPr>
      <w:spacing w:line="240" w:lineRule="auto"/>
      <w:ind w:left="0" w:right="0" w:firstLine="284"/>
      <w:jc w:val="center"/>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semiHidden/>
    <w:unhideWhenUsed/>
    <w:qFormat/>
    <w:rsid w:val="0097509D"/>
    <w:pPr>
      <w:ind w:left="720"/>
      <w:contextualSpacing/>
    </w:pPr>
  </w:style>
  <w:style w:type="paragraph" w:customStyle="1" w:styleId="BodyText21">
    <w:name w:val="Body Text 21"/>
    <w:basedOn w:val="Normlny"/>
    <w:uiPriority w:val="99"/>
    <w:rsid w:val="0097509D"/>
    <w:pPr>
      <w:widowControl w:val="0"/>
      <w:ind w:firstLine="0"/>
      <w:jc w:val="both"/>
    </w:pPr>
    <w:rPr>
      <w:rFonts w:ascii="Book Antiqua" w:hAnsi="Book Antiqua" w:cs="Book Antiqua"/>
      <w:b/>
      <w:bCs/>
      <w:lang w:eastAsia="cs-CZ"/>
    </w:rPr>
  </w:style>
  <w:style w:type="paragraph" w:styleId="Hlavika">
    <w:name w:val="header"/>
    <w:basedOn w:val="Normlny"/>
    <w:link w:val="HlavikaChar"/>
    <w:uiPriority w:val="99"/>
    <w:unhideWhenUsed/>
    <w:rsid w:val="00F82C97"/>
    <w:pPr>
      <w:tabs>
        <w:tab w:val="center" w:pos="4536"/>
        <w:tab w:val="right" w:pos="9072"/>
      </w:tabs>
    </w:pPr>
  </w:style>
  <w:style w:type="character" w:customStyle="1" w:styleId="HlavikaChar">
    <w:name w:val="Hlavička Char"/>
    <w:basedOn w:val="Predvolenpsmoodseku"/>
    <w:link w:val="Hlavika"/>
    <w:uiPriority w:val="99"/>
    <w:rsid w:val="00F82C97"/>
    <w:rPr>
      <w:rFonts w:ascii="Times New Roman" w:eastAsia="Times New Roman" w:hAnsi="Times New Roman" w:cs="Times New Roman"/>
      <w:sz w:val="24"/>
      <w:szCs w:val="24"/>
    </w:rPr>
  </w:style>
  <w:style w:type="paragraph" w:styleId="Pta">
    <w:name w:val="footer"/>
    <w:basedOn w:val="Normlny"/>
    <w:link w:val="PtaChar"/>
    <w:uiPriority w:val="99"/>
    <w:unhideWhenUsed/>
    <w:rsid w:val="00F82C97"/>
    <w:pPr>
      <w:tabs>
        <w:tab w:val="center" w:pos="4536"/>
        <w:tab w:val="right" w:pos="9072"/>
      </w:tabs>
    </w:pPr>
  </w:style>
  <w:style w:type="character" w:customStyle="1" w:styleId="PtaChar">
    <w:name w:val="Päta Char"/>
    <w:basedOn w:val="Predvolenpsmoodseku"/>
    <w:link w:val="Pta"/>
    <w:uiPriority w:val="99"/>
    <w:rsid w:val="00F82C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vodova-sprava---Vseobecna-cast"/>
    <f:field ref="objsubject" par="" edit="true" text=""/>
    <f:field ref="objcreatedby" par="" text="Dancák, Ján, JUDr."/>
    <f:field ref="objcreatedat" par="" text="19.9.2019 14:57:00"/>
    <f:field ref="objchangedby" par="" text="Administrator, System"/>
    <f:field ref="objmodifiedat" par="" text="19.9.2019 14:57:0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9349</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Zemanová, Ivana</cp:lastModifiedBy>
  <cp:revision>2</cp:revision>
  <dcterms:created xsi:type="dcterms:W3CDTF">2019-09-19T12:57:00Z</dcterms:created>
  <dcterms:modified xsi:type="dcterms:W3CDTF">2019-09-19T12:57:00Z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 výstavbe a o zmene a doplnení niektorých zákonov (stavebný zákon) informovaná prostredníctvom predbežnej informácie k&amp;nbsp;predmetnému návrhu zákona v&amp;nbsp;informačnom systéme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Ján Dancák</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o výstavbe (stavebný zákon)</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programového vyhlásenia vlády Slovenskej republiky</vt:lpwstr>
  </property>
  <property fmtid="{D5CDD505-2E9C-101B-9397-08002B2CF9AE}" pid="23" name="FSC#SKEDITIONSLOVLEX@103.510:plnynazovpredpis">
    <vt:lpwstr> Zákon o výstavbe (stavebný zákon)</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15080/2019/SV/74625-M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LP/2019/247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1. legislatívne akty _x000d_
- Nariadenie Európskeho parlamentu a Rady (EÚ) č. 305/2011 z 9. marca 2011, ktorým sa ustanovujú harmonizované podmienky uvádzania stavebných výrobkov na trh a ktorým sa zrušuje smernica Rady 89/106/EHS (Ú. v. EÚ L 88, 4.4.2011) v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18. 3. 2019</vt:lpwstr>
  </property>
  <property fmtid="{D5CDD505-2E9C-101B-9397-08002B2CF9AE}" pid="59" name="FSC#SKEDITIONSLOVLEX@103.510:AttrDateDocPropUkonceniePKK">
    <vt:lpwstr>2. 4. 2019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&lt;p&gt;&lt;strong&gt;K predkladanému materiálu všeobecne&lt;/strong&gt;&lt;/p&gt;&lt;p&gt;&amp;nbsp;&lt;/p&gt;&lt;p&gt;Vzhľadom k&amp;nbsp;tomu, že materiál je predkladaný bez súvisiacich úprav osobitných predpisov (budú predmetom samostatného zákona), uvádzame v&amp;nbsp;tejto časti navrhovaný sadzobník s</vt:lpwstr>
  </property>
  <property fmtid="{D5CDD505-2E9C-101B-9397-08002B2CF9AE}" pid="66" name="FSC#SKEDITIONSLOVLEX@103.510:AttrStrListDocPropAltRiesenia">
    <vt:lpwstr>Neboli identifikované alternatívy k predloženým riešeniam, ktoré by naplnili cieľNulový variant:Súčasný stav je založený na stavebnom zákone z roku 1976, ktorého štruktúra a základné pravidlá aj po 40-tich novelizáciách spôsobuje, že sa územné plánovanie </vt:lpwstr>
  </property>
  <property fmtid="{D5CDD505-2E9C-101B-9397-08002B2CF9AE}" pid="67" name="FSC#SKEDITIONSLOVLEX@103.510:AttrStrListDocPropStanoviskoGest">
    <vt:lpwstr>&lt;p&gt;&lt;strong&gt;I. Úvod: &lt;/strong&gt;Ministerstvo dopravy a výstavby Slovenskej republiky dňa 19. marca 2019 predložilo Stálej pracovnej komisii na posudzovanie vybraných vplyvov (ďalej len&amp;nbsp;„Komisia“) na predbežné pripomienkové konanie materiál:&lt;em&gt; „Návrh z</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ministri _x000d_
predsedovia ostatných ústredných orgánov štátnej správy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dopravy a výstavby Slovenskej republiky predkladá návrh zákona o&amp;nbsp;výstavbe (stavebný zákon) z&amp;nbsp;dôvodu plnenia programového vyhlásenia vlády Slovenskej republiky na roky 2016 - 2020.&lt;/p&gt;&lt;p style="text-al</vt:lpwstr>
  </property>
  <property fmtid="{D5CDD505-2E9C-101B-9397-08002B2CF9AE}" pid="150" name="FSC#SKEDITIONSLOVLEX@103.510:vytvorenedna">
    <vt:lpwstr>19. 9. 2019</vt:lpwstr>
  </property>
  <property fmtid="{D5CDD505-2E9C-101B-9397-08002B2CF9AE}" pid="151" name="FSC#COOSYSTEM@1.1:Container">
    <vt:lpwstr>COO.2145.1000.3.3608224</vt:lpwstr>
  </property>
  <property fmtid="{D5CDD505-2E9C-101B-9397-08002B2CF9AE}" pid="152" name="FSC#FSCFOLIO@1.1001:docpropproject">
    <vt:lpwstr/>
  </property>
</Properties>
</file>