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57" w:rsidRPr="00732E57"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3F76F5">
        <w:trPr>
          <w:trHeight w:val="363"/>
        </w:trPr>
        <w:tc>
          <w:tcPr>
            <w:tcW w:w="9371" w:type="dxa"/>
          </w:tcPr>
          <w:p w:rsidR="00337789" w:rsidRPr="00F36EF9" w:rsidRDefault="00337789" w:rsidP="007C7F8B">
            <w:pPr>
              <w:spacing w:line="240" w:lineRule="auto"/>
              <w:rPr>
                <w:i/>
                <w:sz w:val="22"/>
                <w:szCs w:val="22"/>
              </w:rPr>
            </w:pP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2411CF" w:rsidTr="009C2704">
        <w:trPr>
          <w:trHeight w:val="598"/>
        </w:trPr>
        <w:tc>
          <w:tcPr>
            <w:tcW w:w="9371" w:type="dxa"/>
          </w:tcPr>
          <w:p w:rsidR="00337789" w:rsidRPr="002411CF" w:rsidRDefault="00452251" w:rsidP="00D55115">
            <w:pPr>
              <w:spacing w:line="240" w:lineRule="auto"/>
              <w:rPr>
                <w:i/>
                <w:sz w:val="22"/>
                <w:szCs w:val="22"/>
              </w:rPr>
            </w:pPr>
            <w:r>
              <w:rPr>
                <w:i/>
                <w:sz w:val="22"/>
                <w:szCs w:val="22"/>
              </w:rPr>
              <w:t>Možnosť zabezpečenia</w:t>
            </w:r>
            <w:r w:rsidRPr="002411CF">
              <w:rPr>
                <w:i/>
                <w:sz w:val="22"/>
                <w:szCs w:val="22"/>
              </w:rPr>
              <w:t xml:space="preserve"> dopravnej obslužnosti územia pravidelnou vnútroštátnou verejnou osobnou lodnou dopravou (ďalej len „osobná doprava“) dopravnými službami vo verejnom záujme</w:t>
            </w:r>
            <w:r>
              <w:rPr>
                <w:i/>
                <w:sz w:val="22"/>
                <w:szCs w:val="22"/>
              </w:rPr>
              <w:t>, ktoré si objedná objednávateľ (</w:t>
            </w:r>
            <w:r w:rsidR="00D55115">
              <w:rPr>
                <w:i/>
                <w:sz w:val="22"/>
                <w:szCs w:val="22"/>
              </w:rPr>
              <w:t>ministerstvo</w:t>
            </w:r>
            <w:r>
              <w:rPr>
                <w:i/>
                <w:sz w:val="22"/>
                <w:szCs w:val="22"/>
              </w:rPr>
              <w:t xml:space="preserve">), ktorý je </w:t>
            </w:r>
            <w:r w:rsidRPr="002411CF">
              <w:rPr>
                <w:i/>
                <w:sz w:val="22"/>
                <w:szCs w:val="22"/>
              </w:rPr>
              <w:t>povinný organizovať a zabezpečovať dopravnú obslužnosť územia v regionálnej doprav</w:t>
            </w:r>
            <w:r w:rsidR="00707A55">
              <w:rPr>
                <w:i/>
                <w:sz w:val="22"/>
                <w:szCs w:val="22"/>
              </w:rPr>
              <w:t>e.</w:t>
            </w: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337789" w:rsidRPr="00D3615C" w:rsidRDefault="002411CF" w:rsidP="002411CF">
            <w:pPr>
              <w:spacing w:line="240" w:lineRule="auto"/>
              <w:rPr>
                <w:i/>
                <w:sz w:val="22"/>
                <w:szCs w:val="22"/>
              </w:rPr>
            </w:pPr>
            <w:r>
              <w:rPr>
                <w:i/>
                <w:sz w:val="22"/>
                <w:szCs w:val="22"/>
              </w:rPr>
              <w:t>P</w:t>
            </w:r>
            <w:r w:rsidRPr="002411CF">
              <w:rPr>
                <w:i/>
                <w:sz w:val="22"/>
                <w:szCs w:val="22"/>
              </w:rPr>
              <w:t>ravideln</w:t>
            </w:r>
            <w:r>
              <w:rPr>
                <w:i/>
                <w:sz w:val="22"/>
                <w:szCs w:val="22"/>
              </w:rPr>
              <w:t>á</w:t>
            </w:r>
            <w:r w:rsidRPr="002411CF">
              <w:rPr>
                <w:i/>
                <w:sz w:val="22"/>
                <w:szCs w:val="22"/>
              </w:rPr>
              <w:t xml:space="preserve"> vnútroštátn</w:t>
            </w:r>
            <w:r>
              <w:rPr>
                <w:i/>
                <w:sz w:val="22"/>
                <w:szCs w:val="22"/>
              </w:rPr>
              <w:t>a</w:t>
            </w:r>
            <w:r w:rsidRPr="002411CF">
              <w:rPr>
                <w:i/>
                <w:sz w:val="22"/>
                <w:szCs w:val="22"/>
              </w:rPr>
              <w:t xml:space="preserve"> verejn</w:t>
            </w:r>
            <w:r>
              <w:rPr>
                <w:i/>
                <w:sz w:val="22"/>
                <w:szCs w:val="22"/>
              </w:rPr>
              <w:t>á</w:t>
            </w:r>
            <w:r w:rsidRPr="002411CF">
              <w:rPr>
                <w:i/>
                <w:sz w:val="22"/>
                <w:szCs w:val="22"/>
              </w:rPr>
              <w:t xml:space="preserve"> osobn</w:t>
            </w:r>
            <w:r>
              <w:rPr>
                <w:i/>
                <w:sz w:val="22"/>
                <w:szCs w:val="22"/>
              </w:rPr>
              <w:t>á</w:t>
            </w:r>
            <w:r w:rsidRPr="002411CF">
              <w:rPr>
                <w:i/>
                <w:sz w:val="22"/>
                <w:szCs w:val="22"/>
              </w:rPr>
              <w:t xml:space="preserve"> lodn</w:t>
            </w:r>
            <w:r>
              <w:rPr>
                <w:i/>
                <w:sz w:val="22"/>
                <w:szCs w:val="22"/>
              </w:rPr>
              <w:t>á</w:t>
            </w:r>
            <w:r w:rsidRPr="002411CF">
              <w:rPr>
                <w:i/>
                <w:sz w:val="22"/>
                <w:szCs w:val="22"/>
              </w:rPr>
              <w:t xml:space="preserve"> doprav</w:t>
            </w:r>
            <w:r>
              <w:rPr>
                <w:i/>
                <w:sz w:val="22"/>
                <w:szCs w:val="22"/>
              </w:rPr>
              <w:t>a.</w:t>
            </w:r>
          </w:p>
        </w:tc>
      </w:tr>
      <w:tr w:rsidR="00337789" w:rsidRPr="005C4B9C" w:rsidTr="009C2704">
        <w:trPr>
          <w:trHeight w:val="248"/>
        </w:trPr>
        <w:tc>
          <w:tcPr>
            <w:tcW w:w="9371" w:type="dxa"/>
          </w:tcPr>
          <w:p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rsidTr="009C2704">
        <w:trPr>
          <w:trHeight w:val="630"/>
        </w:trPr>
        <w:tc>
          <w:tcPr>
            <w:tcW w:w="9371" w:type="dxa"/>
          </w:tcPr>
          <w:p w:rsidR="00452251" w:rsidRPr="00452251" w:rsidRDefault="00452251" w:rsidP="00452251">
            <w:pPr>
              <w:spacing w:line="240" w:lineRule="auto"/>
              <w:rPr>
                <w:i/>
                <w:sz w:val="22"/>
                <w:szCs w:val="22"/>
              </w:rPr>
            </w:pPr>
            <w:r>
              <w:rPr>
                <w:i/>
                <w:sz w:val="22"/>
                <w:szCs w:val="22"/>
              </w:rPr>
              <w:t>---</w:t>
            </w: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9C2704">
        <w:trPr>
          <w:trHeight w:val="587"/>
        </w:trPr>
        <w:tc>
          <w:tcPr>
            <w:tcW w:w="9371" w:type="dxa"/>
          </w:tcPr>
          <w:p w:rsidR="00337789" w:rsidRPr="00452251" w:rsidRDefault="00452251" w:rsidP="007C7F8B">
            <w:pPr>
              <w:spacing w:line="240" w:lineRule="auto"/>
              <w:rPr>
                <w:i/>
                <w:sz w:val="22"/>
                <w:szCs w:val="22"/>
              </w:rPr>
            </w:pPr>
            <w:r w:rsidRPr="00452251">
              <w:rPr>
                <w:i/>
                <w:sz w:val="22"/>
                <w:szCs w:val="22"/>
              </w:rPr>
              <w:t>---</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9C2704">
        <w:trPr>
          <w:trHeight w:val="543"/>
        </w:trPr>
        <w:tc>
          <w:tcPr>
            <w:tcW w:w="9371" w:type="dxa"/>
          </w:tcPr>
          <w:p w:rsidR="00337789" w:rsidRPr="00452251" w:rsidRDefault="00452251" w:rsidP="007C7F8B">
            <w:pPr>
              <w:spacing w:line="240" w:lineRule="auto"/>
              <w:rPr>
                <w:i/>
                <w:sz w:val="22"/>
                <w:szCs w:val="22"/>
              </w:rPr>
            </w:pPr>
            <w:r w:rsidRPr="00452251">
              <w:rPr>
                <w:i/>
                <w:sz w:val="22"/>
                <w:szCs w:val="22"/>
              </w:rPr>
              <w:t>Zlepšenie dopravnej dostupnosti obyvateľov tam, kde je možné využiť sledované vodné cesty. Ide o rozvoj verejnej osobnej dopravy.</w:t>
            </w: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3F76F5">
        <w:trPr>
          <w:trHeight w:val="489"/>
        </w:trPr>
        <w:tc>
          <w:tcPr>
            <w:tcW w:w="9371" w:type="dxa"/>
          </w:tcPr>
          <w:p w:rsidR="00337789" w:rsidRPr="00452251" w:rsidRDefault="00452251" w:rsidP="007C7F8B">
            <w:pPr>
              <w:spacing w:line="240" w:lineRule="auto"/>
              <w:rPr>
                <w:i/>
                <w:sz w:val="22"/>
                <w:szCs w:val="22"/>
              </w:rPr>
            </w:pPr>
            <w:r w:rsidRPr="00452251">
              <w:rPr>
                <w:i/>
                <w:sz w:val="22"/>
                <w:szCs w:val="22"/>
              </w:rPr>
              <w:t>---</w:t>
            </w: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9C2704">
        <w:trPr>
          <w:trHeight w:val="599"/>
        </w:trPr>
        <w:tc>
          <w:tcPr>
            <w:tcW w:w="9371" w:type="dxa"/>
          </w:tcPr>
          <w:p w:rsidR="00337789" w:rsidRDefault="00452251" w:rsidP="007C7F8B">
            <w:pPr>
              <w:spacing w:line="240" w:lineRule="auto"/>
              <w:rPr>
                <w:i/>
              </w:rPr>
            </w:pPr>
            <w:r>
              <w:rPr>
                <w:i/>
              </w:rPr>
              <w:t>nie</w:t>
            </w: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rsidTr="009C2704">
        <w:trPr>
          <w:trHeight w:val="572"/>
        </w:trPr>
        <w:tc>
          <w:tcPr>
            <w:tcW w:w="9371" w:type="dxa"/>
          </w:tcPr>
          <w:p w:rsidR="00337789" w:rsidRPr="00E43AA2" w:rsidRDefault="00452251" w:rsidP="007C7F8B">
            <w:pPr>
              <w:spacing w:line="240" w:lineRule="auto"/>
              <w:rPr>
                <w:i/>
              </w:rPr>
            </w:pPr>
            <w:r>
              <w:rPr>
                <w:i/>
              </w:rPr>
              <w:t>nie</w:t>
            </w: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3F76F5">
        <w:trPr>
          <w:trHeight w:val="571"/>
        </w:trPr>
        <w:tc>
          <w:tcPr>
            <w:tcW w:w="9371" w:type="dxa"/>
          </w:tcPr>
          <w:p w:rsidR="00337789" w:rsidRDefault="00452251" w:rsidP="007C7F8B">
            <w:pPr>
              <w:spacing w:line="240" w:lineRule="auto"/>
              <w:rPr>
                <w:i/>
              </w:rPr>
            </w:pPr>
            <w:r>
              <w:rPr>
                <w:i/>
              </w:rPr>
              <w:t>nie</w:t>
            </w: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lastRenderedPageBreak/>
              <w:t xml:space="preserve">Zvýšenie </w:t>
            </w:r>
            <w:r>
              <w:rPr>
                <w:i/>
              </w:rPr>
              <w:t>nepriamych finančných nákladov</w:t>
            </w:r>
          </w:p>
        </w:tc>
      </w:tr>
      <w:tr w:rsidR="00337789" w:rsidRPr="005C4B9C" w:rsidTr="003F76F5">
        <w:trPr>
          <w:trHeight w:val="645"/>
        </w:trPr>
        <w:tc>
          <w:tcPr>
            <w:tcW w:w="9371" w:type="dxa"/>
          </w:tcPr>
          <w:p w:rsidR="00337789" w:rsidRPr="00E43AA2" w:rsidRDefault="00452251" w:rsidP="007C7F8B">
            <w:pPr>
              <w:spacing w:line="240" w:lineRule="auto"/>
              <w:rPr>
                <w:i/>
              </w:rPr>
            </w:pPr>
            <w:r>
              <w:rPr>
                <w:i/>
              </w:rPr>
              <w:t>nie</w:t>
            </w:r>
          </w:p>
        </w:tc>
      </w:tr>
      <w:tr w:rsidR="00337789" w:rsidRPr="005C4B9C" w:rsidTr="009C2704">
        <w:trPr>
          <w:trHeight w:val="388"/>
        </w:trPr>
        <w:tc>
          <w:tcPr>
            <w:tcW w:w="9371" w:type="dxa"/>
          </w:tcPr>
          <w:p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9C2704">
        <w:trPr>
          <w:trHeight w:val="703"/>
        </w:trPr>
        <w:tc>
          <w:tcPr>
            <w:tcW w:w="9371" w:type="dxa"/>
          </w:tcPr>
          <w:p w:rsidR="00337789" w:rsidRPr="00452251" w:rsidRDefault="00452251" w:rsidP="007C7F8B">
            <w:pPr>
              <w:spacing w:line="240" w:lineRule="auto"/>
              <w:rPr>
                <w:i/>
              </w:rPr>
            </w:pPr>
            <w:r w:rsidRPr="00452251">
              <w:rPr>
                <w:i/>
              </w:rPr>
              <w:t>nie</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9C2704">
        <w:trPr>
          <w:trHeight w:val="729"/>
        </w:trPr>
        <w:tc>
          <w:tcPr>
            <w:tcW w:w="9371" w:type="dxa"/>
          </w:tcPr>
          <w:p w:rsidR="00337789" w:rsidRPr="003C3251" w:rsidRDefault="00452251" w:rsidP="007C7F8B">
            <w:pPr>
              <w:spacing w:line="240" w:lineRule="auto"/>
              <w:rPr>
                <w:b/>
              </w:rPr>
            </w:pPr>
            <w:r w:rsidRPr="00452251">
              <w:rPr>
                <w:i/>
              </w:rPr>
              <w:t>nie</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337789" w:rsidRDefault="00E2660C" w:rsidP="007C7F8B">
            <w:pPr>
              <w:spacing w:line="240" w:lineRule="auto"/>
              <w:rPr>
                <w:i/>
                <w:iCs/>
                <w:sz w:val="22"/>
                <w:szCs w:val="22"/>
              </w:rPr>
            </w:pPr>
            <w:r w:rsidRPr="00E2660C">
              <w:rPr>
                <w:i/>
                <w:iCs/>
                <w:sz w:val="22"/>
                <w:szCs w:val="22"/>
              </w:rPr>
              <w:t xml:space="preserve">Občania, ktorí žijú v blízkosti sledovaných vodných ciest a ich dostupnosť za prácou, školou, lekárom, kultúrou, ... je obmedzený </w:t>
            </w:r>
            <w:r>
              <w:rPr>
                <w:i/>
                <w:iCs/>
                <w:sz w:val="22"/>
                <w:szCs w:val="22"/>
              </w:rPr>
              <w:t>vzhľadom na preťažené cesty a železničné linky.</w:t>
            </w:r>
          </w:p>
          <w:p w:rsidR="00E2660C" w:rsidRPr="00E2660C" w:rsidRDefault="00E2660C" w:rsidP="00E2660C">
            <w:pPr>
              <w:spacing w:line="240" w:lineRule="auto"/>
              <w:rPr>
                <w:i/>
                <w:iCs/>
                <w:sz w:val="22"/>
                <w:szCs w:val="22"/>
              </w:rPr>
            </w:pPr>
            <w:r>
              <w:rPr>
                <w:i/>
                <w:iCs/>
                <w:sz w:val="22"/>
                <w:szCs w:val="22"/>
              </w:rPr>
              <w:t>Čo sa týka dunajskej vodnej cesty, ktorá prechádza 2 VÚC (TTSK a BSK) tak ide o viac ako 70 tis. obyvateľov. Pre ostatné sledované vodné cesty sa prieskum nevykonal.</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9C2704">
        <w:trPr>
          <w:trHeight w:val="726"/>
        </w:trPr>
        <w:tc>
          <w:tcPr>
            <w:tcW w:w="9371" w:type="dxa"/>
          </w:tcPr>
          <w:p w:rsidR="00337789" w:rsidRPr="005C4B9C" w:rsidRDefault="00E2660C" w:rsidP="007C7F8B">
            <w:pPr>
              <w:spacing w:line="240" w:lineRule="auto"/>
              <w:rPr>
                <w:i/>
                <w:iCs/>
              </w:rPr>
            </w:pPr>
            <w:r>
              <w:rPr>
                <w:i/>
                <w:iCs/>
              </w:rPr>
              <w:t>nie</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3F76F5">
        <w:trPr>
          <w:trHeight w:val="797"/>
        </w:trPr>
        <w:tc>
          <w:tcPr>
            <w:tcW w:w="9371" w:type="dxa"/>
          </w:tcPr>
          <w:p w:rsidR="00CD477A" w:rsidRPr="00B1784E" w:rsidRDefault="00E2660C" w:rsidP="003F76F5">
            <w:pPr>
              <w:spacing w:line="240" w:lineRule="auto"/>
              <w:rPr>
                <w:i/>
                <w:iCs/>
              </w:rPr>
            </w:pPr>
            <w:r>
              <w:rPr>
                <w:i/>
                <w:iCs/>
              </w:rPr>
              <w:t>nie</w:t>
            </w: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9C2704">
        <w:trPr>
          <w:trHeight w:val="733"/>
        </w:trPr>
        <w:tc>
          <w:tcPr>
            <w:tcW w:w="9371" w:type="dxa"/>
          </w:tcPr>
          <w:p w:rsidR="00337789" w:rsidRPr="009A0164" w:rsidRDefault="009A0164" w:rsidP="003F76F5">
            <w:pPr>
              <w:spacing w:line="240" w:lineRule="auto"/>
            </w:pPr>
            <w:r w:rsidRPr="009A0164">
              <w:t>MDV SR</w:t>
            </w:r>
            <w:r w:rsidR="003F76F5">
              <w:t xml:space="preserve"> a</w:t>
            </w:r>
            <w:r w:rsidR="00BD7CE6">
              <w:t xml:space="preserve"> VÚC.</w:t>
            </w: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Nové povinnosti (identifikujte)</w:t>
            </w:r>
          </w:p>
        </w:tc>
      </w:tr>
      <w:tr w:rsidR="00337789" w:rsidRPr="005C4B9C" w:rsidTr="009C2704">
        <w:trPr>
          <w:trHeight w:val="674"/>
        </w:trPr>
        <w:tc>
          <w:tcPr>
            <w:tcW w:w="9371" w:type="dxa"/>
          </w:tcPr>
          <w:p w:rsidR="00337789" w:rsidRDefault="009A0164" w:rsidP="007C7F8B">
            <w:pPr>
              <w:spacing w:line="240" w:lineRule="auto"/>
              <w:rPr>
                <w:i/>
                <w:iCs/>
              </w:rPr>
            </w:pPr>
            <w:r>
              <w:rPr>
                <w:i/>
                <w:iCs/>
              </w:rPr>
              <w:t>Pre MDV SR – plán dopravnej obslužnosti v súčinnosti s VÚC; licencia pre verejného dopravcu.</w:t>
            </w:r>
          </w:p>
          <w:p w:rsidR="009A0164" w:rsidRPr="005C4B9C" w:rsidRDefault="003A58FA" w:rsidP="007C7F8B">
            <w:pPr>
              <w:spacing w:line="240" w:lineRule="auto"/>
              <w:rPr>
                <w:i/>
                <w:iCs/>
              </w:rPr>
            </w:pPr>
            <w:r w:rsidRPr="003A58FA">
              <w:rPr>
                <w:i/>
                <w:iCs/>
              </w:rPr>
              <w:t>Ministerstvo je</w:t>
            </w:r>
            <w:r w:rsidR="009A0164" w:rsidRPr="003A58FA">
              <w:rPr>
                <w:i/>
                <w:iCs/>
              </w:rPr>
              <w:t xml:space="preserve"> v pozícii objednávateľa dopravných služieb vo verejnom záujme  - zmluva s verejným dopravcom.</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3F76F5">
        <w:trPr>
          <w:trHeight w:val="384"/>
        </w:trPr>
        <w:tc>
          <w:tcPr>
            <w:tcW w:w="9371" w:type="dxa"/>
          </w:tcPr>
          <w:p w:rsidR="00337789" w:rsidRDefault="003F76F5" w:rsidP="007C7F8B">
            <w:pPr>
              <w:spacing w:line="240" w:lineRule="auto"/>
              <w:rPr>
                <w:i/>
                <w:iCs/>
              </w:rPr>
            </w:pPr>
            <w:r>
              <w:rPr>
                <w:i/>
                <w:iCs/>
              </w:rPr>
              <w:t>N</w:t>
            </w:r>
            <w:r w:rsidR="009A0164">
              <w:rPr>
                <w:i/>
                <w:iCs/>
              </w:rPr>
              <w:t>ie</w:t>
            </w:r>
          </w:p>
          <w:p w:rsidR="003F76F5" w:rsidRPr="00B1784E" w:rsidRDefault="003F76F5" w:rsidP="007C7F8B">
            <w:pPr>
              <w:spacing w:line="240" w:lineRule="auto"/>
              <w:rPr>
                <w:i/>
                <w:iCs/>
              </w:rPr>
            </w:pPr>
          </w:p>
        </w:tc>
      </w:tr>
    </w:tbl>
    <w:p w:rsidR="006821D1" w:rsidRDefault="006821D1" w:rsidP="007C7F8B">
      <w:pPr>
        <w:pStyle w:val="Odsekzoznamu"/>
        <w:autoSpaceDE w:val="0"/>
        <w:autoSpaceDN w:val="0"/>
        <w:spacing w:line="240" w:lineRule="auto"/>
        <w:contextualSpacing/>
        <w:rPr>
          <w:rFonts w:eastAsia="Calibri"/>
          <w:bCs/>
          <w:color w:val="000000"/>
          <w:lang w:eastAsia="en-US"/>
        </w:rPr>
      </w:pPr>
      <w:bookmarkStart w:id="0" w:name="_GoBack"/>
      <w:bookmarkEnd w:id="0"/>
    </w:p>
    <w:sectPr w:rsidR="006821D1" w:rsidSect="00033F71">
      <w:headerReference w:type="default" r:id="rId9"/>
      <w:footerReference w:type="default" r:id="rId10"/>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94" w:rsidRDefault="005A4B94">
      <w:r>
        <w:separator/>
      </w:r>
    </w:p>
  </w:endnote>
  <w:endnote w:type="continuationSeparator" w:id="0">
    <w:p w:rsidR="005A4B94" w:rsidRDefault="005A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71" w:rsidRDefault="005A4B94">
    <w:pPr>
      <w:pStyle w:val="Pta"/>
      <w:jc w:val="right"/>
    </w:pPr>
    <w:r>
      <w:fldChar w:fldCharType="begin"/>
    </w:r>
    <w:r>
      <w:instrText>PAGE   \* MERGEFORMAT</w:instrText>
    </w:r>
    <w:r>
      <w:fldChar w:fldCharType="separate"/>
    </w:r>
    <w:r w:rsidR="00F12595">
      <w:rPr>
        <w:noProof/>
      </w:rPr>
      <w:t>2</w:t>
    </w:r>
    <w:r>
      <w:rPr>
        <w:noProof/>
      </w:rPr>
      <w:fldChar w:fldCharType="end"/>
    </w:r>
  </w:p>
  <w:p w:rsidR="009C2704" w:rsidRPr="00DA3A35" w:rsidRDefault="009C2704" w:rsidP="00F15AB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94" w:rsidRDefault="005A4B94">
      <w:r>
        <w:separator/>
      </w:r>
    </w:p>
  </w:footnote>
  <w:footnote w:type="continuationSeparator" w:id="0">
    <w:p w:rsidR="005A4B94" w:rsidRDefault="005A4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6E" w:rsidRDefault="0090556E" w:rsidP="0090556E">
    <w:pPr>
      <w:pStyle w:val="Hlavika"/>
      <w:jc w:val="right"/>
    </w:pPr>
    <w:r>
      <w:t>Príloha č.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1CF"/>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58FA"/>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6F5"/>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251"/>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4B94"/>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07A55"/>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164"/>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D7CE6"/>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115"/>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660C"/>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595"/>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style>
  <w:style w:type="character" w:customStyle="1" w:styleId="paraChar">
    <w:name w:val="para Char"/>
    <w:link w:val="para"/>
    <w:rsid w:val="00AB5E7C"/>
    <w:rPr>
      <w:rFonts w:eastAsia="MS Mincho"/>
      <w:sz w:val="22"/>
      <w:szCs w:val="24"/>
      <w:lang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style>
  <w:style w:type="character" w:customStyle="1" w:styleId="paraChar">
    <w:name w:val="para Char"/>
    <w:link w:val="para"/>
    <w:rsid w:val="00AB5E7C"/>
    <w:rPr>
      <w:rFonts w:eastAsia="MS Mincho"/>
      <w:sz w:val="22"/>
      <w:szCs w:val="24"/>
      <w:lang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4638B-40D3-4249-88C3-87BD6FF1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2556</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2938</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Csöböková, Silvia</cp:lastModifiedBy>
  <cp:revision>2</cp:revision>
  <cp:lastPrinted>2019-08-18T12:03:00Z</cp:lastPrinted>
  <dcterms:created xsi:type="dcterms:W3CDTF">2019-09-20T06:27:00Z</dcterms:created>
  <dcterms:modified xsi:type="dcterms:W3CDTF">2019-09-20T06:27:00Z</dcterms:modified>
</cp:coreProperties>
</file>