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0163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016377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0163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016377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016377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016377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D83B36" w:rsidP="000163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163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016377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016377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163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016377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016377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16377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016377">
            <w:pPr>
              <w:rPr>
                <w:b/>
              </w:rPr>
            </w:pPr>
          </w:p>
        </w:tc>
      </w:tr>
      <w:tr w:rsidR="009F2DFA" w:rsidRPr="00F04CCD" w:rsidTr="0001637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163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016377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1637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4C612F">
        <w:trPr>
          <w:trHeight w:val="523"/>
        </w:trPr>
        <w:tc>
          <w:tcPr>
            <w:tcW w:w="9212" w:type="dxa"/>
            <w:tcBorders>
              <w:bottom w:val="single" w:sz="4" w:space="0" w:color="auto"/>
            </w:tcBorders>
          </w:tcPr>
          <w:p w:rsidR="00D83B36" w:rsidRPr="00F04CCD" w:rsidRDefault="00B25538" w:rsidP="0094160B">
            <w:pPr>
              <w:rPr>
                <w:i/>
              </w:rPr>
            </w:pPr>
            <w:r>
              <w:rPr>
                <w:i/>
              </w:rPr>
              <w:t>L</w:t>
            </w:r>
            <w:r w:rsidR="0094160B">
              <w:rPr>
                <w:i/>
              </w:rPr>
              <w:t>odné spoločnosti = verejný/í dopravca/</w:t>
            </w:r>
            <w:proofErr w:type="spellStart"/>
            <w:r w:rsidR="0094160B">
              <w:rPr>
                <w:i/>
              </w:rPr>
              <w:t>ovia</w:t>
            </w:r>
            <w:proofErr w:type="spellEnd"/>
            <w:r w:rsidR="0094160B">
              <w:rPr>
                <w:i/>
              </w:rPr>
              <w:t>;</w:t>
            </w:r>
            <w:r w:rsidR="00075F4F">
              <w:rPr>
                <w:i/>
              </w:rPr>
              <w:t xml:space="preserve"> ich </w:t>
            </w:r>
            <w:r w:rsidR="00E21921">
              <w:rPr>
                <w:i/>
              </w:rPr>
              <w:t xml:space="preserve">počet </w:t>
            </w:r>
            <w:r w:rsidR="0094160B">
              <w:rPr>
                <w:i/>
              </w:rPr>
              <w:t xml:space="preserve">v súčasnosti </w:t>
            </w:r>
            <w:r w:rsidR="0094160B" w:rsidRPr="0094160B">
              <w:rPr>
                <w:i/>
              </w:rPr>
              <w:t>nie je možné stanoviť bez plánu dopravnej obslužnosti územia</w:t>
            </w:r>
            <w:r w:rsidR="0094160B">
              <w:rPr>
                <w:i/>
              </w:rPr>
              <w:t>.</w:t>
            </w:r>
          </w:p>
        </w:tc>
      </w:tr>
      <w:tr w:rsidR="009F2DFA" w:rsidRPr="00F04CCD" w:rsidTr="00016377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0163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016377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16377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01637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075F4F" w:rsidRDefault="00075F4F" w:rsidP="00016377">
            <w:pPr>
              <w:jc w:val="both"/>
              <w:rPr>
                <w:i/>
              </w:rPr>
            </w:pPr>
            <w:r>
              <w:rPr>
                <w:i/>
              </w:rPr>
              <w:t>Základom pre stanovenie pozitívnych vplyvov na podnikateľské prostredie je štúdi</w:t>
            </w:r>
            <w:r w:rsidR="00B25538">
              <w:rPr>
                <w:i/>
              </w:rPr>
              <w:t>a</w:t>
            </w:r>
            <w:r>
              <w:rPr>
                <w:i/>
              </w:rPr>
              <w:t xml:space="preserve"> realizovateľnosti pravidelnej osobnej lodnej dopravy po Dunaji </w:t>
            </w:r>
            <w:proofErr w:type="spellStart"/>
            <w:r>
              <w:rPr>
                <w:i/>
              </w:rPr>
              <w:t>Dunajbus</w:t>
            </w:r>
            <w:proofErr w:type="spellEnd"/>
            <w:r>
              <w:rPr>
                <w:i/>
              </w:rPr>
              <w:t>. Štúdia realizovateľnosti sa tvorí približne 10 mesiacov, súčasťou štúdie realizovateľnosti je analýza dopytu, ktorá pozostáva s anketového prieskumu možného záujmu verejnosti o pravidelnú osobnú dopravu a bol vytvorený dopravný model v dopravnom softvéri PTV VISUM. V rámci uvedenej štúdie realizovateľnosti bola taktiež vykonaná analýza ponuky, z ktorej jednoznačné vyplynulo, že linka osobnej lodnej dopra</w:t>
            </w:r>
            <w:r w:rsidR="00B25538">
              <w:rPr>
                <w:i/>
              </w:rPr>
              <w:t>vy má výhody oproti konkurenčným</w:t>
            </w:r>
            <w:r>
              <w:rPr>
                <w:i/>
              </w:rPr>
              <w:t xml:space="preserve"> dopravným sieťam, najmä z pohľadu času dopravy.</w:t>
            </w:r>
          </w:p>
          <w:p w:rsidR="009F2DFA" w:rsidRDefault="00075F4F" w:rsidP="00016377">
            <w:pPr>
              <w:jc w:val="both"/>
              <w:rPr>
                <w:i/>
              </w:rPr>
            </w:pPr>
            <w:r>
              <w:rPr>
                <w:i/>
              </w:rPr>
              <w:t xml:space="preserve">Hlavným riešiteľom štúdie realizovateľnosti je </w:t>
            </w:r>
            <w:r w:rsidR="00777C24">
              <w:rPr>
                <w:i/>
              </w:rPr>
              <w:t>PRO DANUBIA – Združenie obcí pre miestnu dopravu po Dunaji, cielené konzultácie, získanie uceleného pohľadu z hľadiska možných vplyvov.</w:t>
            </w:r>
          </w:p>
          <w:p w:rsidR="00777C24" w:rsidRPr="00F04CCD" w:rsidRDefault="00777C24" w:rsidP="00777C24">
            <w:pPr>
              <w:rPr>
                <w:i/>
              </w:rPr>
            </w:pPr>
          </w:p>
        </w:tc>
      </w:tr>
      <w:tr w:rsidR="009F2DFA" w:rsidRPr="00F04CCD" w:rsidTr="0001637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163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016377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1637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163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016377"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016377" w:rsidP="0001637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Áno </w:t>
            </w:r>
            <w:r w:rsidRPr="00016377">
              <w:rPr>
                <w:i/>
              </w:rPr>
              <w:t>– oproti podnikaniu dopravcu vo vodnej doprave</w:t>
            </w:r>
            <w:r>
              <w:rPr>
                <w:i/>
              </w:rPr>
              <w:t>, ktorý podniká vo vnútroštátnej preprave osôb bude mať verejný dopravca pri vybavovaní licencie na podnikanie výdavok vo výške 995,50 € a musí byť finančne spôsobilý počas celého času podnikania, a to vo výške aspoň 5000 € na každé plavidlo používané pri tomto podnikaní.</w:t>
            </w:r>
            <w:r w:rsidRPr="00F04CCD">
              <w:rPr>
                <w:b/>
                <w:i/>
              </w:rPr>
              <w:t xml:space="preserve"> </w:t>
            </w:r>
          </w:p>
          <w:p w:rsidR="001B2564" w:rsidRPr="001B2564" w:rsidRDefault="001B2564" w:rsidP="00016377">
            <w:pPr>
              <w:jc w:val="both"/>
              <w:rPr>
                <w:i/>
              </w:rPr>
            </w:pPr>
            <w:r>
              <w:rPr>
                <w:i/>
              </w:rPr>
              <w:t xml:space="preserve">Ako príklad na výpočet možno použiť trasu </w:t>
            </w:r>
            <w:r w:rsidRPr="001B2564">
              <w:rPr>
                <w:i/>
              </w:rPr>
              <w:t>Šamorín – Bratislava</w:t>
            </w:r>
            <w:r>
              <w:rPr>
                <w:i/>
              </w:rPr>
              <w:t xml:space="preserve">, kde </w:t>
            </w:r>
            <w:r w:rsidRPr="001B2564">
              <w:rPr>
                <w:i/>
              </w:rPr>
              <w:t>sa počíta s využitím 7 osobných lodí</w:t>
            </w:r>
            <w:r w:rsidR="006B4C8E">
              <w:rPr>
                <w:i/>
              </w:rPr>
              <w:t>, tzn. ž</w:t>
            </w:r>
            <w:r>
              <w:rPr>
                <w:i/>
              </w:rPr>
              <w:t>e verejný dopravca so 7osobnými loďami by mal mať na zabezpečenie finančnej spôsobilosti k dispozícii (7 x 5000 € =) 35 000 €.</w:t>
            </w:r>
          </w:p>
          <w:p w:rsidR="00016377" w:rsidRDefault="00016377" w:rsidP="00962346">
            <w:pPr>
              <w:jc w:val="both"/>
              <w:rPr>
                <w:i/>
              </w:rPr>
            </w:pPr>
            <w:r w:rsidRPr="00016377">
              <w:rPr>
                <w:i/>
              </w:rPr>
              <w:t>Poplatok za licenciu určuje položka 9</w:t>
            </w:r>
            <w:r w:rsidR="00962346">
              <w:rPr>
                <w:i/>
              </w:rPr>
              <w:t>5 písm. n) zákona č. 145/1995 Z. z. o správnych poplatkoch v znení neskorších predpisov.</w:t>
            </w:r>
          </w:p>
          <w:p w:rsidR="001B2564" w:rsidRPr="00016377" w:rsidRDefault="001B2564" w:rsidP="00962346">
            <w:pPr>
              <w:jc w:val="both"/>
              <w:rPr>
                <w:i/>
              </w:rPr>
            </w:pPr>
          </w:p>
        </w:tc>
      </w:tr>
      <w:tr w:rsidR="009F2DFA" w:rsidRPr="00F04CCD" w:rsidTr="0001637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163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01637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016377" w:rsidRDefault="00016377" w:rsidP="00016377">
            <w:pPr>
              <w:jc w:val="both"/>
              <w:rPr>
                <w:i/>
              </w:rPr>
            </w:pPr>
            <w:r>
              <w:rPr>
                <w:b/>
                <w:i/>
              </w:rPr>
              <w:t>N</w:t>
            </w:r>
            <w:r w:rsidR="00E61550" w:rsidRPr="004C612F">
              <w:rPr>
                <w:b/>
                <w:i/>
              </w:rPr>
              <w:t>ie</w:t>
            </w:r>
            <w:r>
              <w:rPr>
                <w:b/>
                <w:i/>
              </w:rPr>
              <w:t xml:space="preserve"> </w:t>
            </w:r>
            <w:r w:rsidRPr="00016377">
              <w:rPr>
                <w:i/>
              </w:rPr>
              <w:t xml:space="preserve">- oproti podnikaniu </w:t>
            </w:r>
            <w:r w:rsidR="001B2564">
              <w:rPr>
                <w:i/>
              </w:rPr>
              <w:t xml:space="preserve">„klasického“ </w:t>
            </w:r>
            <w:r w:rsidRPr="00016377">
              <w:rPr>
                <w:i/>
              </w:rPr>
              <w:t xml:space="preserve">dopravcu vo vodnej doprave nepríde k žiadnemu navýšeniu/zníženiu </w:t>
            </w:r>
            <w:r>
              <w:rPr>
                <w:i/>
              </w:rPr>
              <w:t>ne</w:t>
            </w:r>
            <w:r w:rsidRPr="00016377">
              <w:rPr>
                <w:i/>
              </w:rPr>
              <w:t>priamych finančných nákladov verejnému dopravcovi</w:t>
            </w:r>
            <w:r>
              <w:rPr>
                <w:i/>
              </w:rPr>
              <w:t>.</w:t>
            </w:r>
          </w:p>
          <w:p w:rsidR="009F2DFA" w:rsidRPr="004C612F" w:rsidRDefault="009F2DFA" w:rsidP="00016377">
            <w:pPr>
              <w:rPr>
                <w:b/>
                <w:i/>
              </w:rPr>
            </w:pPr>
          </w:p>
        </w:tc>
      </w:tr>
      <w:tr w:rsidR="009F2DFA" w:rsidRPr="00F04CCD" w:rsidTr="0001637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163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4C612F">
        <w:trPr>
          <w:trHeight w:val="190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B25538" w:rsidRDefault="00B25538" w:rsidP="004C612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C612F">
              <w:rPr>
                <w:b/>
                <w:i/>
              </w:rPr>
              <w:lastRenderedPageBreak/>
              <w:t>Áno</w:t>
            </w:r>
            <w:r w:rsidRPr="00B25538">
              <w:rPr>
                <w:i/>
              </w:rPr>
              <w:t xml:space="preserve"> – podľa návrhu </w:t>
            </w:r>
            <w:r>
              <w:rPr>
                <w:i/>
              </w:rPr>
              <w:t>v</w:t>
            </w:r>
            <w:r w:rsidRPr="00B25538">
              <w:rPr>
                <w:i/>
              </w:rPr>
              <w:t>erejný dopravca, ktorý uzatvor</w:t>
            </w:r>
            <w:r>
              <w:rPr>
                <w:i/>
              </w:rPr>
              <w:t>í</w:t>
            </w:r>
            <w:r w:rsidRPr="00B25538">
              <w:rPr>
                <w:i/>
              </w:rPr>
              <w:t xml:space="preserve"> zmluvu o dopravných službách </w:t>
            </w:r>
            <w:r>
              <w:rPr>
                <w:i/>
              </w:rPr>
              <w:t>bude</w:t>
            </w:r>
            <w:r w:rsidRPr="00B25538">
              <w:rPr>
                <w:i/>
              </w:rPr>
              <w:t xml:space="preserve"> povinný poskytnúť objednávateľovi prevádzkové údaje o dopravných službách vo verejnom záu</w:t>
            </w:r>
            <w:r>
              <w:rPr>
                <w:i/>
              </w:rPr>
              <w:t xml:space="preserve">jme, </w:t>
            </w:r>
            <w:r w:rsidR="004C612F">
              <w:rPr>
                <w:i/>
              </w:rPr>
              <w:t>v</w:t>
            </w:r>
            <w:r w:rsidR="004C612F" w:rsidRPr="004C612F">
              <w:rPr>
                <w:i/>
              </w:rPr>
              <w:t xml:space="preserve">erejný dopravca je povinný viesť evidenciu nákladov a výnosov z poskytovania dopravných služieb vo verejnom záujme ako záväzku zo zmluvy o dopravných službách oddelene od ostatných poskytovaných dopravných </w:t>
            </w:r>
            <w:r w:rsidR="004C612F">
              <w:rPr>
                <w:i/>
              </w:rPr>
              <w:t>služieb a p</w:t>
            </w:r>
            <w:r w:rsidR="004C612F" w:rsidRPr="004C612F">
              <w:rPr>
                <w:i/>
              </w:rPr>
              <w:t>o skončení kalendárneho roka objednávateľ a verejný dopravca vykonajú celkové zúčtovanie na základe vyhodnotenia plnenia záväzku dohodnutého v zmluve o dopravných službách.</w:t>
            </w:r>
          </w:p>
          <w:p w:rsidR="009F2DFA" w:rsidRPr="00B25538" w:rsidRDefault="009F2DFA" w:rsidP="00016377">
            <w:pPr>
              <w:rPr>
                <w:i/>
              </w:rPr>
            </w:pPr>
          </w:p>
          <w:p w:rsidR="00D141DB" w:rsidRDefault="00D141DB" w:rsidP="00D141DB">
            <w:pPr>
              <w:rPr>
                <w:i/>
              </w:rPr>
            </w:pPr>
            <w:r w:rsidRPr="00D141DB">
              <w:rPr>
                <w:i/>
                <w:u w:val="single"/>
              </w:rPr>
              <w:t>Výpočet</w:t>
            </w:r>
            <w:r>
              <w:rPr>
                <w:i/>
              </w:rPr>
              <w:t>:  čas x tarifa x frekvencia</w:t>
            </w:r>
            <w:r w:rsidR="00C621B2">
              <w:rPr>
                <w:i/>
              </w:rPr>
              <w:t xml:space="preserve"> - vzorec</w:t>
            </w:r>
          </w:p>
          <w:p w:rsidR="00C621B2" w:rsidRDefault="00C621B2" w:rsidP="00D141DB">
            <w:pPr>
              <w:rPr>
                <w:i/>
              </w:rPr>
            </w:pPr>
          </w:p>
          <w:p w:rsidR="00D141DB" w:rsidRPr="00D141DB" w:rsidRDefault="00D141DB" w:rsidP="00C621B2">
            <w:pPr>
              <w:jc w:val="both"/>
              <w:rPr>
                <w:i/>
              </w:rPr>
            </w:pPr>
            <w:r w:rsidRPr="00D141DB">
              <w:rPr>
                <w:b/>
                <w:i/>
              </w:rPr>
              <w:t>Priemerná hrubá mesačná mzda v hospodárstve SR</w:t>
            </w:r>
            <w:r w:rsidRPr="00D141DB">
              <w:rPr>
                <w:i/>
              </w:rPr>
              <w:t xml:space="preserve"> za 1. – </w:t>
            </w:r>
            <w:r>
              <w:rPr>
                <w:i/>
              </w:rPr>
              <w:t>2</w:t>
            </w:r>
            <w:r w:rsidRPr="00D141DB">
              <w:rPr>
                <w:i/>
              </w:rPr>
              <w:t xml:space="preserve">. Q. </w:t>
            </w:r>
            <w:r w:rsidRPr="00D141DB">
              <w:rPr>
                <w:b/>
                <w:i/>
              </w:rPr>
              <w:t>2019</w:t>
            </w:r>
            <w:r w:rsidRPr="00D141DB">
              <w:rPr>
                <w:i/>
              </w:rPr>
              <w:t xml:space="preserve"> </w:t>
            </w:r>
            <w:r>
              <w:rPr>
                <w:i/>
              </w:rPr>
              <w:t>je</w:t>
            </w:r>
            <w:r w:rsidRPr="00D141DB">
              <w:rPr>
                <w:i/>
              </w:rPr>
              <w:t xml:space="preserve"> podľa ŠÚ SR vo výške </w:t>
            </w:r>
            <w:r w:rsidRPr="00D141DB">
              <w:rPr>
                <w:b/>
                <w:i/>
              </w:rPr>
              <w:t>1062 €.</w:t>
            </w:r>
            <w:r w:rsidR="00C621B2">
              <w:rPr>
                <w:i/>
              </w:rPr>
              <w:t xml:space="preserve"> </w:t>
            </w:r>
            <w:r w:rsidRPr="00D141DB">
              <w:rPr>
                <w:i/>
              </w:rPr>
              <w:t xml:space="preserve">Potom </w:t>
            </w:r>
            <w:r w:rsidRPr="00D141DB">
              <w:rPr>
                <w:b/>
                <w:i/>
              </w:rPr>
              <w:t>priemerná hrubá hodinová mzda</w:t>
            </w:r>
            <w:r w:rsidRPr="00D141DB">
              <w:rPr>
                <w:i/>
              </w:rPr>
              <w:t xml:space="preserve"> v hospodárstve SR </w:t>
            </w:r>
            <w:r w:rsidRPr="00D141DB">
              <w:rPr>
                <w:b/>
                <w:i/>
              </w:rPr>
              <w:t>(tarifa)</w:t>
            </w:r>
            <w:r w:rsidRPr="00D141DB">
              <w:rPr>
                <w:i/>
              </w:rPr>
              <w:t xml:space="preserve"> sa vypočíta ako podiel priemernej hrubej me</w:t>
            </w:r>
            <w:r>
              <w:rPr>
                <w:i/>
              </w:rPr>
              <w:t>sačnej mzdy v hospodárstve SR (1062</w:t>
            </w:r>
            <w:r w:rsidRPr="00D141DB">
              <w:rPr>
                <w:i/>
              </w:rPr>
              <w:t xml:space="preserve"> €) s priemerným počtom pracovných hodín pripadajúcich v roku na 1 mesiac (</w:t>
            </w:r>
            <w:r>
              <w:rPr>
                <w:i/>
              </w:rPr>
              <w:t>1062</w:t>
            </w:r>
            <w:r w:rsidRPr="00D141DB">
              <w:rPr>
                <w:i/>
              </w:rPr>
              <w:t xml:space="preserve"> € / 173,92 hod. =) </w:t>
            </w:r>
            <w:r w:rsidRPr="00C621B2">
              <w:rPr>
                <w:b/>
                <w:i/>
              </w:rPr>
              <w:t>6,10 € / hod.</w:t>
            </w:r>
          </w:p>
          <w:p w:rsidR="00D141DB" w:rsidRDefault="00D141DB" w:rsidP="00D141DB">
            <w:pPr>
              <w:rPr>
                <w:i/>
              </w:rPr>
            </w:pPr>
          </w:p>
          <w:p w:rsidR="00D141DB" w:rsidRDefault="00D141DB" w:rsidP="00D141DB">
            <w:pPr>
              <w:rPr>
                <w:i/>
              </w:rPr>
            </w:pPr>
            <w:r>
              <w:rPr>
                <w:i/>
              </w:rPr>
              <w:t>Archivácia: 1,5 h x 6,10 €/h x 1 = 9,15 €</w:t>
            </w:r>
          </w:p>
          <w:p w:rsidR="00D141DB" w:rsidRDefault="00D141DB" w:rsidP="00D141DB">
            <w:pPr>
              <w:rPr>
                <w:i/>
              </w:rPr>
            </w:pPr>
            <w:r>
              <w:rPr>
                <w:i/>
              </w:rPr>
              <w:t>Evidencia: 8 h x 6,10 €/h x 12 = 585,60 €</w:t>
            </w:r>
          </w:p>
          <w:p w:rsidR="00D141DB" w:rsidRDefault="00D141DB" w:rsidP="00D141DB">
            <w:pPr>
              <w:rPr>
                <w:i/>
              </w:rPr>
            </w:pPr>
            <w:r>
              <w:rPr>
                <w:i/>
              </w:rPr>
              <w:t xml:space="preserve">Inventarizácia: 12 h x 6,10 €/h x 0,1 = </w:t>
            </w:r>
            <w:r w:rsidR="00B34FCC">
              <w:rPr>
                <w:i/>
              </w:rPr>
              <w:t>7,32 €</w:t>
            </w:r>
          </w:p>
          <w:p w:rsidR="00D141DB" w:rsidRDefault="00D141DB" w:rsidP="00D141DB">
            <w:pPr>
              <w:rPr>
                <w:i/>
              </w:rPr>
            </w:pPr>
            <w:r>
              <w:rPr>
                <w:i/>
              </w:rPr>
              <w:t>Oznámenia: 12 h x 6,10 €/h x 0,1 =</w:t>
            </w:r>
            <w:r w:rsidR="00B34FCC">
              <w:rPr>
                <w:i/>
              </w:rPr>
              <w:t xml:space="preserve"> 7,32 €</w:t>
            </w:r>
          </w:p>
          <w:p w:rsidR="00D141DB" w:rsidRDefault="00D141DB" w:rsidP="00D141DB">
            <w:pPr>
              <w:rPr>
                <w:i/>
              </w:rPr>
            </w:pPr>
            <w:r>
              <w:rPr>
                <w:i/>
              </w:rPr>
              <w:t xml:space="preserve">Poskytovanie súčinnosti: 1,66 h x </w:t>
            </w:r>
            <w:r w:rsidR="00B34FCC">
              <w:rPr>
                <w:i/>
              </w:rPr>
              <w:t>6,10 €/h x 2 = 20,25 €</w:t>
            </w:r>
          </w:p>
          <w:p w:rsidR="00B34FCC" w:rsidRDefault="00B34FCC" w:rsidP="00D141DB">
            <w:pPr>
              <w:rPr>
                <w:i/>
              </w:rPr>
            </w:pPr>
            <w:r>
              <w:rPr>
                <w:i/>
              </w:rPr>
              <w:t>Predkladanie dokladov elektronicky: 0,5 h x 6,10 €/h x 4 = 12,20 €</w:t>
            </w:r>
          </w:p>
          <w:p w:rsidR="00B34FCC" w:rsidRDefault="00B34FCC" w:rsidP="00B34FCC">
            <w:pPr>
              <w:rPr>
                <w:i/>
              </w:rPr>
            </w:pPr>
            <w:r>
              <w:rPr>
                <w:i/>
              </w:rPr>
              <w:t>Predkladanie dokladov papierovo: 0,83 h x 6,10 €/h x 4 = 20,25 €</w:t>
            </w:r>
          </w:p>
          <w:p w:rsidR="00B34FCC" w:rsidRDefault="00B34FCC" w:rsidP="00B34FCC">
            <w:pPr>
              <w:rPr>
                <w:i/>
              </w:rPr>
            </w:pPr>
            <w:r>
              <w:rPr>
                <w:i/>
              </w:rPr>
              <w:t>Vypracovanie správy: 16 h x 6,10 €/h x 2 = 195,20 €</w:t>
            </w:r>
          </w:p>
          <w:p w:rsidR="00B34FCC" w:rsidRDefault="00B34FCC" w:rsidP="00D141DB">
            <w:pPr>
              <w:rPr>
                <w:i/>
              </w:rPr>
            </w:pPr>
            <w:r>
              <w:rPr>
                <w:i/>
              </w:rPr>
              <w:t>Vypracovanie návrhu/žiadosti: 4 h x 6,10 €/h x 1 = 24,40 €</w:t>
            </w:r>
          </w:p>
          <w:p w:rsidR="009F2DFA" w:rsidRPr="00B25538" w:rsidRDefault="009F2DFA" w:rsidP="00016377">
            <w:pPr>
              <w:rPr>
                <w:i/>
              </w:rPr>
            </w:pPr>
          </w:p>
        </w:tc>
      </w:tr>
      <w:tr w:rsidR="009F2DFA" w:rsidRPr="00F04CCD" w:rsidTr="00C621B2">
        <w:trPr>
          <w:trHeight w:val="2923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16377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016377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016377">
              <w:tc>
                <w:tcPr>
                  <w:tcW w:w="2993" w:type="dxa"/>
                </w:tcPr>
                <w:p w:rsidR="009F2DFA" w:rsidRPr="00F04CCD" w:rsidRDefault="009F2DFA" w:rsidP="00016377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C621B2" w:rsidRDefault="009F2DFA" w:rsidP="00016377">
                  <w:pPr>
                    <w:jc w:val="center"/>
                    <w:rPr>
                      <w:b/>
                      <w:i/>
                    </w:rPr>
                  </w:pPr>
                  <w:r w:rsidRPr="00C621B2">
                    <w:rPr>
                      <w:b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C621B2" w:rsidRDefault="009F2DFA" w:rsidP="00016377">
                  <w:pPr>
                    <w:jc w:val="center"/>
                    <w:rPr>
                      <w:b/>
                      <w:i/>
                      <w:highlight w:val="yellow"/>
                    </w:rPr>
                  </w:pPr>
                  <w:r w:rsidRPr="00C621B2">
                    <w:rPr>
                      <w:b/>
                      <w:i/>
                    </w:rPr>
                    <w:t>Náklady na celé podnikateľské prostredie</w:t>
                  </w:r>
                </w:p>
              </w:tc>
            </w:tr>
            <w:tr w:rsidR="009F2DFA" w:rsidRPr="0094160B" w:rsidTr="00016377">
              <w:tc>
                <w:tcPr>
                  <w:tcW w:w="2993" w:type="dxa"/>
                </w:tcPr>
                <w:p w:rsidR="009F2DFA" w:rsidRPr="0094160B" w:rsidRDefault="009F2DFA" w:rsidP="00016377">
                  <w:pPr>
                    <w:rPr>
                      <w:i/>
                    </w:rPr>
                  </w:pPr>
                  <w:r w:rsidRPr="0094160B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94160B" w:rsidRDefault="001B2564" w:rsidP="00B34FCC">
                  <w:pPr>
                    <w:jc w:val="right"/>
                    <w:rPr>
                      <w:i/>
                    </w:rPr>
                  </w:pPr>
                  <w:r w:rsidRPr="0094160B">
                    <w:rPr>
                      <w:i/>
                    </w:rPr>
                    <w:t>35 995,50</w:t>
                  </w:r>
                  <w:r w:rsidR="00B34FCC" w:rsidRPr="0094160B">
                    <w:rPr>
                      <w:i/>
                    </w:rPr>
                    <w:t xml:space="preserve"> €</w:t>
                  </w:r>
                </w:p>
              </w:tc>
              <w:tc>
                <w:tcPr>
                  <w:tcW w:w="2994" w:type="dxa"/>
                </w:tcPr>
                <w:p w:rsidR="009F2DFA" w:rsidRPr="0094160B" w:rsidRDefault="00A06AF3" w:rsidP="00B34FCC">
                  <w:pPr>
                    <w:jc w:val="right"/>
                    <w:rPr>
                      <w:i/>
                    </w:rPr>
                  </w:pPr>
                  <w:r w:rsidRPr="0094160B">
                    <w:rPr>
                      <w:i/>
                    </w:rPr>
                    <w:t>Nie je možné stanoviť bez plánu dopravnej obslužnosti územia.</w:t>
                  </w:r>
                </w:p>
              </w:tc>
            </w:tr>
            <w:tr w:rsidR="009F2DFA" w:rsidRPr="0094160B" w:rsidTr="00016377">
              <w:tc>
                <w:tcPr>
                  <w:tcW w:w="2993" w:type="dxa"/>
                </w:tcPr>
                <w:p w:rsidR="009F2DFA" w:rsidRPr="0094160B" w:rsidRDefault="009F2DFA" w:rsidP="00016377">
                  <w:pPr>
                    <w:rPr>
                      <w:i/>
                    </w:rPr>
                  </w:pPr>
                  <w:r w:rsidRPr="0094160B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94160B" w:rsidRDefault="009F2DFA" w:rsidP="00B34FCC">
                  <w:pPr>
                    <w:jc w:val="right"/>
                    <w:rPr>
                      <w:i/>
                    </w:rPr>
                  </w:pPr>
                  <w:r w:rsidRPr="0094160B">
                    <w:rPr>
                      <w:i/>
                    </w:rPr>
                    <w:t>0</w:t>
                  </w:r>
                  <w:r w:rsidR="00B34FCC" w:rsidRPr="0094160B">
                    <w:rPr>
                      <w:i/>
                    </w:rPr>
                    <w:t>,00 €</w:t>
                  </w:r>
                </w:p>
              </w:tc>
              <w:tc>
                <w:tcPr>
                  <w:tcW w:w="2994" w:type="dxa"/>
                </w:tcPr>
                <w:p w:rsidR="009F2DFA" w:rsidRPr="0094160B" w:rsidRDefault="009F2DFA" w:rsidP="00B34FCC">
                  <w:pPr>
                    <w:jc w:val="right"/>
                    <w:rPr>
                      <w:i/>
                    </w:rPr>
                  </w:pPr>
                  <w:r w:rsidRPr="0094160B">
                    <w:rPr>
                      <w:i/>
                    </w:rPr>
                    <w:t>0</w:t>
                  </w:r>
                  <w:r w:rsidR="005C273C" w:rsidRPr="0094160B">
                    <w:rPr>
                      <w:i/>
                    </w:rPr>
                    <w:t>,00 €</w:t>
                  </w:r>
                </w:p>
              </w:tc>
            </w:tr>
            <w:tr w:rsidR="009F2DFA" w:rsidRPr="0094160B" w:rsidTr="00016377">
              <w:tc>
                <w:tcPr>
                  <w:tcW w:w="2993" w:type="dxa"/>
                </w:tcPr>
                <w:p w:rsidR="009F2DFA" w:rsidRPr="0094160B" w:rsidRDefault="009F2DFA" w:rsidP="00016377">
                  <w:pPr>
                    <w:rPr>
                      <w:i/>
                    </w:rPr>
                  </w:pPr>
                  <w:r w:rsidRPr="0094160B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94160B" w:rsidRDefault="00B34FCC" w:rsidP="00B34FCC">
                  <w:pPr>
                    <w:jc w:val="right"/>
                    <w:rPr>
                      <w:i/>
                    </w:rPr>
                  </w:pPr>
                  <w:r w:rsidRPr="0094160B">
                    <w:rPr>
                      <w:i/>
                    </w:rPr>
                    <w:t>881,69 €</w:t>
                  </w:r>
                </w:p>
              </w:tc>
              <w:tc>
                <w:tcPr>
                  <w:tcW w:w="2994" w:type="dxa"/>
                </w:tcPr>
                <w:p w:rsidR="009F2DFA" w:rsidRPr="0094160B" w:rsidRDefault="00B34FCC" w:rsidP="00B34FCC">
                  <w:pPr>
                    <w:jc w:val="right"/>
                    <w:rPr>
                      <w:i/>
                    </w:rPr>
                  </w:pPr>
                  <w:r w:rsidRPr="0094160B">
                    <w:rPr>
                      <w:i/>
                    </w:rPr>
                    <w:t>Nie je možné stanoviť bez plánu dopravnej obslužnosti územia.</w:t>
                  </w:r>
                </w:p>
              </w:tc>
            </w:tr>
            <w:tr w:rsidR="009F2DFA" w:rsidRPr="00F04CCD" w:rsidTr="00016377">
              <w:tc>
                <w:tcPr>
                  <w:tcW w:w="2993" w:type="dxa"/>
                </w:tcPr>
                <w:p w:rsidR="009F2DFA" w:rsidRPr="0094160B" w:rsidRDefault="009F2DFA" w:rsidP="00016377">
                  <w:pPr>
                    <w:rPr>
                      <w:b/>
                      <w:i/>
                    </w:rPr>
                  </w:pPr>
                  <w:r w:rsidRPr="0094160B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94160B" w:rsidRDefault="00B34FCC" w:rsidP="00B34FCC">
                  <w:pPr>
                    <w:jc w:val="right"/>
                    <w:rPr>
                      <w:b/>
                      <w:i/>
                    </w:rPr>
                  </w:pPr>
                  <w:r w:rsidRPr="0094160B">
                    <w:rPr>
                      <w:b/>
                      <w:i/>
                    </w:rPr>
                    <w:t>36 877,19</w:t>
                  </w:r>
                </w:p>
              </w:tc>
              <w:tc>
                <w:tcPr>
                  <w:tcW w:w="2994" w:type="dxa"/>
                </w:tcPr>
                <w:p w:rsidR="00C621B2" w:rsidRPr="0094160B" w:rsidRDefault="00B34FCC" w:rsidP="00C621B2">
                  <w:pPr>
                    <w:jc w:val="right"/>
                    <w:rPr>
                      <w:b/>
                      <w:i/>
                    </w:rPr>
                  </w:pPr>
                  <w:r w:rsidRPr="0094160B">
                    <w:rPr>
                      <w:b/>
                      <w:i/>
                    </w:rPr>
                    <w:t>Nie je možné stanoviť bez plánu dopravnej obslužnosti územia.</w:t>
                  </w:r>
                </w:p>
              </w:tc>
            </w:tr>
          </w:tbl>
          <w:p w:rsidR="001B2564" w:rsidRDefault="001B2564" w:rsidP="00B34FCC">
            <w:pPr>
              <w:rPr>
                <w:i/>
              </w:rPr>
            </w:pPr>
          </w:p>
          <w:p w:rsidR="00C621B2" w:rsidRPr="00F04CCD" w:rsidRDefault="00C621B2" w:rsidP="00B34FCC">
            <w:pPr>
              <w:rPr>
                <w:i/>
              </w:rPr>
            </w:pPr>
          </w:p>
        </w:tc>
      </w:tr>
      <w:tr w:rsidR="009F2DFA" w:rsidRPr="00F04CCD" w:rsidTr="0001637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163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016377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1637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4C612F">
        <w:trPr>
          <w:trHeight w:val="693"/>
        </w:trPr>
        <w:tc>
          <w:tcPr>
            <w:tcW w:w="9212" w:type="dxa"/>
            <w:tcBorders>
              <w:bottom w:val="single" w:sz="4" w:space="0" w:color="auto"/>
            </w:tcBorders>
          </w:tcPr>
          <w:p w:rsidR="001B2564" w:rsidRDefault="001B2564" w:rsidP="00016377">
            <w:pPr>
              <w:rPr>
                <w:b/>
                <w:i/>
              </w:rPr>
            </w:pPr>
          </w:p>
          <w:p w:rsidR="009F2DFA" w:rsidRPr="004C612F" w:rsidRDefault="001B2564" w:rsidP="00016377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25221D" w:rsidRPr="004C612F">
              <w:rPr>
                <w:b/>
                <w:i/>
              </w:rPr>
              <w:t>ie</w:t>
            </w:r>
          </w:p>
        </w:tc>
      </w:tr>
      <w:tr w:rsidR="009F2DFA" w:rsidRPr="00F04CCD" w:rsidTr="0001637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163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016377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16377">
        <w:tc>
          <w:tcPr>
            <w:tcW w:w="9212" w:type="dxa"/>
          </w:tcPr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016377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016377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1B2564">
        <w:trPr>
          <w:trHeight w:val="1200"/>
        </w:trPr>
        <w:tc>
          <w:tcPr>
            <w:tcW w:w="9212" w:type="dxa"/>
          </w:tcPr>
          <w:p w:rsidR="009F2DFA" w:rsidRPr="00F04CCD" w:rsidRDefault="0025221D" w:rsidP="001B2564">
            <w:pPr>
              <w:jc w:val="both"/>
              <w:rPr>
                <w:i/>
              </w:rPr>
            </w:pPr>
            <w:r w:rsidRPr="001B2564">
              <w:rPr>
                <w:b/>
                <w:i/>
              </w:rPr>
              <w:lastRenderedPageBreak/>
              <w:t>Áno</w:t>
            </w:r>
            <w:r w:rsidR="001B2564">
              <w:rPr>
                <w:b/>
                <w:i/>
              </w:rPr>
              <w:t xml:space="preserve"> -</w:t>
            </w:r>
            <w:r>
              <w:rPr>
                <w:i/>
              </w:rPr>
              <w:t xml:space="preserve"> možnosť nakúpenia nových plavidiel </w:t>
            </w:r>
            <w:r w:rsidR="001B2564">
              <w:rPr>
                <w:i/>
              </w:rPr>
              <w:t>na</w:t>
            </w:r>
            <w:r>
              <w:rPr>
                <w:i/>
              </w:rPr>
              <w:t xml:space="preserve"> zabezpečenie výkonov vo verejnom záujme. N</w:t>
            </w:r>
            <w:r w:rsidRPr="00F04CCD">
              <w:rPr>
                <w:i/>
              </w:rPr>
              <w:t>avrhovaná zmena</w:t>
            </w:r>
            <w:r>
              <w:rPr>
                <w:i/>
              </w:rPr>
              <w:t xml:space="preserve"> nijakým spôsobom nevplýva</w:t>
            </w:r>
            <w:r w:rsidRPr="00F04CCD">
              <w:rPr>
                <w:i/>
              </w:rPr>
              <w:t xml:space="preserve">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</w:t>
            </w:r>
            <w:r>
              <w:rPr>
                <w:i/>
              </w:rPr>
              <w:t xml:space="preserve">. Navrhovaná zmena podporuje vyššiu efektivitu výroby tým, že prepraví väčší počet cestujúcich za kratší čas. Pravdepodobne vytvorí </w:t>
            </w:r>
            <w:r w:rsidRPr="00154881">
              <w:rPr>
                <w:i/>
              </w:rPr>
              <w:t>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.</w:t>
            </w:r>
          </w:p>
        </w:tc>
      </w:tr>
    </w:tbl>
    <w:p w:rsidR="009F2DFA" w:rsidRPr="00F04CCD" w:rsidRDefault="009F2DFA" w:rsidP="009F2DFA"/>
    <w:p w:rsidR="009F2DFA" w:rsidRDefault="009F2DFA" w:rsidP="009F2DFA"/>
    <w:p w:rsidR="00AB32BB" w:rsidRDefault="00AB32BB" w:rsidP="009F2DFA"/>
    <w:p w:rsidR="00CB3623" w:rsidRPr="00D35A44" w:rsidRDefault="00CB3623">
      <w:pPr>
        <w:rPr>
          <w:b/>
          <w:sz w:val="24"/>
        </w:rPr>
      </w:pPr>
      <w:bookmarkStart w:id="0" w:name="_GoBack"/>
      <w:bookmarkEnd w:id="0"/>
    </w:p>
    <w:sectPr w:rsidR="00CB3623" w:rsidRPr="00D35A44" w:rsidSect="00C634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CC" w:rsidRDefault="00B34FCC" w:rsidP="009F2DFA">
      <w:r>
        <w:separator/>
      </w:r>
    </w:p>
  </w:endnote>
  <w:endnote w:type="continuationSeparator" w:id="0">
    <w:p w:rsidR="00B34FCC" w:rsidRDefault="00B34FCC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B34FCC" w:rsidRDefault="0094160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C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4FCC" w:rsidRDefault="00B34F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CC" w:rsidRDefault="00B34FCC" w:rsidP="009F2DFA">
      <w:r>
        <w:separator/>
      </w:r>
    </w:p>
  </w:footnote>
  <w:footnote w:type="continuationSeparator" w:id="0">
    <w:p w:rsidR="00B34FCC" w:rsidRDefault="00B34FCC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CC" w:rsidRDefault="00B34FCC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B34FCC" w:rsidRDefault="00B34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13"/>
    <w:rsid w:val="00016377"/>
    <w:rsid w:val="00075F4F"/>
    <w:rsid w:val="00120C0C"/>
    <w:rsid w:val="00154881"/>
    <w:rsid w:val="001B2564"/>
    <w:rsid w:val="0025221D"/>
    <w:rsid w:val="002B1108"/>
    <w:rsid w:val="004C612F"/>
    <w:rsid w:val="0052297F"/>
    <w:rsid w:val="005C273C"/>
    <w:rsid w:val="00605FB1"/>
    <w:rsid w:val="006B4C8E"/>
    <w:rsid w:val="00777C24"/>
    <w:rsid w:val="00780BA6"/>
    <w:rsid w:val="00811279"/>
    <w:rsid w:val="00830D50"/>
    <w:rsid w:val="00837639"/>
    <w:rsid w:val="00856DF6"/>
    <w:rsid w:val="00861A1B"/>
    <w:rsid w:val="008A1252"/>
    <w:rsid w:val="00904C9B"/>
    <w:rsid w:val="0094160B"/>
    <w:rsid w:val="00962346"/>
    <w:rsid w:val="009F2DFA"/>
    <w:rsid w:val="00A06AF3"/>
    <w:rsid w:val="00A17C4F"/>
    <w:rsid w:val="00AB32BB"/>
    <w:rsid w:val="00B25538"/>
    <w:rsid w:val="00B31A8E"/>
    <w:rsid w:val="00B34FCC"/>
    <w:rsid w:val="00BA073A"/>
    <w:rsid w:val="00C621B2"/>
    <w:rsid w:val="00C6347F"/>
    <w:rsid w:val="00CA5F81"/>
    <w:rsid w:val="00CB3623"/>
    <w:rsid w:val="00D141DB"/>
    <w:rsid w:val="00D35A44"/>
    <w:rsid w:val="00D70086"/>
    <w:rsid w:val="00D83B36"/>
    <w:rsid w:val="00E21921"/>
    <w:rsid w:val="00E402CD"/>
    <w:rsid w:val="00E61550"/>
    <w:rsid w:val="00E86AD1"/>
    <w:rsid w:val="00F36779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Elbow Connector 25"/>
        <o:r id="V:Rule5" type="connector" idref="#Elbow Connector 24"/>
        <o:r id="V:Rule6" type="connector" idref="#Elbow Connector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255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53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5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5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5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623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255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53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5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5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5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511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845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0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0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0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Csöböková, Silvia</cp:lastModifiedBy>
  <cp:revision>14</cp:revision>
  <cp:lastPrinted>2019-09-20T06:26:00Z</cp:lastPrinted>
  <dcterms:created xsi:type="dcterms:W3CDTF">2019-09-13T14:33:00Z</dcterms:created>
  <dcterms:modified xsi:type="dcterms:W3CDTF">2019-09-20T06:26:00Z</dcterms:modified>
</cp:coreProperties>
</file>