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E08FE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49ABD99B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60C7E746" w14:textId="77777777"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0004BB5" w14:textId="77777777"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6655271" w14:textId="77777777"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0818A447" w14:textId="77777777"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462E87F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10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2"/>
        <w:gridCol w:w="1460"/>
        <w:gridCol w:w="1706"/>
        <w:gridCol w:w="1701"/>
        <w:gridCol w:w="1559"/>
      </w:tblGrid>
      <w:tr w:rsidR="007D5748" w:rsidRPr="007D5748" w14:paraId="4FC12472" w14:textId="77777777" w:rsidTr="00575DA1">
        <w:trPr>
          <w:cantSplit/>
          <w:trHeight w:val="194"/>
          <w:jc w:val="center"/>
        </w:trPr>
        <w:tc>
          <w:tcPr>
            <w:tcW w:w="4452" w:type="dxa"/>
            <w:vMerge w:val="restart"/>
            <w:shd w:val="clear" w:color="auto" w:fill="BFBFBF" w:themeFill="background1" w:themeFillShade="BF"/>
            <w:vAlign w:val="center"/>
          </w:tcPr>
          <w:p w14:paraId="517E2C8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6426" w:type="dxa"/>
            <w:gridSpan w:val="4"/>
            <w:shd w:val="clear" w:color="auto" w:fill="BFBFBF" w:themeFill="background1" w:themeFillShade="BF"/>
            <w:vAlign w:val="center"/>
          </w:tcPr>
          <w:p w14:paraId="707EE91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14:paraId="72BB4C92" w14:textId="77777777" w:rsidTr="00575DA1">
        <w:trPr>
          <w:cantSplit/>
          <w:trHeight w:val="70"/>
          <w:jc w:val="center"/>
        </w:trPr>
        <w:tc>
          <w:tcPr>
            <w:tcW w:w="4452" w:type="dxa"/>
            <w:vMerge/>
            <w:shd w:val="clear" w:color="auto" w:fill="BFBFBF" w:themeFill="background1" w:themeFillShade="BF"/>
            <w:vAlign w:val="center"/>
          </w:tcPr>
          <w:p w14:paraId="3FA0047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60" w:type="dxa"/>
            <w:shd w:val="clear" w:color="auto" w:fill="BFBFBF" w:themeFill="background1" w:themeFillShade="BF"/>
            <w:vAlign w:val="center"/>
          </w:tcPr>
          <w:p w14:paraId="78D7A436" w14:textId="77777777" w:rsidR="007D5748" w:rsidRPr="007D5748" w:rsidRDefault="00B75FC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706" w:type="dxa"/>
            <w:shd w:val="clear" w:color="auto" w:fill="BFBFBF" w:themeFill="background1" w:themeFillShade="BF"/>
            <w:vAlign w:val="center"/>
          </w:tcPr>
          <w:p w14:paraId="03C3B62A" w14:textId="77777777" w:rsidR="007D5748" w:rsidRPr="007D5748" w:rsidRDefault="00B75FC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6301731" w14:textId="77777777" w:rsidR="007D5748" w:rsidRPr="007D5748" w:rsidRDefault="00B75FC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7DF67389" w14:textId="77777777" w:rsidR="007D5748" w:rsidRPr="007D5748" w:rsidRDefault="00B75FC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</w:tr>
      <w:tr w:rsidR="003A32A8" w:rsidRPr="007D5748" w14:paraId="701423E4" w14:textId="77777777" w:rsidTr="0077680E">
        <w:trPr>
          <w:trHeight w:val="70"/>
          <w:jc w:val="center"/>
        </w:trPr>
        <w:tc>
          <w:tcPr>
            <w:tcW w:w="4452" w:type="dxa"/>
            <w:shd w:val="clear" w:color="auto" w:fill="C0C0C0"/>
            <w:noWrap/>
            <w:vAlign w:val="center"/>
          </w:tcPr>
          <w:p w14:paraId="16757C58" w14:textId="77777777"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460" w:type="dxa"/>
            <w:shd w:val="clear" w:color="auto" w:fill="C0C0C0"/>
            <w:vAlign w:val="center"/>
          </w:tcPr>
          <w:p w14:paraId="343006D3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shd w:val="clear" w:color="auto" w:fill="C0C0C0"/>
            <w:vAlign w:val="center"/>
          </w:tcPr>
          <w:p w14:paraId="318291BD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91DC544" w14:textId="00158EF3" w:rsidR="003A32A8" w:rsidRPr="008F318B" w:rsidRDefault="008F318B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76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0625B818" w14:textId="77777777" w:rsidR="003A32A8" w:rsidRPr="007D5748" w:rsidRDefault="0056642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7 772 140</w:t>
            </w:r>
          </w:p>
        </w:tc>
      </w:tr>
      <w:tr w:rsidR="003A32A8" w:rsidRPr="007D5748" w14:paraId="1EA8B308" w14:textId="77777777" w:rsidTr="0077680E">
        <w:trPr>
          <w:trHeight w:val="132"/>
          <w:jc w:val="center"/>
        </w:trPr>
        <w:tc>
          <w:tcPr>
            <w:tcW w:w="4452" w:type="dxa"/>
            <w:noWrap/>
            <w:vAlign w:val="center"/>
          </w:tcPr>
          <w:p w14:paraId="4FB1E45A" w14:textId="77777777"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460" w:type="dxa"/>
            <w:noWrap/>
            <w:vAlign w:val="center"/>
          </w:tcPr>
          <w:p w14:paraId="76923AB7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14:paraId="62E37F81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C9F6FF9" w14:textId="77777777" w:rsidR="003A32A8" w:rsidRPr="008F318B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31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1B9783D1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A32A8" w:rsidRPr="007D5748" w14:paraId="315BACF4" w14:textId="77777777" w:rsidTr="0077680E">
        <w:trPr>
          <w:trHeight w:val="70"/>
          <w:jc w:val="center"/>
        </w:trPr>
        <w:tc>
          <w:tcPr>
            <w:tcW w:w="4452" w:type="dxa"/>
            <w:noWrap/>
            <w:vAlign w:val="center"/>
          </w:tcPr>
          <w:p w14:paraId="48E90608" w14:textId="77777777"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460" w:type="dxa"/>
            <w:noWrap/>
            <w:vAlign w:val="center"/>
          </w:tcPr>
          <w:p w14:paraId="2E994FBA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706" w:type="dxa"/>
            <w:noWrap/>
            <w:vAlign w:val="center"/>
          </w:tcPr>
          <w:p w14:paraId="4A945ED9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907813A" w14:textId="77777777" w:rsidR="003A32A8" w:rsidRPr="008F318B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noWrap/>
            <w:vAlign w:val="center"/>
          </w:tcPr>
          <w:p w14:paraId="6FF5521A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566428" w:rsidRPr="007D5748" w14:paraId="7F374CCD" w14:textId="77777777" w:rsidTr="0077680E">
        <w:trPr>
          <w:trHeight w:val="125"/>
          <w:jc w:val="center"/>
        </w:trPr>
        <w:tc>
          <w:tcPr>
            <w:tcW w:w="4452" w:type="dxa"/>
            <w:noWrap/>
            <w:vAlign w:val="center"/>
          </w:tcPr>
          <w:p w14:paraId="2506C9B6" w14:textId="77777777" w:rsidR="00566428" w:rsidRPr="007D5748" w:rsidRDefault="00566428" w:rsidP="0056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  <w:r w:rsidR="00EE0A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(MV SR)</w:t>
            </w:r>
          </w:p>
        </w:tc>
        <w:tc>
          <w:tcPr>
            <w:tcW w:w="1460" w:type="dxa"/>
            <w:noWrap/>
            <w:vAlign w:val="center"/>
          </w:tcPr>
          <w:p w14:paraId="10750005" w14:textId="77777777" w:rsidR="00566428" w:rsidRPr="007D5748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14:paraId="738E7C6E" w14:textId="77777777" w:rsidR="00566428" w:rsidRPr="007D5748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C488624" w14:textId="5619B673" w:rsidR="00566428" w:rsidRPr="008F318B" w:rsidRDefault="008F318B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768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454EE86C" w14:textId="77777777" w:rsidR="00566428" w:rsidRPr="00566428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64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715 855</w:t>
            </w:r>
          </w:p>
        </w:tc>
      </w:tr>
      <w:tr w:rsidR="00566428" w:rsidRPr="007D5748" w14:paraId="6BFA71AA" w14:textId="77777777" w:rsidTr="0077680E">
        <w:trPr>
          <w:trHeight w:val="125"/>
          <w:jc w:val="center"/>
        </w:trPr>
        <w:tc>
          <w:tcPr>
            <w:tcW w:w="4452" w:type="dxa"/>
            <w:noWrap/>
            <w:vAlign w:val="center"/>
          </w:tcPr>
          <w:p w14:paraId="078A3EF3" w14:textId="77777777" w:rsidR="00566428" w:rsidRPr="007D5748" w:rsidRDefault="00566428" w:rsidP="00566428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  <w:r w:rsidR="00EE0AC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(MV SR)</w:t>
            </w:r>
          </w:p>
        </w:tc>
        <w:tc>
          <w:tcPr>
            <w:tcW w:w="1460" w:type="dxa"/>
            <w:noWrap/>
            <w:vAlign w:val="center"/>
          </w:tcPr>
          <w:p w14:paraId="5D9DA819" w14:textId="77777777" w:rsidR="00566428" w:rsidRPr="00DA4872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A48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14:paraId="0446AD4A" w14:textId="77777777" w:rsidR="00566428" w:rsidRPr="00711E85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A48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6729A12" w14:textId="33794022" w:rsidR="00566428" w:rsidRPr="008F318B" w:rsidRDefault="008F318B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7768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158D6222" w14:textId="77777777" w:rsidR="00566428" w:rsidRPr="00711E85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715 855</w:t>
            </w:r>
          </w:p>
        </w:tc>
      </w:tr>
      <w:tr w:rsidR="00566428" w:rsidRPr="007D5748" w14:paraId="3666CECA" w14:textId="77777777" w:rsidTr="0077680E">
        <w:trPr>
          <w:trHeight w:val="125"/>
          <w:jc w:val="center"/>
        </w:trPr>
        <w:tc>
          <w:tcPr>
            <w:tcW w:w="4452" w:type="dxa"/>
            <w:noWrap/>
            <w:vAlign w:val="center"/>
          </w:tcPr>
          <w:p w14:paraId="01E77342" w14:textId="77777777" w:rsidR="00566428" w:rsidRPr="007D5748" w:rsidRDefault="00566428" w:rsidP="00566428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460" w:type="dxa"/>
            <w:noWrap/>
            <w:vAlign w:val="center"/>
          </w:tcPr>
          <w:p w14:paraId="273D5F0E" w14:textId="77777777" w:rsidR="00566428" w:rsidRPr="007D5748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14:paraId="787458C7" w14:textId="77777777" w:rsidR="00566428" w:rsidRPr="007D5748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27EC015" w14:textId="77777777" w:rsidR="00566428" w:rsidRPr="008F318B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31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739BADC8" w14:textId="77777777" w:rsidR="00566428" w:rsidRPr="007D5748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66428" w:rsidRPr="007D5748" w14:paraId="38260636" w14:textId="77777777" w:rsidTr="0077680E">
        <w:trPr>
          <w:trHeight w:val="125"/>
          <w:jc w:val="center"/>
        </w:trPr>
        <w:tc>
          <w:tcPr>
            <w:tcW w:w="4452" w:type="dxa"/>
            <w:noWrap/>
            <w:vAlign w:val="center"/>
          </w:tcPr>
          <w:p w14:paraId="2117DC0C" w14:textId="77777777" w:rsidR="00566428" w:rsidRPr="007D5748" w:rsidRDefault="00566428" w:rsidP="0056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60" w:type="dxa"/>
            <w:noWrap/>
            <w:vAlign w:val="center"/>
          </w:tcPr>
          <w:p w14:paraId="2B6188D5" w14:textId="77777777" w:rsidR="00566428" w:rsidRPr="007D5748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14:paraId="57CB305D" w14:textId="77777777" w:rsidR="00566428" w:rsidRPr="007D5748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90B4996" w14:textId="4D9E1E1C" w:rsidR="00566428" w:rsidRPr="008F318B" w:rsidRDefault="008F318B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768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3112C540" w14:textId="77777777" w:rsidR="00566428" w:rsidRPr="007D5748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6 979 586</w:t>
            </w:r>
          </w:p>
        </w:tc>
      </w:tr>
      <w:tr w:rsidR="00566428" w:rsidRPr="007D5748" w14:paraId="64A434FC" w14:textId="77777777" w:rsidTr="0077680E">
        <w:trPr>
          <w:trHeight w:val="125"/>
          <w:jc w:val="center"/>
        </w:trPr>
        <w:tc>
          <w:tcPr>
            <w:tcW w:w="4452" w:type="dxa"/>
            <w:noWrap/>
            <w:vAlign w:val="center"/>
          </w:tcPr>
          <w:p w14:paraId="25C916EB" w14:textId="77777777" w:rsidR="00566428" w:rsidRPr="007D5748" w:rsidRDefault="00566428" w:rsidP="0056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60" w:type="dxa"/>
            <w:noWrap/>
            <w:vAlign w:val="center"/>
          </w:tcPr>
          <w:p w14:paraId="2E80EBEC" w14:textId="77777777" w:rsidR="00566428" w:rsidRPr="007D5748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14:paraId="22E77934" w14:textId="77777777" w:rsidR="00566428" w:rsidRPr="007D5748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2189C6" w14:textId="45F5F622" w:rsidR="00566428" w:rsidRPr="008F318B" w:rsidRDefault="008F318B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768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12AF2828" w14:textId="77777777" w:rsidR="00566428" w:rsidRPr="007D5748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76 699</w:t>
            </w:r>
          </w:p>
        </w:tc>
      </w:tr>
      <w:tr w:rsidR="00566428" w:rsidRPr="007D5748" w14:paraId="739A0817" w14:textId="77777777" w:rsidTr="0077680E">
        <w:trPr>
          <w:trHeight w:val="125"/>
          <w:jc w:val="center"/>
        </w:trPr>
        <w:tc>
          <w:tcPr>
            <w:tcW w:w="4452" w:type="dxa"/>
            <w:noWrap/>
            <w:vAlign w:val="center"/>
          </w:tcPr>
          <w:p w14:paraId="0A919911" w14:textId="77777777" w:rsidR="00566428" w:rsidRPr="007D5748" w:rsidRDefault="00566428" w:rsidP="0056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60" w:type="dxa"/>
            <w:noWrap/>
            <w:vAlign w:val="center"/>
          </w:tcPr>
          <w:p w14:paraId="0EA9DBC6" w14:textId="77777777" w:rsidR="00566428" w:rsidRPr="007D5748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14:paraId="2560F00E" w14:textId="77777777" w:rsidR="00566428" w:rsidRPr="007D5748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2E61A9C" w14:textId="77777777" w:rsidR="00566428" w:rsidRPr="008F318B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F31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20979E20" w14:textId="77777777" w:rsidR="00566428" w:rsidRPr="007D5748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A32A8" w:rsidRPr="007D5748" w14:paraId="4F49377D" w14:textId="77777777" w:rsidTr="00575DA1">
        <w:trPr>
          <w:trHeight w:val="125"/>
          <w:jc w:val="center"/>
        </w:trPr>
        <w:tc>
          <w:tcPr>
            <w:tcW w:w="4452" w:type="dxa"/>
            <w:shd w:val="clear" w:color="auto" w:fill="C0C0C0"/>
            <w:noWrap/>
            <w:vAlign w:val="center"/>
          </w:tcPr>
          <w:p w14:paraId="77354BB8" w14:textId="77777777"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460" w:type="dxa"/>
            <w:shd w:val="clear" w:color="auto" w:fill="C0C0C0"/>
            <w:noWrap/>
            <w:vAlign w:val="center"/>
          </w:tcPr>
          <w:p w14:paraId="52A6CB4D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shd w:val="clear" w:color="auto" w:fill="C0C0C0"/>
            <w:noWrap/>
            <w:vAlign w:val="center"/>
          </w:tcPr>
          <w:p w14:paraId="63D233BE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C0C0C0"/>
            <w:noWrap/>
            <w:vAlign w:val="center"/>
          </w:tcPr>
          <w:p w14:paraId="1217FA03" w14:textId="27F98838" w:rsidR="003A32A8" w:rsidRPr="007D5748" w:rsidRDefault="008F318B" w:rsidP="00541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3CDEED7A" w14:textId="77777777" w:rsidR="003A32A8" w:rsidRPr="007D5748" w:rsidRDefault="003A32A8" w:rsidP="00E30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4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E30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DA4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E30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37 713</w:t>
            </w:r>
          </w:p>
        </w:tc>
      </w:tr>
      <w:tr w:rsidR="003A32A8" w:rsidRPr="007D5748" w14:paraId="31A5C193" w14:textId="77777777" w:rsidTr="00575DA1">
        <w:trPr>
          <w:trHeight w:val="70"/>
          <w:jc w:val="center"/>
        </w:trPr>
        <w:tc>
          <w:tcPr>
            <w:tcW w:w="4452" w:type="dxa"/>
            <w:noWrap/>
            <w:vAlign w:val="center"/>
          </w:tcPr>
          <w:p w14:paraId="46E28BE7" w14:textId="0EC995A4" w:rsidR="003A32A8" w:rsidRPr="007D5748" w:rsidRDefault="003A32A8" w:rsidP="006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MDV SR </w:t>
            </w:r>
            <w:r w:rsidRPr="00212A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</w:t>
            </w:r>
            <w:r w:rsidR="006D18E4">
              <w:rPr>
                <w:rFonts w:ascii="Times New Roman" w:hAnsi="Times New Roman"/>
                <w:color w:val="000000"/>
                <w:sz w:val="18"/>
                <w:szCs w:val="24"/>
              </w:rPr>
              <w:t> 07T</w:t>
            </w:r>
            <w:r w:rsidRPr="00212AA5">
              <w:rPr>
                <w:rFonts w:ascii="Times New Roman" w:hAnsi="Times New Roman"/>
                <w:color w:val="000000"/>
                <w:sz w:val="18"/>
                <w:szCs w:val="24"/>
              </w:rPr>
              <w:t>)</w:t>
            </w:r>
          </w:p>
        </w:tc>
        <w:tc>
          <w:tcPr>
            <w:tcW w:w="1460" w:type="dxa"/>
            <w:noWrap/>
            <w:vAlign w:val="center"/>
          </w:tcPr>
          <w:p w14:paraId="7C1E006B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14:paraId="26031178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5EC1E12A" w14:textId="2681364A" w:rsidR="003A32A8" w:rsidRPr="007D5748" w:rsidRDefault="008F318B" w:rsidP="00FF6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4EE7E76B" w14:textId="77777777" w:rsidR="003A32A8" w:rsidRPr="007D5748" w:rsidRDefault="003A32A8" w:rsidP="00E30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E30B5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  <w:r w:rsidR="00E30B5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4 428</w:t>
            </w:r>
          </w:p>
        </w:tc>
      </w:tr>
      <w:tr w:rsidR="003A32A8" w:rsidRPr="007D5748" w14:paraId="1D2139C8" w14:textId="77777777" w:rsidTr="00575DA1">
        <w:trPr>
          <w:trHeight w:val="70"/>
          <w:jc w:val="center"/>
        </w:trPr>
        <w:tc>
          <w:tcPr>
            <w:tcW w:w="4452" w:type="dxa"/>
            <w:noWrap/>
            <w:vAlign w:val="center"/>
          </w:tcPr>
          <w:p w14:paraId="3EFFE5BD" w14:textId="77777777"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MV SR</w:t>
            </w:r>
          </w:p>
        </w:tc>
        <w:tc>
          <w:tcPr>
            <w:tcW w:w="1460" w:type="dxa"/>
            <w:noWrap/>
            <w:vAlign w:val="center"/>
          </w:tcPr>
          <w:p w14:paraId="7A1D6C7B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6" w:type="dxa"/>
            <w:noWrap/>
            <w:vAlign w:val="center"/>
          </w:tcPr>
          <w:p w14:paraId="55D7AF4E" w14:textId="77777777" w:rsidR="003A32A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noWrap/>
            <w:vAlign w:val="center"/>
          </w:tcPr>
          <w:p w14:paraId="4E6D30A8" w14:textId="460C8668" w:rsidR="003A32A8" w:rsidRDefault="008F318B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4DF07765" w14:textId="77777777" w:rsidR="003A32A8" w:rsidRDefault="00E30B5D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103 285</w:t>
            </w:r>
          </w:p>
        </w:tc>
      </w:tr>
      <w:tr w:rsidR="003A32A8" w:rsidRPr="007D5748" w14:paraId="2746792A" w14:textId="77777777" w:rsidTr="00575DA1">
        <w:trPr>
          <w:trHeight w:val="70"/>
          <w:jc w:val="center"/>
        </w:trPr>
        <w:tc>
          <w:tcPr>
            <w:tcW w:w="4452" w:type="dxa"/>
            <w:noWrap/>
            <w:vAlign w:val="center"/>
          </w:tcPr>
          <w:p w14:paraId="1EB26A33" w14:textId="77777777"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460" w:type="dxa"/>
            <w:noWrap/>
            <w:vAlign w:val="center"/>
          </w:tcPr>
          <w:p w14:paraId="3DA0F760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706" w:type="dxa"/>
            <w:noWrap/>
            <w:vAlign w:val="center"/>
          </w:tcPr>
          <w:p w14:paraId="633EF756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noWrap/>
            <w:vAlign w:val="center"/>
          </w:tcPr>
          <w:p w14:paraId="01A399CE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noWrap/>
            <w:vAlign w:val="center"/>
          </w:tcPr>
          <w:p w14:paraId="7C50151A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30B5D" w:rsidRPr="007D5748" w14:paraId="56AE7527" w14:textId="77777777" w:rsidTr="00951B0E">
        <w:trPr>
          <w:trHeight w:val="70"/>
          <w:jc w:val="center"/>
        </w:trPr>
        <w:tc>
          <w:tcPr>
            <w:tcW w:w="4452" w:type="dxa"/>
            <w:noWrap/>
            <w:vAlign w:val="center"/>
          </w:tcPr>
          <w:p w14:paraId="55A302DE" w14:textId="77777777" w:rsidR="00E30B5D" w:rsidRPr="007D5748" w:rsidRDefault="00E30B5D" w:rsidP="00E3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60" w:type="dxa"/>
            <w:noWrap/>
            <w:vAlign w:val="center"/>
          </w:tcPr>
          <w:p w14:paraId="69B1EAD8" w14:textId="77777777" w:rsidR="00E30B5D" w:rsidRPr="007D5748" w:rsidRDefault="00E30B5D" w:rsidP="00E30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14:paraId="698B4565" w14:textId="77777777" w:rsidR="00E30B5D" w:rsidRPr="00212AA5" w:rsidRDefault="00E30B5D" w:rsidP="00E30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1EF2273C" w14:textId="09E3E0C7" w:rsidR="00E30B5D" w:rsidRPr="00212AA5" w:rsidRDefault="008F318B" w:rsidP="00FF6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</w:tcPr>
          <w:p w14:paraId="4AD7DFB8" w14:textId="77777777" w:rsidR="00E30B5D" w:rsidRPr="00212AA5" w:rsidRDefault="00E30B5D" w:rsidP="00E30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A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1 337 713</w:t>
            </w:r>
          </w:p>
        </w:tc>
      </w:tr>
      <w:tr w:rsidR="00E30B5D" w:rsidRPr="007D5748" w14:paraId="77089784" w14:textId="77777777" w:rsidTr="00951B0E">
        <w:trPr>
          <w:trHeight w:val="70"/>
          <w:jc w:val="center"/>
        </w:trPr>
        <w:tc>
          <w:tcPr>
            <w:tcW w:w="4452" w:type="dxa"/>
            <w:noWrap/>
            <w:vAlign w:val="center"/>
          </w:tcPr>
          <w:p w14:paraId="7DD134CD" w14:textId="77777777" w:rsidR="00E30B5D" w:rsidRPr="007D5748" w:rsidRDefault="00E30B5D" w:rsidP="00E30B5D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60" w:type="dxa"/>
            <w:noWrap/>
            <w:vAlign w:val="center"/>
          </w:tcPr>
          <w:p w14:paraId="5DE3A24B" w14:textId="77777777" w:rsidR="00E30B5D" w:rsidRPr="007D5748" w:rsidRDefault="00E30B5D" w:rsidP="00E30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14:paraId="00D600F9" w14:textId="77777777" w:rsidR="00E30B5D" w:rsidRPr="007D5748" w:rsidRDefault="00E30B5D" w:rsidP="00E30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2CF00F40" w14:textId="0632EFAA" w:rsidR="00E30B5D" w:rsidRPr="007D5748" w:rsidRDefault="008F318B" w:rsidP="00FF6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</w:tcPr>
          <w:p w14:paraId="1085C5F9" w14:textId="77777777" w:rsidR="00E30B5D" w:rsidRPr="00E30B5D" w:rsidRDefault="00E30B5D" w:rsidP="00E30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30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1 337 713</w:t>
            </w:r>
          </w:p>
        </w:tc>
      </w:tr>
      <w:tr w:rsidR="003A32A8" w:rsidRPr="007D5748" w14:paraId="3913EBF8" w14:textId="77777777" w:rsidTr="00575DA1">
        <w:trPr>
          <w:trHeight w:val="70"/>
          <w:jc w:val="center"/>
        </w:trPr>
        <w:tc>
          <w:tcPr>
            <w:tcW w:w="4452" w:type="dxa"/>
            <w:noWrap/>
            <w:vAlign w:val="center"/>
          </w:tcPr>
          <w:p w14:paraId="1FA99209" w14:textId="77777777"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460" w:type="dxa"/>
            <w:noWrap/>
            <w:vAlign w:val="center"/>
          </w:tcPr>
          <w:p w14:paraId="475434DE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14:paraId="047CFB13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49B8B3E3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4DD9D6D8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A32A8" w:rsidRPr="007D5748" w14:paraId="08C49085" w14:textId="77777777" w:rsidTr="00575DA1">
        <w:trPr>
          <w:trHeight w:val="70"/>
          <w:jc w:val="center"/>
        </w:trPr>
        <w:tc>
          <w:tcPr>
            <w:tcW w:w="4452" w:type="dxa"/>
            <w:noWrap/>
            <w:vAlign w:val="center"/>
          </w:tcPr>
          <w:p w14:paraId="4C505838" w14:textId="77777777"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460" w:type="dxa"/>
            <w:noWrap/>
            <w:vAlign w:val="center"/>
          </w:tcPr>
          <w:p w14:paraId="41552EFD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14:paraId="7BF88728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08661547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4F4AEF20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A32A8" w:rsidRPr="007D5748" w14:paraId="6E54195A" w14:textId="77777777" w:rsidTr="00951B0E">
        <w:trPr>
          <w:trHeight w:val="125"/>
          <w:jc w:val="center"/>
        </w:trPr>
        <w:tc>
          <w:tcPr>
            <w:tcW w:w="4452" w:type="dxa"/>
            <w:noWrap/>
            <w:vAlign w:val="center"/>
          </w:tcPr>
          <w:p w14:paraId="77E8F563" w14:textId="77777777"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60" w:type="dxa"/>
            <w:noWrap/>
            <w:vAlign w:val="center"/>
          </w:tcPr>
          <w:p w14:paraId="3F1AC436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14:paraId="00E61F2B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</w:tcPr>
          <w:p w14:paraId="1746560B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noWrap/>
          </w:tcPr>
          <w:p w14:paraId="005F97ED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A32A8" w:rsidRPr="007D5748" w14:paraId="10E8007C" w14:textId="77777777" w:rsidTr="00575DA1">
        <w:trPr>
          <w:trHeight w:val="125"/>
          <w:jc w:val="center"/>
        </w:trPr>
        <w:tc>
          <w:tcPr>
            <w:tcW w:w="4452" w:type="dxa"/>
            <w:noWrap/>
            <w:vAlign w:val="center"/>
          </w:tcPr>
          <w:p w14:paraId="2B5D8760" w14:textId="77777777"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60" w:type="dxa"/>
            <w:noWrap/>
          </w:tcPr>
          <w:p w14:paraId="3E1F26E5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706" w:type="dxa"/>
            <w:noWrap/>
          </w:tcPr>
          <w:p w14:paraId="4C2401CC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noWrap/>
          </w:tcPr>
          <w:p w14:paraId="1C65CA73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noWrap/>
          </w:tcPr>
          <w:p w14:paraId="0814615E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A32A8" w:rsidRPr="007D5748" w14:paraId="5C582134" w14:textId="77777777" w:rsidTr="00575DA1">
        <w:trPr>
          <w:trHeight w:val="70"/>
          <w:jc w:val="center"/>
        </w:trPr>
        <w:tc>
          <w:tcPr>
            <w:tcW w:w="4452" w:type="dxa"/>
            <w:noWrap/>
            <w:vAlign w:val="center"/>
          </w:tcPr>
          <w:p w14:paraId="2F674467" w14:textId="77777777"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60" w:type="dxa"/>
            <w:noWrap/>
            <w:vAlign w:val="center"/>
          </w:tcPr>
          <w:p w14:paraId="27B7F577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14:paraId="5750AC19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4CE71B11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590628CD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A32A8" w:rsidRPr="007D5748" w14:paraId="6CD3A844" w14:textId="77777777" w:rsidTr="00575DA1">
        <w:trPr>
          <w:trHeight w:val="70"/>
          <w:jc w:val="center"/>
        </w:trPr>
        <w:tc>
          <w:tcPr>
            <w:tcW w:w="4452" w:type="dxa"/>
            <w:shd w:val="clear" w:color="auto" w:fill="BFBFBF" w:themeFill="background1" w:themeFillShade="BF"/>
            <w:noWrap/>
            <w:vAlign w:val="center"/>
          </w:tcPr>
          <w:p w14:paraId="3BFEB4D6" w14:textId="77777777"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460" w:type="dxa"/>
            <w:shd w:val="clear" w:color="auto" w:fill="BFBFBF" w:themeFill="background1" w:themeFillShade="BF"/>
            <w:noWrap/>
            <w:vAlign w:val="center"/>
          </w:tcPr>
          <w:p w14:paraId="356C53A1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shd w:val="clear" w:color="auto" w:fill="BFBFBF" w:themeFill="background1" w:themeFillShade="BF"/>
            <w:noWrap/>
            <w:vAlign w:val="center"/>
          </w:tcPr>
          <w:p w14:paraId="17D111D2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</w:tcPr>
          <w:p w14:paraId="4AA55FF5" w14:textId="6AB6FF1D" w:rsidR="003A32A8" w:rsidRPr="007D5748" w:rsidRDefault="008F318B" w:rsidP="00E30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</w:tcPr>
          <w:p w14:paraId="455F1C76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+8</w:t>
            </w:r>
          </w:p>
        </w:tc>
      </w:tr>
      <w:tr w:rsidR="003A32A8" w:rsidRPr="007D5748" w14:paraId="7A73F80F" w14:textId="77777777" w:rsidTr="00575DA1">
        <w:trPr>
          <w:trHeight w:val="70"/>
          <w:jc w:val="center"/>
        </w:trPr>
        <w:tc>
          <w:tcPr>
            <w:tcW w:w="4452" w:type="dxa"/>
            <w:noWrap/>
            <w:vAlign w:val="center"/>
          </w:tcPr>
          <w:p w14:paraId="0EEB2AE6" w14:textId="77777777"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60" w:type="dxa"/>
            <w:noWrap/>
          </w:tcPr>
          <w:p w14:paraId="6ED96622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</w:tcPr>
          <w:p w14:paraId="2530297A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</w:tcPr>
          <w:p w14:paraId="43B4025D" w14:textId="2866141C" w:rsidR="003A32A8" w:rsidRPr="007D5748" w:rsidRDefault="008F318B" w:rsidP="00E30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</w:tcPr>
          <w:p w14:paraId="6BCB89D7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+8</w:t>
            </w:r>
          </w:p>
        </w:tc>
      </w:tr>
      <w:tr w:rsidR="003A32A8" w:rsidRPr="007D5748" w14:paraId="145C846D" w14:textId="77777777" w:rsidTr="00575DA1">
        <w:trPr>
          <w:trHeight w:val="70"/>
          <w:jc w:val="center"/>
        </w:trPr>
        <w:tc>
          <w:tcPr>
            <w:tcW w:w="4452" w:type="dxa"/>
            <w:noWrap/>
            <w:vAlign w:val="center"/>
          </w:tcPr>
          <w:p w14:paraId="4E005A80" w14:textId="77777777"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60" w:type="dxa"/>
            <w:noWrap/>
            <w:vAlign w:val="center"/>
          </w:tcPr>
          <w:p w14:paraId="7E9CAE7F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14:paraId="5BDF41B6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1EE8BB76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616C5743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A32A8" w:rsidRPr="007D5748" w14:paraId="32C35E8D" w14:textId="77777777" w:rsidTr="00575DA1">
        <w:trPr>
          <w:trHeight w:val="70"/>
          <w:jc w:val="center"/>
        </w:trPr>
        <w:tc>
          <w:tcPr>
            <w:tcW w:w="4452" w:type="dxa"/>
            <w:noWrap/>
            <w:vAlign w:val="center"/>
          </w:tcPr>
          <w:p w14:paraId="3C511055" w14:textId="77777777"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60" w:type="dxa"/>
            <w:noWrap/>
          </w:tcPr>
          <w:p w14:paraId="0CEC5257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</w:tcPr>
          <w:p w14:paraId="611F95B1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</w:tcPr>
          <w:p w14:paraId="13BE8916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</w:tcPr>
          <w:p w14:paraId="0F9DC60B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A32A8" w:rsidRPr="007D5748" w14:paraId="6DCE6281" w14:textId="77777777" w:rsidTr="00575DA1">
        <w:trPr>
          <w:trHeight w:val="70"/>
          <w:jc w:val="center"/>
        </w:trPr>
        <w:tc>
          <w:tcPr>
            <w:tcW w:w="4452" w:type="dxa"/>
            <w:noWrap/>
            <w:vAlign w:val="center"/>
          </w:tcPr>
          <w:p w14:paraId="0C0F16CD" w14:textId="77777777"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60" w:type="dxa"/>
            <w:noWrap/>
            <w:vAlign w:val="center"/>
          </w:tcPr>
          <w:p w14:paraId="39EA6634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14:paraId="705FA76A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20A67523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2CE87B49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A32A8" w:rsidRPr="007D5748" w14:paraId="674B8A7D" w14:textId="77777777" w:rsidTr="00575DA1">
        <w:trPr>
          <w:trHeight w:val="70"/>
          <w:jc w:val="center"/>
        </w:trPr>
        <w:tc>
          <w:tcPr>
            <w:tcW w:w="4452" w:type="dxa"/>
            <w:shd w:val="clear" w:color="auto" w:fill="BFBFBF" w:themeFill="background1" w:themeFillShade="BF"/>
            <w:noWrap/>
            <w:vAlign w:val="center"/>
          </w:tcPr>
          <w:p w14:paraId="21A5D78A" w14:textId="77777777"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460" w:type="dxa"/>
            <w:shd w:val="clear" w:color="auto" w:fill="BFBFBF" w:themeFill="background1" w:themeFillShade="BF"/>
            <w:noWrap/>
            <w:vAlign w:val="center"/>
          </w:tcPr>
          <w:p w14:paraId="724A9987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shd w:val="clear" w:color="auto" w:fill="BFBFBF" w:themeFill="background1" w:themeFillShade="BF"/>
            <w:noWrap/>
            <w:vAlign w:val="center"/>
          </w:tcPr>
          <w:p w14:paraId="32F0CC6D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</w:tcPr>
          <w:p w14:paraId="5ADF3927" w14:textId="6F1E41EC" w:rsidR="003A32A8" w:rsidRPr="007D5748" w:rsidRDefault="008F318B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</w:tcPr>
          <w:p w14:paraId="40A078EA" w14:textId="77777777" w:rsidR="003A32A8" w:rsidRPr="007D5748" w:rsidRDefault="00E30B5D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102 048</w:t>
            </w:r>
          </w:p>
        </w:tc>
      </w:tr>
      <w:tr w:rsidR="003A32A8" w:rsidRPr="007D5748" w14:paraId="6A1182F8" w14:textId="77777777" w:rsidTr="00575DA1">
        <w:trPr>
          <w:trHeight w:val="70"/>
          <w:jc w:val="center"/>
        </w:trPr>
        <w:tc>
          <w:tcPr>
            <w:tcW w:w="4452" w:type="dxa"/>
            <w:noWrap/>
            <w:vAlign w:val="center"/>
          </w:tcPr>
          <w:p w14:paraId="580CC350" w14:textId="77777777"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60" w:type="dxa"/>
            <w:noWrap/>
          </w:tcPr>
          <w:p w14:paraId="7CADAF19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</w:tcPr>
          <w:p w14:paraId="2E234686" w14:textId="77777777" w:rsidR="003A32A8" w:rsidRPr="001C2F4F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</w:tcPr>
          <w:p w14:paraId="1A5540A6" w14:textId="76D3ED12" w:rsidR="003A32A8" w:rsidRPr="00E30B5D" w:rsidRDefault="008F318B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</w:tcPr>
          <w:p w14:paraId="539DDC19" w14:textId="77777777" w:rsidR="003A32A8" w:rsidRPr="00E30B5D" w:rsidRDefault="00E30B5D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30B5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102 048</w:t>
            </w:r>
          </w:p>
        </w:tc>
      </w:tr>
      <w:tr w:rsidR="003A32A8" w:rsidRPr="007D5748" w14:paraId="62093F46" w14:textId="77777777" w:rsidTr="00575DA1">
        <w:trPr>
          <w:trHeight w:val="70"/>
          <w:jc w:val="center"/>
        </w:trPr>
        <w:tc>
          <w:tcPr>
            <w:tcW w:w="4452" w:type="dxa"/>
            <w:noWrap/>
            <w:vAlign w:val="center"/>
          </w:tcPr>
          <w:p w14:paraId="3CDA66C5" w14:textId="5ABAFD5B" w:rsidR="003A32A8" w:rsidRPr="00AD7876" w:rsidRDefault="003A32A8" w:rsidP="006D1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AD787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MDV SR </w:t>
            </w:r>
          </w:p>
        </w:tc>
        <w:tc>
          <w:tcPr>
            <w:tcW w:w="1460" w:type="dxa"/>
            <w:noWrap/>
          </w:tcPr>
          <w:p w14:paraId="21A56504" w14:textId="77777777" w:rsidR="003A32A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06" w:type="dxa"/>
            <w:noWrap/>
          </w:tcPr>
          <w:p w14:paraId="61210EF0" w14:textId="77777777" w:rsidR="003A32A8" w:rsidRPr="001C2F4F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noWrap/>
          </w:tcPr>
          <w:p w14:paraId="4C46E7C6" w14:textId="5296606D" w:rsidR="003A32A8" w:rsidRPr="001C2F4F" w:rsidRDefault="008F318B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</w:tcPr>
          <w:p w14:paraId="573687EC" w14:textId="77777777" w:rsidR="003A32A8" w:rsidRPr="001C2F4F" w:rsidRDefault="00E30B5D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25 512</w:t>
            </w:r>
          </w:p>
        </w:tc>
      </w:tr>
      <w:tr w:rsidR="003A32A8" w:rsidRPr="007D5748" w14:paraId="579FF1CE" w14:textId="77777777" w:rsidTr="00575DA1">
        <w:trPr>
          <w:trHeight w:val="70"/>
          <w:jc w:val="center"/>
        </w:trPr>
        <w:tc>
          <w:tcPr>
            <w:tcW w:w="4452" w:type="dxa"/>
            <w:noWrap/>
            <w:vAlign w:val="center"/>
          </w:tcPr>
          <w:p w14:paraId="17CD58C4" w14:textId="77777777" w:rsidR="003A32A8" w:rsidRPr="00AD7876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AD787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1460" w:type="dxa"/>
            <w:noWrap/>
          </w:tcPr>
          <w:p w14:paraId="3BD3261A" w14:textId="77777777" w:rsidR="003A32A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06" w:type="dxa"/>
            <w:noWrap/>
          </w:tcPr>
          <w:p w14:paraId="2E69978D" w14:textId="77777777" w:rsidR="003A32A8" w:rsidRPr="001C2F4F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noWrap/>
          </w:tcPr>
          <w:p w14:paraId="23E7C97A" w14:textId="6DFE23AA" w:rsidR="003A32A8" w:rsidRPr="001C2F4F" w:rsidRDefault="008F318B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</w:tcPr>
          <w:p w14:paraId="0E290B37" w14:textId="77777777" w:rsidR="003A32A8" w:rsidRPr="001C2F4F" w:rsidRDefault="00E30B5D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76 536</w:t>
            </w:r>
          </w:p>
        </w:tc>
      </w:tr>
      <w:tr w:rsidR="003A32A8" w:rsidRPr="007D5748" w14:paraId="7E0F1673" w14:textId="77777777" w:rsidTr="00575DA1">
        <w:trPr>
          <w:trHeight w:val="70"/>
          <w:jc w:val="center"/>
        </w:trPr>
        <w:tc>
          <w:tcPr>
            <w:tcW w:w="4452" w:type="dxa"/>
            <w:noWrap/>
            <w:vAlign w:val="center"/>
          </w:tcPr>
          <w:p w14:paraId="2E0C47D9" w14:textId="77777777"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60" w:type="dxa"/>
            <w:noWrap/>
            <w:vAlign w:val="center"/>
          </w:tcPr>
          <w:p w14:paraId="282D2BC5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14:paraId="67F4F988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3C15D5DC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noWrap/>
            <w:vAlign w:val="center"/>
          </w:tcPr>
          <w:p w14:paraId="2CBA31A3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A32A8" w:rsidRPr="007D5748" w14:paraId="1B43E514" w14:textId="77777777" w:rsidTr="00575DA1">
        <w:trPr>
          <w:trHeight w:val="70"/>
          <w:jc w:val="center"/>
        </w:trPr>
        <w:tc>
          <w:tcPr>
            <w:tcW w:w="4452" w:type="dxa"/>
            <w:noWrap/>
            <w:vAlign w:val="center"/>
          </w:tcPr>
          <w:p w14:paraId="23DD2A9F" w14:textId="77777777"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60" w:type="dxa"/>
            <w:noWrap/>
          </w:tcPr>
          <w:p w14:paraId="76B8DE84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</w:tcPr>
          <w:p w14:paraId="2D3D561B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</w:tcPr>
          <w:p w14:paraId="251D0FDE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noWrap/>
          </w:tcPr>
          <w:p w14:paraId="66F68B1E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A32A8" w:rsidRPr="007D5748" w14:paraId="3A5B4532" w14:textId="77777777" w:rsidTr="00575DA1">
        <w:trPr>
          <w:trHeight w:val="70"/>
          <w:jc w:val="center"/>
        </w:trPr>
        <w:tc>
          <w:tcPr>
            <w:tcW w:w="4452" w:type="dxa"/>
            <w:noWrap/>
            <w:vAlign w:val="center"/>
          </w:tcPr>
          <w:p w14:paraId="16B7E851" w14:textId="77777777"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60" w:type="dxa"/>
            <w:noWrap/>
            <w:vAlign w:val="center"/>
          </w:tcPr>
          <w:p w14:paraId="285819CF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14:paraId="56E2DE62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587A3AAE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642A0052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A32A8" w:rsidRPr="007D5748" w14:paraId="1EA1982B" w14:textId="77777777" w:rsidTr="00575DA1">
        <w:trPr>
          <w:trHeight w:val="70"/>
          <w:jc w:val="center"/>
        </w:trPr>
        <w:tc>
          <w:tcPr>
            <w:tcW w:w="4452" w:type="dxa"/>
            <w:shd w:val="clear" w:color="auto" w:fill="C0C0C0"/>
            <w:noWrap/>
            <w:vAlign w:val="center"/>
          </w:tcPr>
          <w:p w14:paraId="5A7A6F39" w14:textId="77777777"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460" w:type="dxa"/>
            <w:shd w:val="clear" w:color="auto" w:fill="C0C0C0"/>
            <w:noWrap/>
            <w:vAlign w:val="center"/>
          </w:tcPr>
          <w:p w14:paraId="2609B24E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shd w:val="clear" w:color="auto" w:fill="C0C0C0"/>
            <w:noWrap/>
            <w:vAlign w:val="center"/>
          </w:tcPr>
          <w:p w14:paraId="5D0A1095" w14:textId="77777777" w:rsidR="003A32A8" w:rsidRPr="00212AA5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C0C0C0"/>
            <w:noWrap/>
            <w:vAlign w:val="center"/>
          </w:tcPr>
          <w:p w14:paraId="662B1173" w14:textId="49AB2A71" w:rsidR="003A32A8" w:rsidRPr="00212AA5" w:rsidRDefault="008F318B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D494325" w14:textId="77777777" w:rsidR="003A32A8" w:rsidRPr="00212AA5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12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610 000</w:t>
            </w:r>
          </w:p>
        </w:tc>
      </w:tr>
      <w:tr w:rsidR="003A32A8" w:rsidRPr="007D5748" w14:paraId="06EF20D5" w14:textId="77777777" w:rsidTr="00575DA1">
        <w:trPr>
          <w:trHeight w:val="70"/>
          <w:jc w:val="center"/>
        </w:trPr>
        <w:tc>
          <w:tcPr>
            <w:tcW w:w="4452" w:type="dxa"/>
            <w:noWrap/>
            <w:vAlign w:val="center"/>
          </w:tcPr>
          <w:p w14:paraId="3857662A" w14:textId="77777777"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MDV SR </w:t>
            </w:r>
            <w:r w:rsidRPr="00212A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</w:t>
            </w:r>
            <w:r w:rsidRPr="00212AA5">
              <w:rPr>
                <w:rFonts w:ascii="Times New Roman" w:hAnsi="Times New Roman"/>
                <w:color w:val="000000"/>
                <w:sz w:val="18"/>
                <w:szCs w:val="24"/>
              </w:rPr>
              <w:t>07T0109 Program podpory územného rozvoja obcí a miest)</w:t>
            </w:r>
          </w:p>
        </w:tc>
        <w:tc>
          <w:tcPr>
            <w:tcW w:w="1460" w:type="dxa"/>
            <w:noWrap/>
            <w:vAlign w:val="center"/>
          </w:tcPr>
          <w:p w14:paraId="0BF72A1C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14:paraId="24172746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274A7DA0" w14:textId="46880A4A" w:rsidR="003A32A8" w:rsidRPr="007D5748" w:rsidRDefault="008F318B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6FC22AC1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610 000</w:t>
            </w:r>
          </w:p>
        </w:tc>
      </w:tr>
      <w:tr w:rsidR="003A32A8" w:rsidRPr="007D5748" w14:paraId="76FAEF26" w14:textId="77777777" w:rsidTr="00575DA1">
        <w:trPr>
          <w:trHeight w:val="70"/>
          <w:jc w:val="center"/>
        </w:trPr>
        <w:tc>
          <w:tcPr>
            <w:tcW w:w="4452" w:type="dxa"/>
            <w:shd w:val="clear" w:color="auto" w:fill="BFBFBF" w:themeFill="background1" w:themeFillShade="BF"/>
            <w:noWrap/>
            <w:vAlign w:val="center"/>
          </w:tcPr>
          <w:p w14:paraId="1ECB4274" w14:textId="77777777"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460" w:type="dxa"/>
            <w:shd w:val="clear" w:color="auto" w:fill="BFBFBF" w:themeFill="background1" w:themeFillShade="BF"/>
            <w:noWrap/>
            <w:vAlign w:val="center"/>
          </w:tcPr>
          <w:p w14:paraId="76C12305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shd w:val="clear" w:color="auto" w:fill="BFBFBF" w:themeFill="background1" w:themeFillShade="BF"/>
            <w:noWrap/>
            <w:vAlign w:val="center"/>
          </w:tcPr>
          <w:p w14:paraId="6A697093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</w:tcPr>
          <w:p w14:paraId="6A1097AF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</w:tcPr>
          <w:p w14:paraId="1997FE13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A32A8" w:rsidRPr="007D5748" w14:paraId="5A0764C5" w14:textId="77777777" w:rsidTr="00575DA1">
        <w:trPr>
          <w:trHeight w:val="70"/>
          <w:jc w:val="center"/>
        </w:trPr>
        <w:tc>
          <w:tcPr>
            <w:tcW w:w="4452" w:type="dxa"/>
            <w:shd w:val="clear" w:color="auto" w:fill="A6A6A6" w:themeFill="background1" w:themeFillShade="A6"/>
            <w:noWrap/>
            <w:vAlign w:val="center"/>
          </w:tcPr>
          <w:p w14:paraId="13B57341" w14:textId="77777777"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460" w:type="dxa"/>
            <w:shd w:val="clear" w:color="auto" w:fill="A6A6A6" w:themeFill="background1" w:themeFillShade="A6"/>
            <w:noWrap/>
            <w:vAlign w:val="center"/>
          </w:tcPr>
          <w:p w14:paraId="33132E33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shd w:val="clear" w:color="auto" w:fill="A6A6A6" w:themeFill="background1" w:themeFillShade="A6"/>
            <w:noWrap/>
            <w:vAlign w:val="center"/>
          </w:tcPr>
          <w:p w14:paraId="01E02D1A" w14:textId="77777777"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A6A6A6" w:themeFill="background1" w:themeFillShade="A6"/>
            <w:noWrap/>
            <w:vAlign w:val="center"/>
          </w:tcPr>
          <w:p w14:paraId="102EF85E" w14:textId="48981EC4" w:rsidR="003A32A8" w:rsidRPr="007D5748" w:rsidRDefault="008F318B" w:rsidP="00500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A6A6A6" w:themeFill="background1" w:themeFillShade="A6"/>
            <w:noWrap/>
            <w:vAlign w:val="center"/>
          </w:tcPr>
          <w:p w14:paraId="74FAF149" w14:textId="77777777" w:rsidR="003A32A8" w:rsidRPr="007D5748" w:rsidRDefault="003A32A8" w:rsidP="00E30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4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  <w:r w:rsidR="00E30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27 713</w:t>
            </w:r>
          </w:p>
        </w:tc>
      </w:tr>
      <w:bookmarkEnd w:id="0"/>
    </w:tbl>
    <w:p w14:paraId="68B1BF18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5FCDA48" w14:textId="77777777"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14:paraId="504EB879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7707DC43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0399DC2C" w14:textId="7D4E2000" w:rsidR="000E272C" w:rsidRDefault="00140666" w:rsidP="0014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Predložený návrh zákona predpokladá </w:t>
      </w:r>
      <w:r w:rsidR="0092335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pozitívny vplyv </w:t>
      </w:r>
      <w:r w:rsidR="000E27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rozpočet verejnej správy v jeho príjmovej časti vo výške </w:t>
      </w:r>
      <w:r w:rsidR="00A26713" w:rsidRPr="00A267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7 772 140,-</w:t>
      </w:r>
      <w:r w:rsidR="00A2671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0E272C" w:rsidRPr="000E272C">
        <w:rPr>
          <w:rFonts w:ascii="Times New Roman" w:eastAsia="Times New Roman" w:hAnsi="Times New Roman" w:cs="Times New Roman"/>
          <w:sz w:val="24"/>
          <w:szCs w:val="24"/>
          <w:lang w:eastAsia="sk-SK"/>
        </w:rPr>
        <w:t>eur, a to</w:t>
      </w:r>
      <w:r w:rsidR="000E27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z dôvodu zavedenia </w:t>
      </w:r>
      <w:r w:rsidR="000E272C">
        <w:rPr>
          <w:rFonts w:ascii="Times New Roman" w:eastAsia="Times New Roman" w:hAnsi="Times New Roman" w:cs="Times New Roman"/>
          <w:sz w:val="24"/>
          <w:szCs w:val="24"/>
          <w:lang w:eastAsia="sk-SK"/>
        </w:rPr>
        <w:t>dvoch nových spoplatnených služieb (vydávanie</w:t>
      </w:r>
      <w:r w:rsidR="000E272C" w:rsidRPr="006858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územného stanoviska k stavebným záme</w:t>
      </w:r>
      <w:r w:rsidR="000E272C">
        <w:rPr>
          <w:rFonts w:ascii="Times New Roman" w:eastAsia="Times New Roman" w:hAnsi="Times New Roman" w:cs="Times New Roman"/>
          <w:sz w:val="24"/>
          <w:szCs w:val="24"/>
          <w:lang w:eastAsia="sk-SK"/>
        </w:rPr>
        <w:t>rom a iným činnostiam v území a</w:t>
      </w:r>
      <w:r w:rsidR="000E272C" w:rsidRPr="000E27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E272C" w:rsidRPr="006858B5">
        <w:rPr>
          <w:rFonts w:ascii="Times New Roman" w:eastAsia="Times New Roman" w:hAnsi="Times New Roman" w:cs="Times New Roman"/>
          <w:sz w:val="24"/>
          <w:szCs w:val="24"/>
          <w:lang w:eastAsia="sk-SK"/>
        </w:rPr>
        <w:t>vydávani</w:t>
      </w:r>
      <w:r w:rsidR="000E272C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0E272C" w:rsidRPr="006858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územnoplánovacej informácie</w:t>
      </w:r>
      <w:r w:rsidR="000E272C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  <w:r w:rsidR="000E272C" w:rsidRPr="000E27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0E27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Zároveň </w:t>
      </w:r>
      <w:r w:rsidR="007632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návrh zákona predstavuje </w:t>
      </w:r>
      <w:r w:rsidR="000E27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negatívny vplyv na rozpočet verejnej správy, a to </w:t>
      </w:r>
      <w:r w:rsidR="008F318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vo výške </w:t>
      </w:r>
      <w:r w:rsidR="00EE0AC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1 337 713</w:t>
      </w:r>
      <w:r w:rsidR="00E00A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,- eur/rok 2022</w:t>
      </w:r>
      <w:r w:rsidR="00EE0AC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pričom zabezpečených v rozpočte verejnej správy je 610 000,- eur/rok</w:t>
      </w:r>
      <w:r w:rsidR="000E27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="00EE0AC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Rozpočtovo nekrytý vplyv na rok 2022 sumu 727 713,- eur. </w:t>
      </w:r>
      <w:r w:rsidR="000E27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 uvedenej </w:t>
      </w:r>
      <w:r w:rsidR="00EE0AC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rozpočtovo nekrytej </w:t>
      </w:r>
      <w:r w:rsidR="000E27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čiastky </w:t>
      </w:r>
      <w:r w:rsidR="007632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je </w:t>
      </w:r>
      <w:r w:rsidR="000E27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590 000,- eur  účelovo určen</w:t>
      </w:r>
      <w:r w:rsidR="00EE0AC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ých</w:t>
      </w:r>
      <w:r w:rsidR="000E27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poskytnutie dotácií obciam na vypracovanie územnoplánovacej dokumentácie podľa zákona </w:t>
      </w:r>
      <w:r w:rsidR="000E272C" w:rsidRPr="008F0B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226/2011 Z. z.</w:t>
      </w:r>
      <w:r w:rsidR="000E27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0E272C" w:rsidRPr="008F0B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 poskytovaní dotácií na spracovanie územnoplánovacej dokumentácie obcí</w:t>
      </w:r>
      <w:r w:rsidR="000E27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Zvýšen</w:t>
      </w:r>
      <w:r w:rsidR="007632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ý</w:t>
      </w:r>
      <w:r w:rsidR="000E27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limit výdavkov na tento účel vyplýva z dôvodu upravenej povinnosti obstarať </w:t>
      </w:r>
      <w:r w:rsidR="000E272C" w:rsidRPr="008F0B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územnoplánovac</w:t>
      </w:r>
      <w:r w:rsidR="000E27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iu</w:t>
      </w:r>
      <w:r w:rsidR="000E272C" w:rsidRPr="008F0B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dokumentáci</w:t>
      </w:r>
      <w:r w:rsidR="000E27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</w:t>
      </w:r>
      <w:r w:rsidR="007632D8" w:rsidRPr="007632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7632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 všetky obce v návrhu zákona</w:t>
      </w:r>
      <w:r w:rsidR="000E27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V doterajšej právnej norme bola povinnosť obstarania </w:t>
      </w:r>
      <w:r w:rsidR="000E272C" w:rsidRPr="008F0B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územnoplánovacej dokumentácie</w:t>
      </w:r>
      <w:r w:rsidR="000E27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7632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len </w:t>
      </w:r>
      <w:r w:rsidR="000E27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 obce s počtom obyvateľov nad 2000.</w:t>
      </w:r>
      <w:r w:rsidR="00E00A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Navýšenie limitu </w:t>
      </w:r>
      <w:r w:rsidR="009141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počtu </w:t>
      </w:r>
      <w:r w:rsidR="00E00A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zamestnancov ako aj </w:t>
      </w:r>
      <w:r w:rsidR="009141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rozpočtovo</w:t>
      </w:r>
      <w:r w:rsidR="00E00A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nekrytý vplyv si </w:t>
      </w:r>
      <w:r w:rsidR="00E00A74" w:rsidRPr="003A32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bud</w:t>
      </w:r>
      <w:r w:rsidR="003A32A8" w:rsidRPr="003A32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</w:t>
      </w:r>
      <w:r w:rsidR="005013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vzhľadom na vysoko pozitívny vplyv na príjmovú časť rozpočtu verejnej správy, </w:t>
      </w:r>
      <w:r w:rsidR="00E00A74" w:rsidRPr="003A32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MDV SR </w:t>
      </w:r>
      <w:r w:rsidR="003A32A8" w:rsidRPr="003A32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ako aj MV SR uplatňovať </w:t>
      </w:r>
      <w:r w:rsidR="00E00A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procese prípravy </w:t>
      </w:r>
      <w:r w:rsidR="009141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návrhu </w:t>
      </w:r>
      <w:r w:rsidR="00E00A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rozpočtu verejnej správy na roky 202</w:t>
      </w:r>
      <w:r w:rsidR="005013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="00E00A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– 202</w:t>
      </w:r>
      <w:r w:rsidR="009141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="00E00A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14:paraId="40A031C4" w14:textId="77777777" w:rsidR="000E272C" w:rsidRDefault="000E272C" w:rsidP="0014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CA2055E" w14:textId="77777777" w:rsidR="00E75606" w:rsidRPr="008F0B4A" w:rsidRDefault="00E75606" w:rsidP="00E756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EB4C6D5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083CB180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721FFE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0442185C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6AD4707" w14:textId="77777777" w:rsidR="00C751C4" w:rsidRDefault="00C751C4" w:rsidP="000E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A. Návrh rieši problematiku obstarávania územnoplánovacej dokumentácie. </w:t>
      </w:r>
    </w:p>
    <w:p w14:paraId="708ACDED" w14:textId="77777777" w:rsidR="006858B5" w:rsidRDefault="006858B5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0AFD01" w14:textId="77777777" w:rsidR="007D5748" w:rsidRPr="00A9772B" w:rsidRDefault="00C751C4" w:rsidP="000E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Pr="00A977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D3590E" w:rsidRPr="00A9772B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rieši problematiku vydávania územného stanoviska k stavebným zámerom a iným činnostiam v území.  Návrh bude realizovať obec ako orgán územného plánovania, pri nečinnosti obce (</w:t>
      </w:r>
      <w:r w:rsidRPr="00A9772B">
        <w:rPr>
          <w:rFonts w:ascii="Times New Roman" w:eastAsia="Times New Roman" w:hAnsi="Times New Roman" w:cs="Times New Roman"/>
          <w:sz w:val="24"/>
          <w:szCs w:val="24"/>
          <w:lang w:eastAsia="sk-SK"/>
        </w:rPr>
        <w:t>uvažovaných</w:t>
      </w:r>
      <w:r w:rsidR="00D3590E" w:rsidRPr="00A977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10%</w:t>
      </w:r>
      <w:r w:rsidRPr="00A9772B">
        <w:rPr>
          <w:rFonts w:ascii="Times New Roman" w:eastAsia="Times New Roman" w:hAnsi="Times New Roman" w:cs="Times New Roman"/>
          <w:sz w:val="24"/>
          <w:szCs w:val="24"/>
          <w:lang w:eastAsia="sk-SK"/>
        </w:rPr>
        <w:t>) okresný úrad v sídle kraja</w:t>
      </w:r>
      <w:r w:rsidR="006858B5" w:rsidRPr="00A9772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898C53C" w14:textId="77777777" w:rsidR="00E75606" w:rsidRPr="00A9772B" w:rsidRDefault="00C751C4" w:rsidP="000E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77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Služba bude poskytovaná na obci </w:t>
      </w:r>
      <w:r w:rsidR="00E75606" w:rsidRPr="00A977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na okresnom úrade v sídle kraja. Služba bude spoplatnená správnym poplatkom vo výške </w:t>
      </w:r>
      <w:r w:rsidR="00A9772B" w:rsidRPr="00A9772B">
        <w:rPr>
          <w:rFonts w:ascii="Times New Roman" w:eastAsia="Times New Roman" w:hAnsi="Times New Roman" w:cs="Times New Roman"/>
          <w:sz w:val="24"/>
          <w:szCs w:val="24"/>
          <w:lang w:eastAsia="sk-SK"/>
        </w:rPr>
        <w:t>40</w:t>
      </w:r>
      <w:r w:rsidR="00E75606" w:rsidRPr="00A9772B">
        <w:rPr>
          <w:rFonts w:ascii="Times New Roman" w:eastAsia="Times New Roman" w:hAnsi="Times New Roman" w:cs="Times New Roman"/>
          <w:sz w:val="24"/>
          <w:szCs w:val="24"/>
          <w:lang w:eastAsia="sk-SK"/>
        </w:rPr>
        <w:t>,00 EUR pre fyzické osoby a </w:t>
      </w:r>
      <w:r w:rsidR="00A9772B" w:rsidRPr="00A9772B">
        <w:rPr>
          <w:rFonts w:ascii="Times New Roman" w:eastAsia="Times New Roman" w:hAnsi="Times New Roman" w:cs="Times New Roman"/>
          <w:sz w:val="24"/>
          <w:szCs w:val="24"/>
          <w:lang w:eastAsia="sk-SK"/>
        </w:rPr>
        <w:t>100</w:t>
      </w:r>
      <w:r w:rsidR="00E75606" w:rsidRPr="00A9772B">
        <w:rPr>
          <w:rFonts w:ascii="Times New Roman" w:eastAsia="Times New Roman" w:hAnsi="Times New Roman" w:cs="Times New Roman"/>
          <w:sz w:val="24"/>
          <w:szCs w:val="24"/>
          <w:lang w:eastAsia="sk-SK"/>
        </w:rPr>
        <w:t>,00 EUR pre právnické osoby.</w:t>
      </w:r>
    </w:p>
    <w:p w14:paraId="17D37FA4" w14:textId="77777777" w:rsidR="00C751C4" w:rsidRDefault="00C751C4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D47F56" w14:textId="77777777" w:rsidR="00C751C4" w:rsidRDefault="00C751C4" w:rsidP="000E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C. Návrh rieši problematiku vydávania územnoplánovacej informácie. Návrh bude realizovať obe</w:t>
      </w:r>
      <w:r w:rsidR="00E75606">
        <w:rPr>
          <w:rFonts w:ascii="Times New Roman" w:eastAsia="Times New Roman" w:hAnsi="Times New Roman" w:cs="Times New Roman"/>
          <w:sz w:val="24"/>
          <w:szCs w:val="24"/>
          <w:lang w:eastAsia="sk-SK"/>
        </w:rPr>
        <w:t>c ako orgán územného plánovania a ak bude potreba aj vyšší územný celok</w:t>
      </w:r>
      <w:r w:rsidR="006858B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E25C808" w14:textId="77777777" w:rsidR="00C751C4" w:rsidRPr="007D5748" w:rsidRDefault="00C751C4" w:rsidP="000E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Služba bude poskytovaná na obci resp. v spoločných úradoch obcí.</w:t>
      </w:r>
      <w:r w:rsidR="00E756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Služba bude spoplatnená správnym poplatkom vo výške 10,00 EUR pre fyzické osoby a 20,00 EUR pre právnické osoby.</w:t>
      </w:r>
    </w:p>
    <w:p w14:paraId="2A77A0D1" w14:textId="77777777" w:rsidR="00C751C4" w:rsidRPr="007D5748" w:rsidRDefault="00C751C4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613775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14:paraId="0E9972ED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2FDAA565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207EF7A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357B08B7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4C0A35D0" w14:textId="77777777"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3EBF4487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4AB4D253" w14:textId="77777777" w:rsidR="00CA2C8D" w:rsidRDefault="007D5748" w:rsidP="00CA2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CA2C8D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15F5877B" w14:textId="77777777" w:rsidR="006858B5" w:rsidRDefault="00CA2C8D" w:rsidP="00CA2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 zavedené dve nové spoplatnené služby: </w:t>
      </w:r>
    </w:p>
    <w:p w14:paraId="075B3E8C" w14:textId="77777777" w:rsidR="00166B60" w:rsidRDefault="00CA2C8D" w:rsidP="006858B5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8B5">
        <w:rPr>
          <w:rFonts w:ascii="Times New Roman" w:eastAsia="Times New Roman" w:hAnsi="Times New Roman" w:cs="Times New Roman"/>
          <w:sz w:val="24"/>
          <w:szCs w:val="24"/>
          <w:lang w:eastAsia="sk-SK"/>
        </w:rPr>
        <w:t>vydávania územného stanoviska k stavebným záme</w:t>
      </w:r>
      <w:r w:rsidR="00166B60">
        <w:rPr>
          <w:rFonts w:ascii="Times New Roman" w:eastAsia="Times New Roman" w:hAnsi="Times New Roman" w:cs="Times New Roman"/>
          <w:sz w:val="24"/>
          <w:szCs w:val="24"/>
          <w:lang w:eastAsia="sk-SK"/>
        </w:rPr>
        <w:t>rom a iným činnostiam v</w:t>
      </w:r>
      <w:r w:rsidR="00A9772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166B60">
        <w:rPr>
          <w:rFonts w:ascii="Times New Roman" w:eastAsia="Times New Roman" w:hAnsi="Times New Roman" w:cs="Times New Roman"/>
          <w:sz w:val="24"/>
          <w:szCs w:val="24"/>
          <w:lang w:eastAsia="sk-SK"/>
        </w:rPr>
        <w:t>území</w:t>
      </w:r>
      <w:r w:rsidR="00A9772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166B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27B3190" w14:textId="77777777" w:rsidR="00166B60" w:rsidRDefault="00CA2C8D" w:rsidP="006858B5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8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vydávania územnoplánovacej informácie. </w:t>
      </w:r>
    </w:p>
    <w:p w14:paraId="5B293DB3" w14:textId="77777777" w:rsidR="00CA2C8D" w:rsidRDefault="00CA2C8D" w:rsidP="00166B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6B60">
        <w:rPr>
          <w:rFonts w:ascii="Times New Roman" w:eastAsia="Times New Roman" w:hAnsi="Times New Roman" w:cs="Times New Roman"/>
          <w:sz w:val="24"/>
          <w:szCs w:val="24"/>
          <w:lang w:eastAsia="sk-SK"/>
        </w:rPr>
        <w:t>Poplatky za služby budú príjmom obcí a pri nečinnosti obcí zabezpečí výkon služby vydania územného stanoviska zabezpečený okresným úradom v sídle kraja a predpokladaný príjem z poplatku v odhadovanom rozsahu 10% bude príjmom štátne</w:t>
      </w:r>
      <w:r w:rsidR="00A9772B">
        <w:rPr>
          <w:rFonts w:ascii="Times New Roman" w:eastAsia="Times New Roman" w:hAnsi="Times New Roman" w:cs="Times New Roman"/>
          <w:sz w:val="24"/>
          <w:szCs w:val="24"/>
          <w:lang w:eastAsia="sk-SK"/>
        </w:rPr>
        <w:t>ho rozpočtu</w:t>
      </w:r>
      <w:r w:rsidRPr="00166B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</w:t>
      </w:r>
    </w:p>
    <w:p w14:paraId="5830D471" w14:textId="77777777" w:rsidR="007632D8" w:rsidRDefault="007632D8" w:rsidP="00166B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52D9C7" w14:textId="77777777" w:rsidR="007632D8" w:rsidRDefault="007632D8" w:rsidP="00166B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798241" w14:textId="77777777" w:rsidR="007632D8" w:rsidRDefault="007632D8" w:rsidP="00166B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86E516" w14:textId="77777777" w:rsidR="008642E5" w:rsidRPr="00166B60" w:rsidRDefault="008642E5" w:rsidP="00166B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0F3EEE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EE044E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582807FD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C76515" w14:textId="77777777"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067D86E3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14:paraId="14F58D69" w14:textId="77777777" w:rsidTr="00985F55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18AC650B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28AD21C7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985F55" w:rsidRPr="007D5748" w14:paraId="63E8736A" w14:textId="77777777" w:rsidTr="00040801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2B3EBEE0" w14:textId="77777777" w:rsidR="00985F55" w:rsidRPr="007D5748" w:rsidRDefault="00985F55" w:rsidP="0098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12D6707" w14:textId="77777777" w:rsidR="00985F55" w:rsidRPr="007D5748" w:rsidRDefault="00985F55" w:rsidP="0098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5D62E3D" w14:textId="77777777" w:rsidR="00985F55" w:rsidRPr="007D5748" w:rsidRDefault="00985F55" w:rsidP="0098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4B8CAED" w14:textId="77777777" w:rsidR="00985F55" w:rsidRPr="007D5748" w:rsidRDefault="00985F55" w:rsidP="0098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04DCE1A" w14:textId="77777777" w:rsidR="00985F55" w:rsidRPr="007D5748" w:rsidRDefault="00985F55" w:rsidP="0098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</w:tr>
      <w:tr w:rsidR="007D5748" w:rsidRPr="007D5748" w14:paraId="511EA68F" w14:textId="77777777" w:rsidTr="00040801">
        <w:trPr>
          <w:trHeight w:val="70"/>
        </w:trPr>
        <w:tc>
          <w:tcPr>
            <w:tcW w:w="4530" w:type="dxa"/>
          </w:tcPr>
          <w:p w14:paraId="67A09DA5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17CCB19D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2C69261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6EA4B83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55FA3E0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78E41892" w14:textId="77777777" w:rsidTr="00040801">
        <w:trPr>
          <w:trHeight w:val="70"/>
        </w:trPr>
        <w:tc>
          <w:tcPr>
            <w:tcW w:w="4530" w:type="dxa"/>
          </w:tcPr>
          <w:p w14:paraId="1FE8A227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3AA182B7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1208A6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86BAA01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1565AE80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60610F81" w14:textId="77777777" w:rsidTr="00040801">
        <w:trPr>
          <w:trHeight w:val="70"/>
        </w:trPr>
        <w:tc>
          <w:tcPr>
            <w:tcW w:w="4530" w:type="dxa"/>
          </w:tcPr>
          <w:p w14:paraId="618FA275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5E584170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AD344D8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16050689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9D8772E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069CA201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41FFC78C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970EC5" w14:textId="77777777" w:rsidR="009D3C20" w:rsidRPr="007D5748" w:rsidRDefault="009D3C20" w:rsidP="009D3C20">
      <w:pPr>
        <w:spacing w:after="0" w:line="240" w:lineRule="auto"/>
        <w:rPr>
          <w:rFonts w:ascii="Times New Roman" w:eastAsia="Times New Roman" w:hAnsi="Times New Roman" w:cs="Verdana"/>
          <w:b/>
          <w:bCs/>
          <w:i/>
          <w:iCs/>
          <w:sz w:val="24"/>
          <w:szCs w:val="24"/>
        </w:rPr>
      </w:pPr>
      <w:r w:rsidRPr="007D5748">
        <w:rPr>
          <w:rFonts w:ascii="Times New Roman" w:eastAsia="Times New Roman" w:hAnsi="Times New Roman" w:cs="Verdana"/>
          <w:b/>
          <w:bCs/>
          <w:i/>
          <w:iCs/>
          <w:sz w:val="24"/>
          <w:szCs w:val="24"/>
        </w:rPr>
        <w:t>Výpočet vplyvu na príjmy</w:t>
      </w:r>
    </w:p>
    <w:p w14:paraId="1A1E44EE" w14:textId="77777777" w:rsidR="00084106" w:rsidRPr="00084106" w:rsidRDefault="007632D8" w:rsidP="0008410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084106"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roku 2011 </w:t>
      </w:r>
      <w:r w:rsidR="00F952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bolo </w:t>
      </w:r>
      <w:r w:rsidR="00084106"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vydaných 102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84106"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265 rozhodnutí (územné, stavebné, ohlásenie) v správnom konaní (zdroj - Audit verejnej správy na úseku štátnej stavebnej správy 2011).</w:t>
      </w:r>
    </w:p>
    <w:p w14:paraId="16471C21" w14:textId="77777777" w:rsidR="00084106" w:rsidRPr="00084106" w:rsidRDefault="00084106" w:rsidP="007632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Údaje </w:t>
      </w:r>
      <w:r w:rsidR="007839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rámci výpočtu vplyvov na verejné financie vyplývajúce z návrhu zákona 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vychádzajú z roku 2011, ke</w:t>
      </w:r>
      <w:r w:rsidR="007839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dy 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postupne začal rast stavebníctva po kríze </w:t>
      </w:r>
      <w:r w:rsidR="007632D8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 roku 200</w:t>
      </w:r>
      <w:r w:rsidR="007632D8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1C2F4F">
        <w:rPr>
          <w:rFonts w:ascii="Times New Roman" w:eastAsia="Times New Roman" w:hAnsi="Times New Roman" w:cs="Times New Roman"/>
          <w:sz w:val="24"/>
          <w:szCs w:val="24"/>
          <w:lang w:eastAsia="sk-SK"/>
        </w:rPr>
        <w:t>. V</w:t>
      </w:r>
      <w:r w:rsidR="007632D8">
        <w:rPr>
          <w:rFonts w:ascii="Times New Roman" w:eastAsia="Times New Roman" w:hAnsi="Times New Roman" w:cs="Times New Roman"/>
          <w:sz w:val="24"/>
          <w:szCs w:val="24"/>
          <w:lang w:eastAsia="sk-SK"/>
        </w:rPr>
        <w:t>ýpočet očakávaných príjmov rozpočt</w:t>
      </w:r>
      <w:r w:rsidR="00A9772B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verejnej správy</w:t>
      </w:r>
      <w:r w:rsidR="007632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9772B">
        <w:rPr>
          <w:rFonts w:ascii="Times New Roman" w:eastAsia="Times New Roman" w:hAnsi="Times New Roman" w:cs="Times New Roman"/>
          <w:sz w:val="24"/>
          <w:szCs w:val="24"/>
          <w:lang w:eastAsia="sk-SK"/>
        </w:rPr>
        <w:t>(obec a okresný úrad) sa</w:t>
      </w:r>
      <w:r w:rsidR="004C659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A977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632D8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úkonov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novo definovaných konaniach obce </w:t>
      </w:r>
      <w:r w:rsidR="00A977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(pri nečinnosti zabezpečuje okresný úrad) 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mimo správneho konania, uvažuje s rovnakým počtom aktivít v predmetnej oblasti: </w:t>
      </w:r>
    </w:p>
    <w:p w14:paraId="410EE445" w14:textId="77777777" w:rsidR="00084106" w:rsidRPr="00084106" w:rsidRDefault="00084106" w:rsidP="00084106">
      <w:pPr>
        <w:pStyle w:val="Odsekzoznamu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vydanie územného stanoviska v počte 102</w:t>
      </w:r>
      <w:r w:rsidR="007632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265 (100% z</w:t>
      </w:r>
      <w:r w:rsidR="001C2F4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102</w:t>
      </w:r>
      <w:r w:rsidR="001C2F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265) s uvažovaným priemerom správneho za vydanie poplatku vo výške </w:t>
      </w:r>
      <w:r w:rsidR="004C659F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0,00 EUR (</w:t>
      </w:r>
      <w:r w:rsidR="004C659F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0,00 EUR fyzické osoby a </w:t>
      </w:r>
      <w:r w:rsidR="004C659F">
        <w:rPr>
          <w:rFonts w:ascii="Times New Roman" w:eastAsia="Times New Roman" w:hAnsi="Times New Roman" w:cs="Times New Roman"/>
          <w:sz w:val="24"/>
          <w:szCs w:val="24"/>
          <w:lang w:eastAsia="sk-SK"/>
        </w:rPr>
        <w:t>100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,00 EUR právnické osoby)</w:t>
      </w:r>
    </w:p>
    <w:p w14:paraId="73581370" w14:textId="77777777" w:rsidR="00084106" w:rsidRPr="00084106" w:rsidRDefault="00084106" w:rsidP="00084106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Spolu v roku : </w:t>
      </w:r>
      <w:r w:rsidR="004C659F">
        <w:rPr>
          <w:rFonts w:ascii="Times New Roman" w:eastAsia="Times New Roman" w:hAnsi="Times New Roman" w:cs="Times New Roman"/>
          <w:sz w:val="24"/>
          <w:szCs w:val="24"/>
          <w:lang w:eastAsia="sk-SK"/>
        </w:rPr>
        <w:t>7 158 550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,00 EUR (z toho obce 90% = </w:t>
      </w:r>
      <w:r w:rsidR="004C659F">
        <w:rPr>
          <w:rFonts w:ascii="Times New Roman" w:eastAsia="Times New Roman" w:hAnsi="Times New Roman" w:cs="Times New Roman"/>
          <w:sz w:val="24"/>
          <w:szCs w:val="24"/>
          <w:lang w:eastAsia="sk-SK"/>
        </w:rPr>
        <w:t>6 442 695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,00 EUR a OÚ 10% =</w:t>
      </w:r>
      <w:r w:rsidR="004C659F">
        <w:rPr>
          <w:rFonts w:ascii="Times New Roman" w:eastAsia="Times New Roman" w:hAnsi="Times New Roman" w:cs="Times New Roman"/>
          <w:sz w:val="24"/>
          <w:szCs w:val="24"/>
          <w:lang w:eastAsia="sk-SK"/>
        </w:rPr>
        <w:t>715 855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,00 EUR).</w:t>
      </w:r>
    </w:p>
    <w:p w14:paraId="14EEB0DE" w14:textId="77777777" w:rsidR="00084106" w:rsidRPr="00084106" w:rsidRDefault="00084106" w:rsidP="000841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Do príjmovej časti pre ob</w:t>
      </w:r>
      <w:r w:rsidR="001C2F4F">
        <w:rPr>
          <w:rFonts w:ascii="Times New Roman" w:eastAsia="Times New Roman" w:hAnsi="Times New Roman" w:cs="Times New Roman"/>
          <w:sz w:val="24"/>
          <w:szCs w:val="24"/>
          <w:lang w:eastAsia="sk-SK"/>
        </w:rPr>
        <w:t>ce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VÚC zo správnych poplatkov vstupuje príjem za: </w:t>
      </w:r>
    </w:p>
    <w:p w14:paraId="2403EDD2" w14:textId="77777777" w:rsidR="00084106" w:rsidRPr="00084106" w:rsidRDefault="00084106" w:rsidP="00084106">
      <w:pPr>
        <w:pStyle w:val="Odsekzoznamu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vydania územnoplánovacej informácie v počte 40</w:t>
      </w:r>
      <w:r w:rsidR="001C2F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906 (40% z</w:t>
      </w:r>
      <w:r w:rsidR="001C2F4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102</w:t>
      </w:r>
      <w:r w:rsidR="001C2F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265) s uvažovaným priemerom správneho poplatku za vydanie vo výške 15,00 EUR (10,00 EUR fyzické osoby a 20,00 EUR právnické osoby) </w:t>
      </w:r>
    </w:p>
    <w:p w14:paraId="45C75B78" w14:textId="77777777" w:rsidR="00084106" w:rsidRPr="00084106" w:rsidRDefault="00084106" w:rsidP="00084106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Spolu v roku:  613</w:t>
      </w:r>
      <w:r w:rsidR="001C2F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590,00 EUR (z toho obce 35% = 536</w:t>
      </w:r>
      <w:r w:rsidR="001C2F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891,25 EUR a VÚC 5% =76</w:t>
      </w:r>
      <w:r w:rsidR="001C2F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698,75 EUR).</w:t>
      </w:r>
    </w:p>
    <w:p w14:paraId="0C0CDDB1" w14:textId="77777777" w:rsidR="00084106" w:rsidRPr="00084106" w:rsidRDefault="00084106" w:rsidP="00084106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A193A2" w14:textId="77777777" w:rsidR="00084106" w:rsidRPr="00084106" w:rsidRDefault="00084106" w:rsidP="00084106">
      <w:pPr>
        <w:pStyle w:val="Odsekzoznamu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Spolu príjem pre obce je </w:t>
      </w:r>
      <w:r w:rsidR="004C659F">
        <w:rPr>
          <w:rFonts w:ascii="Times New Roman" w:eastAsia="Times New Roman" w:hAnsi="Times New Roman" w:cs="Times New Roman"/>
          <w:sz w:val="24"/>
          <w:szCs w:val="24"/>
          <w:lang w:eastAsia="sk-SK"/>
        </w:rPr>
        <w:t>6 979 586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,25 EUR a pozostáva zo správnych poplatkov za vydanie územného stanoviska a za vydanie územnoplánovacej informácie.</w:t>
      </w:r>
    </w:p>
    <w:p w14:paraId="25A9A0DE" w14:textId="77777777" w:rsidR="00084106" w:rsidRPr="00084106" w:rsidRDefault="00084106" w:rsidP="00084106">
      <w:pPr>
        <w:pStyle w:val="Odsekzoznamu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Spolu príjem pre VÚC je 76</w:t>
      </w:r>
      <w:r w:rsidR="001C2F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698,75 EUR a pozostáva zo správnych poplatkov za vydanie územnoplánovacej informácie.</w:t>
      </w:r>
    </w:p>
    <w:p w14:paraId="778D3784" w14:textId="77777777" w:rsidR="00084106" w:rsidRPr="00084106" w:rsidRDefault="00084106" w:rsidP="00084106">
      <w:pPr>
        <w:pStyle w:val="Odsekzoznamu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Spolu príjem pre OÚ je </w:t>
      </w:r>
      <w:r w:rsidR="004C659F">
        <w:rPr>
          <w:rFonts w:ascii="Times New Roman" w:eastAsia="Times New Roman" w:hAnsi="Times New Roman" w:cs="Times New Roman"/>
          <w:sz w:val="24"/>
          <w:szCs w:val="24"/>
          <w:lang w:eastAsia="sk-SK"/>
        </w:rPr>
        <w:t>715 855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,00 EUR a pozostáva zo správnych poplatkov za vydanie územného stanoviska.</w:t>
      </w:r>
    </w:p>
    <w:p w14:paraId="7F97BF1B" w14:textId="77777777" w:rsidR="009D3C20" w:rsidRPr="007D5748" w:rsidRDefault="009D3C20" w:rsidP="009D3C20">
      <w:pPr>
        <w:spacing w:after="0" w:line="240" w:lineRule="auto"/>
        <w:jc w:val="both"/>
        <w:rPr>
          <w:rFonts w:ascii="Times New Roman" w:eastAsia="Times New Roman" w:hAnsi="Times New Roman" w:cs="Verdana"/>
          <w:b/>
          <w:bCs/>
          <w:i/>
          <w:iCs/>
          <w:sz w:val="24"/>
          <w:szCs w:val="24"/>
        </w:rPr>
      </w:pPr>
    </w:p>
    <w:p w14:paraId="7B8B6E42" w14:textId="77777777" w:rsidR="009D3C20" w:rsidRPr="007D5748" w:rsidRDefault="009D3C20" w:rsidP="009D3C20">
      <w:pPr>
        <w:spacing w:after="0" w:line="240" w:lineRule="auto"/>
        <w:jc w:val="both"/>
        <w:rPr>
          <w:rFonts w:ascii="Times New Roman" w:eastAsia="Times New Roman" w:hAnsi="Times New Roman" w:cs="Verdana"/>
          <w:b/>
          <w:bCs/>
          <w:i/>
          <w:iCs/>
          <w:sz w:val="24"/>
          <w:szCs w:val="24"/>
        </w:rPr>
      </w:pPr>
      <w:r w:rsidRPr="007D5748">
        <w:rPr>
          <w:rFonts w:ascii="Times New Roman" w:eastAsia="Times New Roman" w:hAnsi="Times New Roman" w:cs="Verdana"/>
          <w:b/>
          <w:bCs/>
          <w:i/>
          <w:iCs/>
          <w:sz w:val="24"/>
          <w:szCs w:val="24"/>
        </w:rPr>
        <w:t xml:space="preserve">Výpočet </w:t>
      </w:r>
      <w:r w:rsidR="00CE73D1">
        <w:rPr>
          <w:rFonts w:ascii="Times New Roman" w:eastAsia="Times New Roman" w:hAnsi="Times New Roman" w:cs="Verdana"/>
          <w:b/>
          <w:bCs/>
          <w:i/>
          <w:iCs/>
          <w:sz w:val="24"/>
          <w:szCs w:val="24"/>
        </w:rPr>
        <w:t>výdavkov</w:t>
      </w:r>
    </w:p>
    <w:p w14:paraId="2F11D922" w14:textId="77777777" w:rsidR="007D5748" w:rsidRDefault="00084106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Hlavným </w:t>
      </w:r>
      <w:r w:rsidR="00CE73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výdavkovým titulom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 suma 1</w:t>
      </w:r>
      <w:r w:rsidR="001C2F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200</w:t>
      </w:r>
      <w:r w:rsidR="001C2F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000,00</w:t>
      </w:r>
      <w:r w:rsidR="001C2F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 na zabezpečenie </w:t>
      </w:r>
      <w:r w:rsidR="00F5449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finančného krytia poskytnutia dotácie obciam na vypracovanie územnoplánovacej dokumentácie podľa zákona </w:t>
      </w:r>
      <w:r w:rsidR="00F5449C" w:rsidRPr="008F0B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226/2011 Z. z.</w:t>
      </w:r>
      <w:r w:rsidR="00F5449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5449C" w:rsidRPr="008F0B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 poskytovaní dotácií na spracovanie územnoplánovacej dokumentácie obcí</w:t>
      </w:r>
      <w:r w:rsidR="00F5449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14:paraId="5AC3AA44" w14:textId="77777777" w:rsidR="00F5449C" w:rsidRDefault="00F5449C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67E665" w14:textId="77777777" w:rsidR="00EE0AC7" w:rsidRDefault="00CE73D1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M</w:t>
      </w:r>
      <w:r w:rsidR="001C2F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zdové výdavky </w:t>
      </w:r>
      <w:r w:rsid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pozostávajú z nárastu potreby nových zamestnancov na zabezpečenie plnenia úloh a činností podľa návrhu zákona a tvoria ich</w:t>
      </w:r>
      <w:r w:rsidR="00EE0A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mzdové náklady</w:t>
      </w:r>
      <w:r w:rsidR="00EE0AC7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6FFE758C" w14:textId="77777777" w:rsidR="00EE0AC7" w:rsidRDefault="00EE0AC7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F0794B" w14:textId="77777777" w:rsidR="00EE0AC7" w:rsidRDefault="00EE0AC7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063739" w14:textId="09726724" w:rsidR="00084106" w:rsidRPr="0077680E" w:rsidRDefault="00901F88" w:rsidP="0077680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680E">
        <w:rPr>
          <w:rFonts w:ascii="Times New Roman" w:eastAsia="Times New Roman" w:hAnsi="Times New Roman" w:cs="Times New Roman"/>
          <w:sz w:val="24"/>
          <w:szCs w:val="24"/>
          <w:lang w:eastAsia="sk-SK"/>
        </w:rPr>
        <w:t>od 1. 1. 2022 pre MDV SR (+</w:t>
      </w:r>
      <w:r w:rsidR="008F318B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77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zamestnan</w:t>
      </w:r>
      <w:r w:rsidR="006E0788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77680E">
        <w:rPr>
          <w:rFonts w:ascii="Times New Roman" w:eastAsia="Times New Roman" w:hAnsi="Times New Roman" w:cs="Times New Roman"/>
          <w:sz w:val="24"/>
          <w:szCs w:val="24"/>
          <w:lang w:eastAsia="sk-SK"/>
        </w:rPr>
        <w:t>c) a</w:t>
      </w:r>
      <w:r w:rsidR="007A1A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MV SR - </w:t>
      </w:r>
      <w:r w:rsidRPr="0077680E">
        <w:rPr>
          <w:rFonts w:ascii="Times New Roman" w:eastAsia="Times New Roman" w:hAnsi="Times New Roman" w:cs="Times New Roman"/>
          <w:sz w:val="24"/>
          <w:szCs w:val="24"/>
          <w:lang w:eastAsia="sk-SK"/>
        </w:rPr>
        <w:t>Okresné úrady v sídle kraja (+</w:t>
      </w:r>
      <w:r w:rsidR="008F318B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77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zamestnancov)</w:t>
      </w:r>
      <w:r w:rsidR="00EE0A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084106" w:rsidRPr="0077680E">
        <w:rPr>
          <w:rFonts w:ascii="Times New Roman" w:eastAsia="Times New Roman" w:hAnsi="Times New Roman" w:cs="Times New Roman"/>
          <w:sz w:val="24"/>
          <w:szCs w:val="24"/>
          <w:lang w:eastAsia="sk-SK"/>
        </w:rPr>
        <w:t>v objeme</w:t>
      </w:r>
      <w:r w:rsidR="00084106" w:rsidRPr="007768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0465D9" w:rsidRPr="0077680E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  <w:r w:rsidR="006E078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0465D9" w:rsidRPr="0077680E">
        <w:rPr>
          <w:rFonts w:ascii="Times New Roman" w:eastAsia="Times New Roman" w:hAnsi="Times New Roman" w:cs="Times New Roman"/>
          <w:sz w:val="24"/>
          <w:szCs w:val="24"/>
          <w:lang w:eastAsia="sk-SK"/>
        </w:rPr>
        <w:t>476</w:t>
      </w:r>
      <w:r w:rsidR="006E0788">
        <w:rPr>
          <w:rFonts w:ascii="Times New Roman" w:eastAsia="Times New Roman" w:hAnsi="Times New Roman" w:cs="Times New Roman"/>
          <w:sz w:val="24"/>
          <w:szCs w:val="24"/>
          <w:lang w:eastAsia="sk-SK"/>
        </w:rPr>
        <w:t>,10</w:t>
      </w:r>
      <w:r w:rsidR="00084106" w:rsidRPr="0077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EUR/mesiac</w:t>
      </w:r>
      <w:r w:rsidR="00046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= 137</w:t>
      </w:r>
      <w:r w:rsidR="006E078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0465D9">
        <w:rPr>
          <w:rFonts w:ascii="Times New Roman" w:eastAsia="Times New Roman" w:hAnsi="Times New Roman" w:cs="Times New Roman"/>
          <w:sz w:val="24"/>
          <w:szCs w:val="24"/>
          <w:lang w:eastAsia="sk-SK"/>
        </w:rPr>
        <w:t>713</w:t>
      </w:r>
      <w:r w:rsidR="006E0788">
        <w:rPr>
          <w:rFonts w:ascii="Times New Roman" w:eastAsia="Times New Roman" w:hAnsi="Times New Roman" w:cs="Times New Roman"/>
          <w:sz w:val="24"/>
          <w:szCs w:val="24"/>
          <w:lang w:eastAsia="sk-SK"/>
        </w:rPr>
        <w:t>,20</w:t>
      </w:r>
      <w:r w:rsidR="00046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EUR/rok</w:t>
      </w:r>
      <w:r w:rsidR="006E078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77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84106" w:rsidRPr="0077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6A816430" w14:textId="77777777" w:rsid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0ED8784" w14:textId="77777777" w:rsidR="0032796D" w:rsidRDefault="0032796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2177"/>
      </w:tblGrid>
      <w:tr w:rsidR="008F318B" w14:paraId="00F1A9F7" w14:textId="77777777" w:rsidTr="007A1AEA">
        <w:tc>
          <w:tcPr>
            <w:tcW w:w="3256" w:type="dxa"/>
          </w:tcPr>
          <w:p w14:paraId="33749305" w14:textId="77777777" w:rsidR="008F318B" w:rsidRDefault="008F318B" w:rsidP="00914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77" w:type="dxa"/>
          </w:tcPr>
          <w:p w14:paraId="13D8D860" w14:textId="77777777" w:rsidR="008F318B" w:rsidRPr="0077680E" w:rsidRDefault="008F318B" w:rsidP="007768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76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2022</w:t>
            </w:r>
          </w:p>
        </w:tc>
      </w:tr>
      <w:tr w:rsidR="008F318B" w14:paraId="0A4EFBCD" w14:textId="77777777" w:rsidTr="007A1AEA">
        <w:tc>
          <w:tcPr>
            <w:tcW w:w="3256" w:type="dxa"/>
          </w:tcPr>
          <w:p w14:paraId="521224B6" w14:textId="77777777" w:rsidR="008F318B" w:rsidRPr="0077680E" w:rsidRDefault="008F318B" w:rsidP="0091419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76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Navýšenie limitu počtu zamestnancov:</w:t>
            </w:r>
          </w:p>
        </w:tc>
        <w:tc>
          <w:tcPr>
            <w:tcW w:w="2177" w:type="dxa"/>
          </w:tcPr>
          <w:p w14:paraId="1DA2D195" w14:textId="77777777" w:rsidR="008F318B" w:rsidRPr="0077680E" w:rsidRDefault="008F318B" w:rsidP="007768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76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</w:p>
        </w:tc>
      </w:tr>
      <w:tr w:rsidR="008F318B" w14:paraId="346521AA" w14:textId="77777777" w:rsidTr="007A1AEA">
        <w:tc>
          <w:tcPr>
            <w:tcW w:w="3256" w:type="dxa"/>
          </w:tcPr>
          <w:p w14:paraId="131EA391" w14:textId="77777777" w:rsidR="008F318B" w:rsidRDefault="008F318B" w:rsidP="00914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MDV SR</w:t>
            </w:r>
          </w:p>
        </w:tc>
        <w:tc>
          <w:tcPr>
            <w:tcW w:w="2177" w:type="dxa"/>
          </w:tcPr>
          <w:p w14:paraId="55302E18" w14:textId="77777777" w:rsidR="008F318B" w:rsidRDefault="008F318B" w:rsidP="00776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8F318B" w14:paraId="79CE8E7E" w14:textId="77777777" w:rsidTr="007A1AEA">
        <w:tc>
          <w:tcPr>
            <w:tcW w:w="3256" w:type="dxa"/>
          </w:tcPr>
          <w:p w14:paraId="26C95385" w14:textId="77777777" w:rsidR="008F318B" w:rsidRDefault="008F318B" w:rsidP="00914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 – okresné úrady v sídle kraja</w:t>
            </w:r>
          </w:p>
        </w:tc>
        <w:tc>
          <w:tcPr>
            <w:tcW w:w="2177" w:type="dxa"/>
          </w:tcPr>
          <w:p w14:paraId="5646EBBD" w14:textId="77777777" w:rsidR="008F318B" w:rsidRDefault="008F318B" w:rsidP="00776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</w:tr>
      <w:tr w:rsidR="008F318B" w14:paraId="41C32CBD" w14:textId="77777777" w:rsidTr="007A1AEA">
        <w:tc>
          <w:tcPr>
            <w:tcW w:w="3256" w:type="dxa"/>
          </w:tcPr>
          <w:p w14:paraId="043D7A01" w14:textId="77777777" w:rsidR="008F318B" w:rsidRDefault="008F318B" w:rsidP="00914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77" w:type="dxa"/>
          </w:tcPr>
          <w:p w14:paraId="12A43CF5" w14:textId="77777777" w:rsidR="008F318B" w:rsidRDefault="008F318B" w:rsidP="007A1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F318B" w14:paraId="12D4C805" w14:textId="77777777" w:rsidTr="007A1AEA">
        <w:tc>
          <w:tcPr>
            <w:tcW w:w="3256" w:type="dxa"/>
          </w:tcPr>
          <w:p w14:paraId="77982F2A" w14:textId="77777777" w:rsidR="008F318B" w:rsidRPr="0077680E" w:rsidRDefault="008F318B" w:rsidP="0091419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76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Navýšenie limitu výdavkov:</w:t>
            </w:r>
          </w:p>
        </w:tc>
        <w:tc>
          <w:tcPr>
            <w:tcW w:w="2177" w:type="dxa"/>
          </w:tcPr>
          <w:p w14:paraId="202DA9B8" w14:textId="77777777" w:rsidR="008F318B" w:rsidRPr="0077680E" w:rsidRDefault="008F318B" w:rsidP="009141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137 713</w:t>
            </w:r>
          </w:p>
        </w:tc>
      </w:tr>
      <w:tr w:rsidR="008F318B" w14:paraId="3EC460F8" w14:textId="77777777" w:rsidTr="007A1AEA">
        <w:tc>
          <w:tcPr>
            <w:tcW w:w="3256" w:type="dxa"/>
          </w:tcPr>
          <w:p w14:paraId="080A28EF" w14:textId="77777777" w:rsidR="008F318B" w:rsidRDefault="008F318B" w:rsidP="007A1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MDV SR</w:t>
            </w:r>
          </w:p>
        </w:tc>
        <w:tc>
          <w:tcPr>
            <w:tcW w:w="2177" w:type="dxa"/>
          </w:tcPr>
          <w:p w14:paraId="55EEA1DC" w14:textId="77777777" w:rsidR="008F318B" w:rsidRPr="00914193" w:rsidRDefault="008F318B" w:rsidP="007A1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6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34 428</w:t>
            </w:r>
          </w:p>
        </w:tc>
      </w:tr>
      <w:tr w:rsidR="008F318B" w14:paraId="26D57F91" w14:textId="77777777" w:rsidTr="007A1AEA">
        <w:tc>
          <w:tcPr>
            <w:tcW w:w="3256" w:type="dxa"/>
          </w:tcPr>
          <w:p w14:paraId="0EC8E117" w14:textId="77777777" w:rsidR="008F318B" w:rsidRDefault="008F318B" w:rsidP="007A1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 – okresné úrady v sídle kraja</w:t>
            </w:r>
          </w:p>
        </w:tc>
        <w:tc>
          <w:tcPr>
            <w:tcW w:w="2177" w:type="dxa"/>
          </w:tcPr>
          <w:p w14:paraId="1DB43EAF" w14:textId="77777777" w:rsidR="008F318B" w:rsidRPr="00914193" w:rsidRDefault="008F318B" w:rsidP="007A1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6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103 285</w:t>
            </w:r>
          </w:p>
        </w:tc>
      </w:tr>
    </w:tbl>
    <w:p w14:paraId="678B95CC" w14:textId="77777777" w:rsidR="0032796D" w:rsidRDefault="0032796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0FE8ED2" w14:textId="77777777" w:rsidR="0032796D" w:rsidRDefault="0032796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0B9F4B7" w14:textId="77777777" w:rsidR="0032796D" w:rsidRDefault="0032796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8EDF603" w14:textId="77777777" w:rsidR="0032796D" w:rsidRDefault="0032796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C03895C" w14:textId="77777777" w:rsidR="0032796D" w:rsidRDefault="0032796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EB97812" w14:textId="77777777" w:rsidR="0032796D" w:rsidRDefault="0032796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C4028B9" w14:textId="77777777" w:rsidR="0032796D" w:rsidRDefault="0032796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4672768" w14:textId="77777777" w:rsidR="0032796D" w:rsidRDefault="0032796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45FB7B2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5716E554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32796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14:paraId="2468B42A" w14:textId="77777777" w:rsidR="00575DA1" w:rsidRDefault="00575DA1" w:rsidP="00575DA1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Tabuľka č. 3</w:t>
      </w:r>
    </w:p>
    <w:p w14:paraId="5FD47145" w14:textId="77777777" w:rsidR="00575DA1" w:rsidRDefault="00575DA1" w:rsidP="00575DA1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40A3EE0" w14:textId="77777777" w:rsidR="0032796D" w:rsidRDefault="0032796D" w:rsidP="0032796D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81B1D46" w14:textId="77777777" w:rsidR="00575DA1" w:rsidRDefault="00575DA1" w:rsidP="0032796D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33ED0AF" w14:textId="77777777" w:rsidR="00575DA1" w:rsidRDefault="00575DA1" w:rsidP="0032796D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BD8A3A4" w14:textId="77777777" w:rsidR="00575DA1" w:rsidRDefault="00575DA1" w:rsidP="0032796D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10A8ACB" w14:textId="77777777" w:rsidR="00575DA1" w:rsidRDefault="00575DA1" w:rsidP="0032796D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C7B5AC5" w14:textId="77777777" w:rsidR="00575DA1" w:rsidRDefault="00575DA1" w:rsidP="0032796D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3562D48" w14:textId="77777777" w:rsidR="00575DA1" w:rsidRDefault="00575DA1" w:rsidP="0032796D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C13E46B" w14:textId="77777777" w:rsidR="00575DA1" w:rsidRDefault="00575DA1" w:rsidP="0032796D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22EBEBA" w14:textId="77777777" w:rsidR="00575DA1" w:rsidRDefault="00575DA1" w:rsidP="0032796D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657C7F4" w14:textId="77777777" w:rsidR="00575DA1" w:rsidRDefault="00575DA1" w:rsidP="0032796D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09EA212" w14:textId="77777777" w:rsidR="00575DA1" w:rsidRDefault="00575DA1" w:rsidP="0032796D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0BC82DA" w14:textId="77777777" w:rsidR="00575DA1" w:rsidRDefault="00575DA1" w:rsidP="0032796D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AF4B7C5" w14:textId="77777777" w:rsidR="00575DA1" w:rsidRPr="007D5748" w:rsidRDefault="00575DA1" w:rsidP="0032796D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93ABA7D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28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1878"/>
      </w:tblGrid>
      <w:tr w:rsidR="007D5748" w:rsidRPr="007D5748" w14:paraId="409A126A" w14:textId="77777777" w:rsidTr="00575DA1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11108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B49B1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5AF494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14:paraId="3FC8A298" w14:textId="77777777" w:rsidTr="00575DA1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312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871A9B" w14:textId="77777777" w:rsidR="007D5748" w:rsidRPr="007D5748" w:rsidRDefault="00985F5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146EC6" w14:textId="77777777" w:rsidR="007D5748" w:rsidRPr="007D5748" w:rsidRDefault="00985F5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EA59D4" w14:textId="77777777" w:rsidR="007D5748" w:rsidRPr="007D5748" w:rsidRDefault="00985F5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84E0D3" w14:textId="77777777" w:rsidR="007D5748" w:rsidRPr="007D5748" w:rsidRDefault="00985F5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CB1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2E858A8B" w14:textId="77777777" w:rsidTr="00575DA1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836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6DD3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1F4B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66AA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71FE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09FF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006" w:rsidRPr="007D5748" w14:paraId="5E72CFFD" w14:textId="77777777" w:rsidTr="0077680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B8BB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BCDA8" w14:textId="77777777" w:rsidR="00BF7006" w:rsidRPr="007D5748" w:rsidRDefault="00BF7006" w:rsidP="00BF7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D52D8" w14:textId="77777777" w:rsidR="00BF7006" w:rsidRPr="007D5748" w:rsidRDefault="00BF7006" w:rsidP="00BF7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CD68" w14:textId="5BEE9B90" w:rsidR="00BF7006" w:rsidRPr="007D5748" w:rsidRDefault="008F318B" w:rsidP="00BF7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7FDAD" w14:textId="77777777" w:rsidR="00BF7006" w:rsidRPr="007D5748" w:rsidRDefault="00E30B5D" w:rsidP="00BF7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7 772 140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BA918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správne poplatky</w:t>
            </w:r>
          </w:p>
        </w:tc>
      </w:tr>
      <w:tr w:rsidR="006E0788" w:rsidRPr="007D5748" w14:paraId="77C1778D" w14:textId="77777777" w:rsidTr="0077680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07AE" w14:textId="77777777" w:rsidR="006E0788" w:rsidRPr="0077680E" w:rsidRDefault="006E0788" w:rsidP="006E0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76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 toho: MV SR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D9831" w14:textId="77777777" w:rsidR="006E0788" w:rsidRDefault="006E0788" w:rsidP="006E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484E9" w14:textId="77777777" w:rsidR="006E0788" w:rsidRPr="0077680E" w:rsidRDefault="006E0788" w:rsidP="006E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DB2C" w14:textId="7BB61128" w:rsidR="006E0788" w:rsidRPr="008F318B" w:rsidRDefault="006E0788" w:rsidP="006E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422FD" w14:textId="77777777" w:rsidR="006E0788" w:rsidRPr="0077680E" w:rsidRDefault="006E0788" w:rsidP="006E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715 855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F356E" w14:textId="77777777" w:rsidR="006E0788" w:rsidRPr="007D5748" w:rsidRDefault="006E0788" w:rsidP="006E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E0788" w:rsidRPr="007D5748" w14:paraId="17FECF17" w14:textId="77777777" w:rsidTr="0077680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5E13" w14:textId="77777777" w:rsidR="006E0788" w:rsidRPr="0077680E" w:rsidRDefault="006E0788" w:rsidP="006E0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76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             obce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9D080" w14:textId="77777777" w:rsidR="006E0788" w:rsidRDefault="006E0788" w:rsidP="006E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090EB" w14:textId="77777777" w:rsidR="006E0788" w:rsidRPr="0077680E" w:rsidRDefault="006E0788" w:rsidP="006E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8014" w14:textId="12BD3780" w:rsidR="006E0788" w:rsidRPr="008F318B" w:rsidRDefault="006E0788" w:rsidP="006E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27116" w14:textId="77777777" w:rsidR="006E0788" w:rsidRPr="0077680E" w:rsidRDefault="006E0788" w:rsidP="006E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768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6 979 586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90918" w14:textId="77777777" w:rsidR="006E0788" w:rsidRPr="007D5748" w:rsidRDefault="006E0788" w:rsidP="006E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E0788" w:rsidRPr="007D5748" w14:paraId="2C3476FF" w14:textId="77777777" w:rsidTr="0077680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5204" w14:textId="77777777" w:rsidR="006E0788" w:rsidRPr="00914193" w:rsidRDefault="006E0788" w:rsidP="006E0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             VÚC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620D2" w14:textId="77777777" w:rsidR="006E0788" w:rsidRDefault="006E0788" w:rsidP="006E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5E910" w14:textId="77777777" w:rsidR="006E0788" w:rsidRPr="00914193" w:rsidRDefault="006E0788" w:rsidP="006E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DD4E" w14:textId="0006E8AB" w:rsidR="006E0788" w:rsidRPr="0077680E" w:rsidRDefault="006E0788" w:rsidP="006E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8F905" w14:textId="77777777" w:rsidR="006E0788" w:rsidRPr="00914193" w:rsidRDefault="006E0788" w:rsidP="006E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768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76 699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5D5B6" w14:textId="77777777" w:rsidR="006E0788" w:rsidRPr="007D5748" w:rsidRDefault="006E0788" w:rsidP="006E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E0788" w:rsidRPr="007D5748" w14:paraId="06EBAC78" w14:textId="77777777" w:rsidTr="0077680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D0E0" w14:textId="77777777" w:rsidR="006E0788" w:rsidRPr="007D5748" w:rsidRDefault="006E0788" w:rsidP="006E0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B2314" w14:textId="77777777" w:rsidR="006E0788" w:rsidRPr="007D5748" w:rsidRDefault="006E0788" w:rsidP="006E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D79EE" w14:textId="77777777" w:rsidR="006E0788" w:rsidRPr="007D5748" w:rsidRDefault="006E0788" w:rsidP="006E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B53C2" w14:textId="77777777" w:rsidR="006E0788" w:rsidRPr="007D5748" w:rsidRDefault="006E0788" w:rsidP="0077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9316F" w14:textId="77777777" w:rsidR="006E0788" w:rsidRPr="007D5748" w:rsidRDefault="006E0788" w:rsidP="006E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A682F" w14:textId="77777777" w:rsidR="006E0788" w:rsidRPr="007D5748" w:rsidRDefault="006E0788" w:rsidP="006E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0788" w:rsidRPr="007D5748" w14:paraId="53FE3125" w14:textId="77777777" w:rsidTr="0077680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1F75" w14:textId="77777777" w:rsidR="006E0788" w:rsidRPr="007D5748" w:rsidRDefault="006E0788" w:rsidP="006E0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2779742" w14:textId="77777777" w:rsidR="006E0788" w:rsidRPr="007D5748" w:rsidRDefault="006E0788" w:rsidP="006E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0F28AF5" w14:textId="77777777" w:rsidR="006E0788" w:rsidRPr="007D5748" w:rsidRDefault="006E0788" w:rsidP="006E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3C99385" w14:textId="6BD2DBDF" w:rsidR="006E0788" w:rsidRPr="007D5748" w:rsidRDefault="006E0788" w:rsidP="0077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72D5034" w14:textId="77777777" w:rsidR="006E0788" w:rsidRPr="007D5748" w:rsidRDefault="006E0788" w:rsidP="006E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A95B6" w14:textId="77777777" w:rsidR="006E0788" w:rsidRPr="007D5748" w:rsidRDefault="006E0788" w:rsidP="006E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0788" w:rsidRPr="007D5748" w14:paraId="0D6B95BB" w14:textId="77777777" w:rsidTr="0077680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43F6" w14:textId="77777777" w:rsidR="006E0788" w:rsidRPr="007D5748" w:rsidRDefault="006E0788" w:rsidP="006E0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A2C274E" w14:textId="77777777" w:rsidR="006E0788" w:rsidRPr="007D5748" w:rsidRDefault="006E0788" w:rsidP="006E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AECCD99" w14:textId="77777777" w:rsidR="006E0788" w:rsidRPr="007D5748" w:rsidRDefault="006E0788" w:rsidP="006E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9866DD" w14:textId="1349DDD2" w:rsidR="006E0788" w:rsidRPr="007D5748" w:rsidRDefault="006E0788" w:rsidP="0077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6AEDE91" w14:textId="77777777" w:rsidR="006E0788" w:rsidRPr="007D5748" w:rsidRDefault="006E0788" w:rsidP="006E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D0F94" w14:textId="77777777" w:rsidR="006E0788" w:rsidRPr="007D5748" w:rsidRDefault="006E0788" w:rsidP="006E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0788" w:rsidRPr="007D5748" w14:paraId="3AE32B38" w14:textId="77777777" w:rsidTr="0077680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5BEF3D" w14:textId="77777777" w:rsidR="006E0788" w:rsidRPr="007D5748" w:rsidRDefault="006E0788" w:rsidP="006E0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F5DBDE" w14:textId="77777777" w:rsidR="006E0788" w:rsidRPr="007D5748" w:rsidRDefault="006E0788" w:rsidP="006E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008BEB" w14:textId="77777777" w:rsidR="006E0788" w:rsidRPr="007D5748" w:rsidRDefault="006E0788" w:rsidP="006E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04A005" w14:textId="13CF72AB" w:rsidR="006E0788" w:rsidRPr="007D5748" w:rsidRDefault="008F318B" w:rsidP="008F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ab/>
            </w:r>
            <w:r w:rsidRPr="008F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7BBE27" w14:textId="77777777" w:rsidR="006E0788" w:rsidRPr="007D5748" w:rsidRDefault="006E0788" w:rsidP="006E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7 772 140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93AABF1" w14:textId="77777777" w:rsidR="006E0788" w:rsidRPr="007D5748" w:rsidRDefault="006E0788" w:rsidP="006E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37FDE80C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22BBF2F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F65E3E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2E5B2EC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10DC79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8AE22F3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B7FA83A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B65C51C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A47AFBE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B2DED81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BFD53C4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083613E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B365599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E7EB2C3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D9CB721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02A7A75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8A88B94" w14:textId="77777777" w:rsidR="0032796D" w:rsidRDefault="0032796D" w:rsidP="0032796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4FFABFE" w14:textId="77777777" w:rsidR="0032796D" w:rsidRDefault="0032796D" w:rsidP="0032796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F7627D6" w14:textId="77777777" w:rsidR="007D5748" w:rsidRDefault="007D5748" w:rsidP="0032796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14:paraId="42E2FA42" w14:textId="77777777" w:rsidR="0005001D" w:rsidRPr="0032796D" w:rsidRDefault="0005001D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8A794B0" w14:textId="77777777" w:rsidR="007D5748" w:rsidRPr="0032796D" w:rsidRDefault="0032796D" w:rsidP="000C1CC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ab/>
      </w:r>
      <w:r w:rsidR="000C1CCF" w:rsidRPr="0032796D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MDV SR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14:paraId="557A3E0D" w14:textId="77777777" w:rsidTr="00040801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FFEE3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61A7D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71B00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985F55" w:rsidRPr="007D5748" w14:paraId="10AFC0C7" w14:textId="77777777" w:rsidTr="00212AA5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AB6631" w14:textId="77777777" w:rsidR="00985F55" w:rsidRPr="007D5748" w:rsidRDefault="00985F55" w:rsidP="00985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C4E1A" w14:textId="77777777" w:rsidR="00985F55" w:rsidRPr="007D5748" w:rsidRDefault="00985F55" w:rsidP="0098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CD0F4B" w14:textId="77777777" w:rsidR="00985F55" w:rsidRPr="007D5748" w:rsidRDefault="00985F55" w:rsidP="0098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D06D89" w14:textId="77777777" w:rsidR="00985F55" w:rsidRPr="007D5748" w:rsidRDefault="00985F55" w:rsidP="0098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0710F0" w14:textId="77777777" w:rsidR="00985F55" w:rsidRPr="007D5748" w:rsidRDefault="00985F55" w:rsidP="0098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9DCE" w14:textId="77777777" w:rsidR="00985F55" w:rsidRPr="007D5748" w:rsidRDefault="00985F55" w:rsidP="00985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BF7006" w:rsidRPr="007D5748" w14:paraId="7BE91842" w14:textId="77777777" w:rsidTr="0004080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5D12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66004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E698D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3EF81" w14:textId="6595F061" w:rsidR="00BF7006" w:rsidRPr="00CE73D1" w:rsidRDefault="008F318B" w:rsidP="0022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82B4A" w14:textId="77777777" w:rsidR="00BF7006" w:rsidRPr="007D5748" w:rsidRDefault="00D11673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1 234 728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18070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006" w:rsidRPr="007D5748" w14:paraId="753A63EB" w14:textId="77777777" w:rsidTr="0004080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986F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8A8ED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55454" w14:textId="77777777" w:rsidR="00BF7006" w:rsidRPr="000C1CCF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0F840" w14:textId="4433AD14" w:rsidR="00BF7006" w:rsidRPr="000C1CCF" w:rsidRDefault="008F318B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09201" w14:textId="77777777" w:rsidR="00BF7006" w:rsidRPr="000C1CCF" w:rsidRDefault="00D11673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25 512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E19A3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006" w:rsidRPr="007D5748" w14:paraId="50F63C63" w14:textId="77777777" w:rsidTr="0004080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292D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09876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5BD0A" w14:textId="77777777" w:rsidR="00BF7006" w:rsidRPr="000C1CCF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1D7C3" w14:textId="0D83AB11" w:rsidR="00BF7006" w:rsidRPr="000C1CCF" w:rsidRDefault="008F318B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F3759" w14:textId="77777777" w:rsidR="00BF7006" w:rsidRPr="000C1CCF" w:rsidRDefault="00D11673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 8 916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BB0D34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006" w:rsidRPr="007D5748" w14:paraId="5B55DBD6" w14:textId="77777777" w:rsidTr="0004080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7A29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6225B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0BE06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6B229" w14:textId="0F4653A4" w:rsidR="00BF7006" w:rsidRPr="007D5748" w:rsidRDefault="008F318B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DC1C3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F1ADA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006" w:rsidRPr="007D5748" w14:paraId="38214156" w14:textId="77777777" w:rsidTr="0004080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74E5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418A2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1D578" w14:textId="77777777" w:rsidR="00BF7006" w:rsidRPr="00BA115E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73588" w14:textId="1803715A" w:rsidR="00BF7006" w:rsidRPr="007D5748" w:rsidRDefault="008F318B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D938D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E4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1 200 000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24656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006" w:rsidRPr="007D5748" w14:paraId="3AE57E07" w14:textId="77777777" w:rsidTr="0004080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4FE3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9BAE3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38762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D8A2C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AB671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5DB94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F7006" w:rsidRPr="007D5748" w14:paraId="7CA9CE6A" w14:textId="77777777" w:rsidTr="0004080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B467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58F70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C8220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8AF36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67D2F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D7AB9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006" w:rsidRPr="007D5748" w14:paraId="55571681" w14:textId="77777777" w:rsidTr="0004080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B617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65451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D7799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2100F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EE371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857A4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006" w:rsidRPr="007D5748" w14:paraId="2DB5A078" w14:textId="77777777" w:rsidTr="0004080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2A3C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BEB54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FE3CF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3646C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07679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DE7E2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006" w:rsidRPr="007D5748" w14:paraId="0B999FB7" w14:textId="77777777" w:rsidTr="0004080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ED7E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278C2B4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DD25B9E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A118947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DCC2A35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BFCB0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006" w:rsidRPr="007D5748" w14:paraId="7F4114AE" w14:textId="77777777" w:rsidTr="00040801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90F6AA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53A0AA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47697A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A677B7" w14:textId="57205B11" w:rsidR="00BF7006" w:rsidRPr="007D5748" w:rsidRDefault="008F318B" w:rsidP="00D1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4B6DD6" w14:textId="77777777" w:rsidR="00BF7006" w:rsidRPr="007D5748" w:rsidRDefault="00BF7006" w:rsidP="00D1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1 23</w:t>
            </w:r>
            <w:r w:rsidR="00D11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D11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428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5C19A16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7EC35D7B" w14:textId="77777777" w:rsidR="0005001D" w:rsidRDefault="0005001D" w:rsidP="0005001D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27E624B5" w14:textId="77777777" w:rsidR="0005001D" w:rsidRPr="007D5748" w:rsidRDefault="0005001D" w:rsidP="0005001D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431AF252" w14:textId="77777777" w:rsidR="000C1CCF" w:rsidRDefault="000C1CCF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7BCF00F6" w14:textId="77777777" w:rsidR="0005001D" w:rsidRDefault="0005001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4F64E104" w14:textId="77777777" w:rsidR="0005001D" w:rsidRDefault="0005001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6C1935D6" w14:textId="77777777" w:rsidR="0005001D" w:rsidRDefault="0005001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1E33355A" w14:textId="77777777" w:rsidR="0005001D" w:rsidRDefault="0005001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2D9272AC" w14:textId="77777777" w:rsidR="0005001D" w:rsidRDefault="0005001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6645F411" w14:textId="77777777" w:rsidR="0005001D" w:rsidRDefault="0005001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24B12A3C" w14:textId="77777777" w:rsidR="0005001D" w:rsidRDefault="0005001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3BAE1584" w14:textId="77777777" w:rsidR="0005001D" w:rsidRDefault="0005001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207C3B00" w14:textId="77777777" w:rsidR="0005001D" w:rsidRDefault="0005001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58F044DE" w14:textId="77777777" w:rsidR="0032796D" w:rsidRDefault="0032796D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48ED8A2" w14:textId="77777777" w:rsidR="0032796D" w:rsidRDefault="0032796D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7198C7A" w14:textId="77777777" w:rsidR="0032796D" w:rsidRDefault="0032796D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A2F050E" w14:textId="77777777" w:rsidR="0032796D" w:rsidRDefault="0032796D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8E1B0AB" w14:textId="77777777" w:rsidR="0032796D" w:rsidRDefault="0032796D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5436E02" w14:textId="77777777" w:rsidR="00312FC6" w:rsidRDefault="00312FC6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6E00D0E" w14:textId="77777777" w:rsidR="00312FC6" w:rsidRDefault="00312FC6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C61B31F" w14:textId="77777777" w:rsidR="00312FC6" w:rsidRDefault="00312FC6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B21685A" w14:textId="77777777" w:rsidR="00312FC6" w:rsidRDefault="00312FC6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BAD3875" w14:textId="77777777" w:rsidR="00312FC6" w:rsidRDefault="00312FC6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F5BD2C5" w14:textId="77777777" w:rsidR="00312FC6" w:rsidRDefault="00312FC6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0B1A98E" w14:textId="77777777" w:rsidR="00312FC6" w:rsidRDefault="00312FC6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AC28C31" w14:textId="77777777" w:rsidR="00312FC6" w:rsidRDefault="00312FC6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4892B50" w14:textId="77777777" w:rsidR="00312FC6" w:rsidRDefault="00312FC6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D4F6B1C" w14:textId="77777777" w:rsidR="00312FC6" w:rsidRDefault="00312FC6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ACD0337" w14:textId="77777777" w:rsidR="00312FC6" w:rsidRDefault="00312FC6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6011A24" w14:textId="77777777" w:rsidR="00312FC6" w:rsidRDefault="00312FC6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354A3A8" w14:textId="77777777" w:rsidR="0032796D" w:rsidRDefault="0032796D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1172FEF" w14:textId="77777777" w:rsidR="0032796D" w:rsidRDefault="0032796D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196BDBE" w14:textId="77777777" w:rsidR="0005001D" w:rsidRPr="007D5748" w:rsidRDefault="0005001D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14:paraId="0EF9D44E" w14:textId="77777777" w:rsidR="0005001D" w:rsidRPr="0032796D" w:rsidRDefault="0005001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2152633F" w14:textId="0F527F0F" w:rsidR="000C1CCF" w:rsidRPr="0032796D" w:rsidRDefault="0032796D" w:rsidP="000C1CC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ab/>
      </w:r>
      <w:r w:rsidR="00CE73D1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MV SR - </w:t>
      </w:r>
      <w:r w:rsidR="000C1CCF" w:rsidRPr="0032796D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Okresn</w:t>
      </w:r>
      <w:r w:rsidR="006E078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é</w:t>
      </w:r>
      <w:r w:rsidR="000C1CCF" w:rsidRPr="0032796D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úrad</w:t>
      </w:r>
      <w:r w:rsidR="006E078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y</w:t>
      </w:r>
      <w:r w:rsidR="000C1CCF" w:rsidRPr="0032796D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v sídle kraja</w:t>
      </w:r>
    </w:p>
    <w:tbl>
      <w:tblPr>
        <w:tblpPr w:leftFromText="141" w:rightFromText="141" w:vertAnchor="text" w:horzAnchor="page" w:tblpX="69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0C1CCF" w:rsidRPr="007D5748" w14:paraId="044FF511" w14:textId="77777777" w:rsidTr="0032796D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B61B9F" w14:textId="77777777" w:rsidR="000C1CCF" w:rsidRPr="007D5748" w:rsidRDefault="000C1CCF" w:rsidP="0032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4EA002" w14:textId="77777777" w:rsidR="000C1CCF" w:rsidRPr="007D5748" w:rsidRDefault="000C1CCF" w:rsidP="0032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45D248D" w14:textId="77777777" w:rsidR="000C1CCF" w:rsidRPr="007D5748" w:rsidRDefault="000C1CCF" w:rsidP="0032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985F55" w:rsidRPr="007D5748" w14:paraId="42E7F567" w14:textId="77777777" w:rsidTr="00212AA5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79375D" w14:textId="77777777" w:rsidR="00985F55" w:rsidRPr="007D5748" w:rsidRDefault="00985F55" w:rsidP="00985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4DA860" w14:textId="77777777" w:rsidR="00985F55" w:rsidRPr="007D5748" w:rsidRDefault="00985F55" w:rsidP="0098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41508E" w14:textId="77777777" w:rsidR="00985F55" w:rsidRPr="007D5748" w:rsidRDefault="00985F55" w:rsidP="0098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BC1DB8" w14:textId="77777777" w:rsidR="00985F55" w:rsidRPr="007D5748" w:rsidRDefault="00985F55" w:rsidP="0098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CCF648" w14:textId="77777777" w:rsidR="00985F55" w:rsidRPr="007D5748" w:rsidRDefault="00985F55" w:rsidP="0098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0B36" w14:textId="77777777" w:rsidR="00985F55" w:rsidRPr="007D5748" w:rsidRDefault="00985F55" w:rsidP="00985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BF7006" w:rsidRPr="007D5748" w14:paraId="3BB59701" w14:textId="77777777" w:rsidTr="0032796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41A4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90686" w14:textId="77777777" w:rsidR="00BF7006" w:rsidRPr="009E76BB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C0344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63793" w14:textId="6AE11ACB" w:rsidR="00BF7006" w:rsidRPr="00CE73D1" w:rsidRDefault="008F318B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EBD25" w14:textId="77777777" w:rsidR="00BF7006" w:rsidRPr="007D5748" w:rsidRDefault="00E80BF3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103 285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B1DDE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006" w:rsidRPr="007D5748" w14:paraId="7ED44C77" w14:textId="77777777" w:rsidTr="0032796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D489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C5712" w14:textId="77777777" w:rsidR="00BF7006" w:rsidRPr="000C1CCF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53C6E" w14:textId="77777777" w:rsidR="00BF7006" w:rsidRPr="000C1CCF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C4192" w14:textId="58CDCE5D" w:rsidR="00BF7006" w:rsidRPr="000C1CCF" w:rsidRDefault="008F318B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C5062" w14:textId="77777777" w:rsidR="00BF7006" w:rsidRPr="000C1CCF" w:rsidRDefault="00E80BF3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76 536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4B157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006" w:rsidRPr="007D5748" w14:paraId="23ACF910" w14:textId="77777777" w:rsidTr="0032796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66CB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25370" w14:textId="77777777" w:rsidR="00BF7006" w:rsidRPr="000C1CCF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7B36D" w14:textId="77777777" w:rsidR="00BF7006" w:rsidRPr="000C1CCF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B17DE" w14:textId="6A729FEC" w:rsidR="00BF7006" w:rsidRPr="000C1CCF" w:rsidRDefault="008F318B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F6D20" w14:textId="77777777" w:rsidR="00BF7006" w:rsidRPr="000C1CCF" w:rsidRDefault="00E80BF3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26 749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A376C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006" w:rsidRPr="007D5748" w14:paraId="25E3146C" w14:textId="77777777" w:rsidTr="0032796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9196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CF8DE" w14:textId="77777777" w:rsidR="00BF7006" w:rsidRPr="0042145F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41A2B" w14:textId="77777777" w:rsidR="00BF7006" w:rsidRPr="0042145F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C9BF7" w14:textId="77777777" w:rsidR="00BF7006" w:rsidRPr="0042145F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84358" w14:textId="77777777" w:rsidR="00BF7006" w:rsidRPr="0042145F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C8765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006" w:rsidRPr="007D5748" w14:paraId="7F6AF268" w14:textId="77777777" w:rsidTr="0032796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27D6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C03DA" w14:textId="77777777" w:rsidR="00BF7006" w:rsidRPr="0042145F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C8422" w14:textId="77777777" w:rsidR="00BF7006" w:rsidRPr="0042145F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5E032" w14:textId="77777777" w:rsidR="00BF7006" w:rsidRPr="0042145F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6C1D1" w14:textId="77777777" w:rsidR="00BF7006" w:rsidRPr="0042145F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65F18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006" w:rsidRPr="007D5748" w14:paraId="1BB45E21" w14:textId="77777777" w:rsidTr="0032796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860E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D8DBE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396E0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FFBF1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15466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F8CAB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F7006" w:rsidRPr="007D5748" w14:paraId="2A3073F2" w14:textId="77777777" w:rsidTr="0032796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E1F1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7BF1B" w14:textId="77777777" w:rsidR="00BF7006" w:rsidRPr="0042145F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B3FA9" w14:textId="77777777" w:rsidR="00BF7006" w:rsidRPr="0042145F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5E97E" w14:textId="77777777" w:rsidR="00BF7006" w:rsidRPr="0042145F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B8256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3BE84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006" w:rsidRPr="007D5748" w14:paraId="55D62745" w14:textId="77777777" w:rsidTr="0032796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C1EA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7EDEB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F4E41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9CD16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D84AF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7F030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006" w:rsidRPr="007D5748" w14:paraId="3D40E90A" w14:textId="77777777" w:rsidTr="0032796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66FF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511CF" w14:textId="77777777" w:rsidR="00BF7006" w:rsidRPr="009E76BB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935DA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3A538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61195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D82D5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006" w:rsidRPr="007D5748" w14:paraId="311B053A" w14:textId="77777777" w:rsidTr="0032796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FF4B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BA6D834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AC13BBF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21E0E23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6114961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8E0F5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006" w:rsidRPr="007D5748" w14:paraId="7CC12994" w14:textId="77777777" w:rsidTr="0032796D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A43CF6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C3A0BA" w14:textId="77777777" w:rsidR="00BF7006" w:rsidRPr="009E76BB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F9E70B" w14:textId="77777777"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218B47" w14:textId="4A6E0E47" w:rsidR="00BF7006" w:rsidRPr="007D5748" w:rsidRDefault="008F318B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E90D6C" w14:textId="77777777" w:rsidR="00BF7006" w:rsidRPr="007D5748" w:rsidRDefault="00BF7006" w:rsidP="00E8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E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E8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03 285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4B4878D" w14:textId="77777777"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1964FF31" w14:textId="77777777" w:rsidR="000C1CCF" w:rsidRDefault="000C1CCF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529EA7FB" w14:textId="77777777" w:rsidR="000C1CCF" w:rsidRPr="007D5748" w:rsidRDefault="000C1CCF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2B9F3654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5F40EC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EE8C9F4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3987CA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BF37C99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6FFB034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A17A4B0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815E00E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A417D7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D77D663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96873C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72F3F29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A96F0DE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BA360EC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5CA0346" w14:textId="77777777" w:rsidR="0032796D" w:rsidRDefault="0032796D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1EC371F" w14:textId="77777777" w:rsidR="0032796D" w:rsidRDefault="0032796D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E0B7DEC" w14:textId="77777777" w:rsidR="0032796D" w:rsidRDefault="0032796D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9EAA286" w14:textId="77777777" w:rsidR="001A7504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                 Tabuľka č. 5 </w:t>
      </w:r>
    </w:p>
    <w:p w14:paraId="2969B5B7" w14:textId="77777777" w:rsidR="0005001D" w:rsidRPr="007D5748" w:rsidRDefault="0005001D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76CE873" w14:textId="77777777" w:rsidR="001A7504" w:rsidRPr="0032796D" w:rsidRDefault="0032796D" w:rsidP="004955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ab/>
      </w:r>
      <w:r w:rsidR="001A7504" w:rsidRPr="0032796D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MDV SR</w:t>
      </w:r>
    </w:p>
    <w:tbl>
      <w:tblPr>
        <w:tblW w:w="15434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2418"/>
        <w:gridCol w:w="1722"/>
        <w:gridCol w:w="1620"/>
      </w:tblGrid>
      <w:tr w:rsidR="007D5748" w:rsidRPr="007D5748" w14:paraId="76AEAA9D" w14:textId="77777777" w:rsidTr="0032796D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1E5BB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B26B4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ACB5CA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985F55" w:rsidRPr="007D5748" w14:paraId="488D7F60" w14:textId="77777777" w:rsidTr="00212AA5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D44678" w14:textId="77777777" w:rsidR="00985F55" w:rsidRPr="007D5748" w:rsidRDefault="00985F55" w:rsidP="00985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A01FC4" w14:textId="77777777" w:rsidR="00985F55" w:rsidRPr="007D5748" w:rsidRDefault="00985F55" w:rsidP="0098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EF888F" w14:textId="77777777" w:rsidR="00985F55" w:rsidRPr="007D5748" w:rsidRDefault="00985F55" w:rsidP="0098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568E13" w14:textId="77777777" w:rsidR="00985F55" w:rsidRPr="007D5748" w:rsidRDefault="00985F55" w:rsidP="0098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95243F" w14:textId="77777777" w:rsidR="00985F55" w:rsidRPr="007D5748" w:rsidRDefault="00985F55" w:rsidP="0098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9C91AE" w14:textId="77777777" w:rsidR="00985F55" w:rsidRPr="007D5748" w:rsidRDefault="00985F55" w:rsidP="00985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8F318B" w:rsidRPr="007D5748" w14:paraId="406C3237" w14:textId="77777777" w:rsidTr="0032796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646E" w14:textId="77777777"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5D902" w14:textId="77777777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2DDBE" w14:textId="77777777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1AED2" w14:textId="7B26A90F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C7E3D" w14:textId="77777777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3BCBC" w14:textId="77777777"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F318B" w:rsidRPr="007D5748" w14:paraId="5495F609" w14:textId="77777777" w:rsidTr="0032796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517C" w14:textId="77777777"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5ABEE" w14:textId="77777777" w:rsidR="008F318B" w:rsidRPr="00663C53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63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1B7E9" w14:textId="77777777" w:rsidR="008F318B" w:rsidRPr="00663C53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63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90F14" w14:textId="04A55DCE" w:rsidR="008F318B" w:rsidRPr="00663C53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63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45D43" w14:textId="77777777" w:rsidR="008F318B" w:rsidRPr="00663C53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63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+2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ABBDE" w14:textId="77777777"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F318B" w:rsidRPr="007D5748" w14:paraId="15BE6EBB" w14:textId="77777777" w:rsidTr="0032796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8E90" w14:textId="77777777"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5F53E" w14:textId="77777777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E1794" w14:textId="77777777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B4A41" w14:textId="570C47C1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C7003" w14:textId="77777777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1 063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01F91B" w14:textId="77777777"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F318B" w:rsidRPr="007D5748" w14:paraId="59049E91" w14:textId="77777777" w:rsidTr="0032796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C164" w14:textId="77777777"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A01C7" w14:textId="77777777" w:rsidR="008F318B" w:rsidRPr="00663C53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3C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31113" w14:textId="77777777" w:rsidR="008F318B" w:rsidRPr="00663C53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3C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2E151" w14:textId="0D299F7E" w:rsidR="008F318B" w:rsidRPr="00663C53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3C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AAAFA" w14:textId="77777777" w:rsidR="008F318B" w:rsidRPr="00663C53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E2EC1" w14:textId="77777777" w:rsidR="008F318B" w:rsidRPr="00663C53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3C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F318B" w:rsidRPr="007D5748" w14:paraId="08F05700" w14:textId="77777777" w:rsidTr="0032796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4415A4" w14:textId="77777777"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FEFCCF" w14:textId="77777777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356EF0" w14:textId="77777777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EDA994" w14:textId="10D8593A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8F7C09" w14:textId="77777777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34 428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F966D6A" w14:textId="77777777"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F318B" w:rsidRPr="007D5748" w14:paraId="20D68118" w14:textId="77777777" w:rsidTr="0032796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462A" w14:textId="77777777"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E5E59" w14:textId="77777777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652CD" w14:textId="77777777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34D79" w14:textId="56E3BF3D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01456" w14:textId="77777777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25 512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93156" w14:textId="77777777"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F318B" w:rsidRPr="007D5748" w14:paraId="784CED5A" w14:textId="77777777" w:rsidTr="0032796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28D1" w14:textId="77777777"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1D57C" w14:textId="77777777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7BDAD" w14:textId="77777777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48890" w14:textId="7A2C77B3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7D9AD" w14:textId="77777777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25 512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681C2" w14:textId="77777777"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F318B" w:rsidRPr="007D5748" w14:paraId="634F7B60" w14:textId="77777777" w:rsidTr="0032796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9BE4" w14:textId="77777777"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B5FF4" w14:textId="77777777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D0396" w14:textId="77777777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F535C" w14:textId="16F9077D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D96F0" w14:textId="77777777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8 916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4369A" w14:textId="77777777"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F318B" w:rsidRPr="007D5748" w14:paraId="7B3EBCAC" w14:textId="77777777" w:rsidTr="0032796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EC03" w14:textId="77777777"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71CA2" w14:textId="77777777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26245" w14:textId="77777777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0CECD" w14:textId="6AA10AD1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A713B" w14:textId="77777777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8 916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6A757" w14:textId="77777777"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30D90D4B" w14:textId="77777777" w:rsidR="004955AC" w:rsidRDefault="004955AC"/>
    <w:p w14:paraId="11DFC500" w14:textId="77777777" w:rsidR="0005001D" w:rsidRDefault="0005001D"/>
    <w:p w14:paraId="509540CE" w14:textId="77777777" w:rsidR="0005001D" w:rsidRDefault="0005001D"/>
    <w:p w14:paraId="08E3F455" w14:textId="77777777" w:rsidR="0005001D" w:rsidRDefault="0005001D"/>
    <w:p w14:paraId="2C211E06" w14:textId="77777777" w:rsidR="0005001D" w:rsidRDefault="0005001D"/>
    <w:p w14:paraId="0D89880D" w14:textId="77777777" w:rsidR="0005001D" w:rsidRDefault="0005001D"/>
    <w:p w14:paraId="70351337" w14:textId="77777777" w:rsidR="0005001D" w:rsidRDefault="0005001D"/>
    <w:p w14:paraId="3F2F2389" w14:textId="77777777" w:rsidR="0005001D" w:rsidRDefault="0005001D"/>
    <w:p w14:paraId="0E7310AB" w14:textId="77777777" w:rsidR="0005001D" w:rsidRDefault="0005001D"/>
    <w:p w14:paraId="6F53380D" w14:textId="77777777" w:rsidR="0032796D" w:rsidRDefault="0032796D" w:rsidP="0005001D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69A32F2" w14:textId="77777777" w:rsidR="0032796D" w:rsidRDefault="0032796D" w:rsidP="0005001D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4A1613B" w14:textId="77777777" w:rsidR="0005001D" w:rsidRDefault="0005001D" w:rsidP="0005001D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                 Tabuľka č. 5 </w:t>
      </w:r>
    </w:p>
    <w:p w14:paraId="7E1BDCD0" w14:textId="77777777" w:rsidR="0005001D" w:rsidRDefault="0005001D"/>
    <w:p w14:paraId="0DF3033D" w14:textId="3F28EDE9" w:rsidR="004955AC" w:rsidRPr="0032796D" w:rsidRDefault="0032796D" w:rsidP="004955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ab/>
      </w:r>
      <w:r w:rsidR="00CE73D1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MV SR - </w:t>
      </w:r>
      <w:r w:rsidR="004955AC" w:rsidRPr="0032796D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Okresn</w:t>
      </w:r>
      <w:r w:rsidR="006E078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é</w:t>
      </w:r>
      <w:r w:rsidR="004955AC" w:rsidRPr="0032796D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úrad</w:t>
      </w:r>
      <w:r w:rsidR="006E078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y</w:t>
      </w:r>
      <w:r w:rsidR="004955AC" w:rsidRPr="0032796D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v sídle kraja</w:t>
      </w:r>
    </w:p>
    <w:tbl>
      <w:tblPr>
        <w:tblW w:w="14942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1"/>
        <w:gridCol w:w="1643"/>
        <w:gridCol w:w="1730"/>
        <w:gridCol w:w="2340"/>
        <w:gridCol w:w="1670"/>
        <w:gridCol w:w="1568"/>
      </w:tblGrid>
      <w:tr w:rsidR="004955AC" w:rsidRPr="007D5748" w14:paraId="78005ECF" w14:textId="77777777" w:rsidTr="00FB43F2">
        <w:trPr>
          <w:cantSplit/>
          <w:trHeight w:val="270"/>
        </w:trPr>
        <w:tc>
          <w:tcPr>
            <w:tcW w:w="5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CFEF63" w14:textId="77777777" w:rsidR="004955AC" w:rsidRPr="007D5748" w:rsidRDefault="004955AC" w:rsidP="005F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1F7398" w14:textId="77777777" w:rsidR="004955AC" w:rsidRPr="007D5748" w:rsidRDefault="004955AC" w:rsidP="005F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3A264C3" w14:textId="77777777" w:rsidR="004955AC" w:rsidRPr="007D5748" w:rsidRDefault="004955AC" w:rsidP="005F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985F55" w:rsidRPr="007D5748" w14:paraId="73E9EB6B" w14:textId="77777777" w:rsidTr="00FB43F2">
        <w:trPr>
          <w:cantSplit/>
          <w:trHeight w:val="270"/>
        </w:trPr>
        <w:tc>
          <w:tcPr>
            <w:tcW w:w="5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422076" w14:textId="77777777" w:rsidR="00985F55" w:rsidRPr="007D5748" w:rsidRDefault="00985F55" w:rsidP="00985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E4330C" w14:textId="77777777" w:rsidR="00985F55" w:rsidRPr="007D5748" w:rsidRDefault="00985F55" w:rsidP="0098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872794" w14:textId="77777777" w:rsidR="00985F55" w:rsidRPr="007D5748" w:rsidRDefault="00985F55" w:rsidP="0098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0638E5" w14:textId="77777777" w:rsidR="00985F55" w:rsidRPr="007D5748" w:rsidRDefault="00985F55" w:rsidP="0098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C1AB32" w14:textId="77777777" w:rsidR="00985F55" w:rsidRPr="007D5748" w:rsidRDefault="00985F55" w:rsidP="0098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15656" w14:textId="77777777" w:rsidR="00985F55" w:rsidRPr="007D5748" w:rsidRDefault="00985F55" w:rsidP="00985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8F318B" w:rsidRPr="007D5748" w14:paraId="7F582E79" w14:textId="77777777" w:rsidTr="00FB43F2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6154" w14:textId="77777777"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7BE4A" w14:textId="77777777" w:rsidR="008F318B" w:rsidRPr="009E76BB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BF094" w14:textId="77777777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9337C" w14:textId="203BD265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8EE18" w14:textId="77777777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2E496" w14:textId="77777777"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F318B" w:rsidRPr="007D5748" w14:paraId="4B56AC89" w14:textId="77777777" w:rsidTr="00FB43F2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CBF1" w14:textId="77777777"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BE3A5" w14:textId="77777777" w:rsidR="008F318B" w:rsidRPr="009E76BB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91DF5" w14:textId="77777777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F4B4B" w14:textId="320342DC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86FDD" w14:textId="77777777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982F2D" w14:textId="77777777"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F318B" w:rsidRPr="007D5748" w14:paraId="55FA30F5" w14:textId="77777777" w:rsidTr="00FB43F2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DFC8" w14:textId="77777777"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6D797" w14:textId="77777777" w:rsidR="008F318B" w:rsidRPr="009E76BB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9B731" w14:textId="77777777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58586" w14:textId="4228C76A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064C2" w14:textId="77777777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1 063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642B7" w14:textId="77777777"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F318B" w:rsidRPr="007D5748" w14:paraId="50C348E5" w14:textId="77777777" w:rsidTr="00FB43F2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15F8" w14:textId="77777777"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8CBAB" w14:textId="77777777" w:rsidR="008F318B" w:rsidRPr="009E76BB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A53A3" w14:textId="77777777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75900" w14:textId="31771104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E2519" w14:textId="77777777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21098" w14:textId="77777777"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F318B" w:rsidRPr="007D5748" w14:paraId="162ADD3A" w14:textId="77777777" w:rsidTr="00FB43F2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D06370" w14:textId="77777777"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83AF41" w14:textId="77777777" w:rsidR="008F318B" w:rsidRPr="009E76BB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E73C4A" w14:textId="77777777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009708" w14:textId="3FD48252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AEF7EE" w14:textId="77777777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103 285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B6A401F" w14:textId="77777777"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F318B" w:rsidRPr="007D5748" w14:paraId="72086BB3" w14:textId="77777777" w:rsidTr="00FB43F2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A622" w14:textId="77777777"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31256" w14:textId="77777777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338A0" w14:textId="77777777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FFB43" w14:textId="569862A6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70876" w14:textId="77777777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76 536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C8FE0" w14:textId="77777777"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F318B" w:rsidRPr="007D5748" w14:paraId="129D9D4D" w14:textId="77777777" w:rsidTr="00FB43F2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9E60" w14:textId="77777777"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09586" w14:textId="77777777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52EEA" w14:textId="77777777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59CF4" w14:textId="2F0D527F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2FD3C" w14:textId="77777777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76 536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989F0" w14:textId="77777777"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F318B" w:rsidRPr="007D5748" w14:paraId="2F7C9A04" w14:textId="77777777" w:rsidTr="00FB43F2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46AC" w14:textId="77777777"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C1B10" w14:textId="77777777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701D7" w14:textId="77777777" w:rsidR="008F318B" w:rsidRPr="00E13AA6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E6475" w14:textId="2D22A3F6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09DB0" w14:textId="77777777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26 749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E6A31" w14:textId="77777777"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F318B" w:rsidRPr="007D5748" w14:paraId="5C4BBE6F" w14:textId="77777777" w:rsidTr="00FB43F2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587B" w14:textId="77777777"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84D0A" w14:textId="77777777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030C2" w14:textId="77777777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B37D4" w14:textId="24F8D555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98014" w14:textId="77777777"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26 749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364B8" w14:textId="77777777"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60D58F20" w14:textId="77777777" w:rsidR="004955AC" w:rsidRDefault="004955AC" w:rsidP="004955AC">
      <w:pPr>
        <w:ind w:left="-851"/>
      </w:pPr>
    </w:p>
    <w:tbl>
      <w:tblPr>
        <w:tblpPr w:leftFromText="141" w:rightFromText="141" w:horzAnchor="page" w:tblpX="1262" w:tblpY="1223"/>
        <w:tblW w:w="76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4"/>
        <w:gridCol w:w="2439"/>
        <w:gridCol w:w="1737"/>
        <w:gridCol w:w="1634"/>
      </w:tblGrid>
      <w:tr w:rsidR="00C06903" w:rsidRPr="007D5748" w14:paraId="3AD3385B" w14:textId="77777777" w:rsidTr="00C06903">
        <w:trPr>
          <w:trHeight w:val="14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E0A08E" w14:textId="77777777" w:rsidR="00C06903" w:rsidRPr="007D5748" w:rsidRDefault="00C06903" w:rsidP="00C0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7C50EF" w14:textId="77777777" w:rsidR="00C06903" w:rsidRPr="007D5748" w:rsidRDefault="00C06903" w:rsidP="00C0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39C9A7" w14:textId="77777777" w:rsidR="00C06903" w:rsidRPr="007D5748" w:rsidRDefault="00C06903" w:rsidP="00C0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F9C3A3" w14:textId="77777777" w:rsidR="00C06903" w:rsidRPr="007D5748" w:rsidRDefault="00C06903" w:rsidP="00C0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5425DA5E" w14:textId="77777777" w:rsidR="007D5748" w:rsidRPr="007D5748" w:rsidRDefault="007D5748" w:rsidP="00C069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 w:rsidSect="00575DA1">
          <w:pgSz w:w="16838" w:h="11906" w:orient="landscape" w:code="9"/>
          <w:pgMar w:top="993" w:right="249" w:bottom="1418" w:left="238" w:header="709" w:footer="709" w:gutter="0"/>
          <w:cols w:space="708"/>
          <w:docGrid w:linePitch="360"/>
        </w:sectPr>
      </w:pPr>
    </w:p>
    <w:p w14:paraId="4B3723C9" w14:textId="77777777" w:rsidR="00160D0C" w:rsidRPr="00C06903" w:rsidRDefault="00160D0C" w:rsidP="00C06903">
      <w:pPr>
        <w:rPr>
          <w:b/>
        </w:rPr>
      </w:pPr>
      <w:bookmarkStart w:id="1" w:name="_GoBack"/>
      <w:bookmarkEnd w:id="1"/>
    </w:p>
    <w:sectPr w:rsidR="00160D0C" w:rsidRPr="00C06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5FAE5" w14:textId="77777777" w:rsidR="00F70160" w:rsidRDefault="00F70160">
      <w:pPr>
        <w:spacing w:after="0" w:line="240" w:lineRule="auto"/>
      </w:pPr>
      <w:r>
        <w:separator/>
      </w:r>
    </w:p>
  </w:endnote>
  <w:endnote w:type="continuationSeparator" w:id="0">
    <w:p w14:paraId="476328AA" w14:textId="77777777" w:rsidR="00F70160" w:rsidRDefault="00F7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9FE71" w14:textId="77777777" w:rsidR="00914193" w:rsidRDefault="0091419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6AB2E561" w14:textId="77777777" w:rsidR="00914193" w:rsidRDefault="0091419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46A76" w14:textId="41B7091E" w:rsidR="00914193" w:rsidRDefault="00914193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77680E">
      <w:rPr>
        <w:noProof/>
      </w:rPr>
      <w:t>10</w:t>
    </w:r>
    <w:r>
      <w:fldChar w:fldCharType="end"/>
    </w:r>
  </w:p>
  <w:p w14:paraId="221515CC" w14:textId="77777777" w:rsidR="00914193" w:rsidRDefault="00914193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D6214" w14:textId="77777777" w:rsidR="00914193" w:rsidRDefault="00914193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75D878B9" w14:textId="77777777" w:rsidR="00914193" w:rsidRDefault="0091419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63C35" w14:textId="77777777" w:rsidR="00F70160" w:rsidRDefault="00F70160">
      <w:pPr>
        <w:spacing w:after="0" w:line="240" w:lineRule="auto"/>
      </w:pPr>
      <w:r>
        <w:separator/>
      </w:r>
    </w:p>
  </w:footnote>
  <w:footnote w:type="continuationSeparator" w:id="0">
    <w:p w14:paraId="42794280" w14:textId="77777777" w:rsidR="00F70160" w:rsidRDefault="00F7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82FE6" w14:textId="77777777" w:rsidR="00914193" w:rsidRDefault="00914193" w:rsidP="0004080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15323AD0" w14:textId="77777777" w:rsidR="00914193" w:rsidRPr="00EB59C8" w:rsidRDefault="00914193" w:rsidP="00040801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75FDA" w14:textId="77777777" w:rsidR="00914193" w:rsidRPr="0024067A" w:rsidRDefault="00914193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1CDCE" w14:textId="77777777" w:rsidR="00914193" w:rsidRPr="000A15AE" w:rsidRDefault="00914193" w:rsidP="0004080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B2D"/>
    <w:multiLevelType w:val="hybridMultilevel"/>
    <w:tmpl w:val="9934CC00"/>
    <w:lvl w:ilvl="0" w:tplc="F86E3F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43BA0"/>
    <w:multiLevelType w:val="hybridMultilevel"/>
    <w:tmpl w:val="2BAA8A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2250"/>
    <w:rsid w:val="000358CD"/>
    <w:rsid w:val="00035EB6"/>
    <w:rsid w:val="00040801"/>
    <w:rsid w:val="000465D9"/>
    <w:rsid w:val="0005001D"/>
    <w:rsid w:val="00057135"/>
    <w:rsid w:val="00084106"/>
    <w:rsid w:val="00091ADC"/>
    <w:rsid w:val="00092DCD"/>
    <w:rsid w:val="00096C22"/>
    <w:rsid w:val="000C1CCF"/>
    <w:rsid w:val="000E272C"/>
    <w:rsid w:val="000F229B"/>
    <w:rsid w:val="000F280B"/>
    <w:rsid w:val="001127A8"/>
    <w:rsid w:val="0012450B"/>
    <w:rsid w:val="00140666"/>
    <w:rsid w:val="00160D0C"/>
    <w:rsid w:val="00166B60"/>
    <w:rsid w:val="00170D2B"/>
    <w:rsid w:val="00186D96"/>
    <w:rsid w:val="00197F18"/>
    <w:rsid w:val="001A7504"/>
    <w:rsid w:val="001B4691"/>
    <w:rsid w:val="001C26E8"/>
    <w:rsid w:val="001C2F4F"/>
    <w:rsid w:val="001D6341"/>
    <w:rsid w:val="00200898"/>
    <w:rsid w:val="00212894"/>
    <w:rsid w:val="00212AA5"/>
    <w:rsid w:val="00216535"/>
    <w:rsid w:val="0022165D"/>
    <w:rsid w:val="002267FE"/>
    <w:rsid w:val="00286717"/>
    <w:rsid w:val="002879F2"/>
    <w:rsid w:val="00295347"/>
    <w:rsid w:val="002A4CC5"/>
    <w:rsid w:val="002E3658"/>
    <w:rsid w:val="00302C4E"/>
    <w:rsid w:val="003043DA"/>
    <w:rsid w:val="00306679"/>
    <w:rsid w:val="00312FC6"/>
    <w:rsid w:val="00317B90"/>
    <w:rsid w:val="00324F3D"/>
    <w:rsid w:val="0032796D"/>
    <w:rsid w:val="003641B2"/>
    <w:rsid w:val="00373777"/>
    <w:rsid w:val="003A32A8"/>
    <w:rsid w:val="004010F0"/>
    <w:rsid w:val="00415C63"/>
    <w:rsid w:val="0042145F"/>
    <w:rsid w:val="00435157"/>
    <w:rsid w:val="004424AA"/>
    <w:rsid w:val="00475328"/>
    <w:rsid w:val="00475CBA"/>
    <w:rsid w:val="00487203"/>
    <w:rsid w:val="004873C1"/>
    <w:rsid w:val="004955AC"/>
    <w:rsid w:val="004C659F"/>
    <w:rsid w:val="0050019A"/>
    <w:rsid w:val="005005EC"/>
    <w:rsid w:val="005013DC"/>
    <w:rsid w:val="0054185D"/>
    <w:rsid w:val="00562676"/>
    <w:rsid w:val="00566428"/>
    <w:rsid w:val="00575DA1"/>
    <w:rsid w:val="005A083F"/>
    <w:rsid w:val="005A1E4D"/>
    <w:rsid w:val="005E462A"/>
    <w:rsid w:val="005F2C12"/>
    <w:rsid w:val="005F3CE6"/>
    <w:rsid w:val="005F3DB2"/>
    <w:rsid w:val="00614354"/>
    <w:rsid w:val="00617629"/>
    <w:rsid w:val="006314A3"/>
    <w:rsid w:val="00654D9F"/>
    <w:rsid w:val="00663C53"/>
    <w:rsid w:val="006858B5"/>
    <w:rsid w:val="006D18E4"/>
    <w:rsid w:val="006E0788"/>
    <w:rsid w:val="006E493C"/>
    <w:rsid w:val="00711E85"/>
    <w:rsid w:val="007246BD"/>
    <w:rsid w:val="007632D8"/>
    <w:rsid w:val="00765F21"/>
    <w:rsid w:val="00775C61"/>
    <w:rsid w:val="0077680E"/>
    <w:rsid w:val="0078391F"/>
    <w:rsid w:val="007A1AEA"/>
    <w:rsid w:val="007C3E3F"/>
    <w:rsid w:val="007D5748"/>
    <w:rsid w:val="0082099C"/>
    <w:rsid w:val="00844ACD"/>
    <w:rsid w:val="008642E5"/>
    <w:rsid w:val="008763BF"/>
    <w:rsid w:val="008B630C"/>
    <w:rsid w:val="008D339D"/>
    <w:rsid w:val="008E2736"/>
    <w:rsid w:val="008F0B4A"/>
    <w:rsid w:val="008F318B"/>
    <w:rsid w:val="00901F88"/>
    <w:rsid w:val="00914193"/>
    <w:rsid w:val="00916F70"/>
    <w:rsid w:val="00923359"/>
    <w:rsid w:val="00951B0E"/>
    <w:rsid w:val="0095611E"/>
    <w:rsid w:val="009706B7"/>
    <w:rsid w:val="00985F55"/>
    <w:rsid w:val="009922B3"/>
    <w:rsid w:val="009954CF"/>
    <w:rsid w:val="009C68BF"/>
    <w:rsid w:val="009D212A"/>
    <w:rsid w:val="009D3C20"/>
    <w:rsid w:val="009E76BB"/>
    <w:rsid w:val="00A1420E"/>
    <w:rsid w:val="00A26713"/>
    <w:rsid w:val="00A43DF2"/>
    <w:rsid w:val="00A448EC"/>
    <w:rsid w:val="00A55CC8"/>
    <w:rsid w:val="00A756B2"/>
    <w:rsid w:val="00A9772B"/>
    <w:rsid w:val="00AC5E09"/>
    <w:rsid w:val="00AD7876"/>
    <w:rsid w:val="00AE2716"/>
    <w:rsid w:val="00AF5CCD"/>
    <w:rsid w:val="00B2121C"/>
    <w:rsid w:val="00B27477"/>
    <w:rsid w:val="00B466EC"/>
    <w:rsid w:val="00B5535C"/>
    <w:rsid w:val="00B75FC3"/>
    <w:rsid w:val="00B870B6"/>
    <w:rsid w:val="00B972A0"/>
    <w:rsid w:val="00BA115E"/>
    <w:rsid w:val="00BA437B"/>
    <w:rsid w:val="00BF7006"/>
    <w:rsid w:val="00C06903"/>
    <w:rsid w:val="00C15212"/>
    <w:rsid w:val="00C4449C"/>
    <w:rsid w:val="00C51FD4"/>
    <w:rsid w:val="00C60145"/>
    <w:rsid w:val="00C751C4"/>
    <w:rsid w:val="00C933B5"/>
    <w:rsid w:val="00CA2C8D"/>
    <w:rsid w:val="00CB3623"/>
    <w:rsid w:val="00CB37AC"/>
    <w:rsid w:val="00CE299A"/>
    <w:rsid w:val="00CE73D1"/>
    <w:rsid w:val="00D00B4C"/>
    <w:rsid w:val="00D11673"/>
    <w:rsid w:val="00D3590E"/>
    <w:rsid w:val="00D75C66"/>
    <w:rsid w:val="00DA4872"/>
    <w:rsid w:val="00DC4464"/>
    <w:rsid w:val="00DD4F4F"/>
    <w:rsid w:val="00DE5BF1"/>
    <w:rsid w:val="00E00A74"/>
    <w:rsid w:val="00E07CE9"/>
    <w:rsid w:val="00E13AA6"/>
    <w:rsid w:val="00E30B5D"/>
    <w:rsid w:val="00E5381D"/>
    <w:rsid w:val="00E75606"/>
    <w:rsid w:val="00E80BF3"/>
    <w:rsid w:val="00E963A3"/>
    <w:rsid w:val="00EA1E90"/>
    <w:rsid w:val="00EB5C43"/>
    <w:rsid w:val="00EE0AC7"/>
    <w:rsid w:val="00EE3526"/>
    <w:rsid w:val="00EE7CA9"/>
    <w:rsid w:val="00EF0275"/>
    <w:rsid w:val="00F40136"/>
    <w:rsid w:val="00F43362"/>
    <w:rsid w:val="00F5240D"/>
    <w:rsid w:val="00F5449C"/>
    <w:rsid w:val="00F607A8"/>
    <w:rsid w:val="00F70160"/>
    <w:rsid w:val="00F81ED7"/>
    <w:rsid w:val="00F95270"/>
    <w:rsid w:val="00FB43F2"/>
    <w:rsid w:val="00FE7E63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58D5"/>
  <w15:docId w15:val="{37BB4916-6177-44F2-A1D7-976C9383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F0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481659"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F0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481659"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8F0B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0408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408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7C3E3F"/>
    <w:pPr>
      <w:ind w:left="720"/>
      <w:contextualSpacing/>
    </w:pPr>
  </w:style>
  <w:style w:type="paragraph" w:styleId="Revzia">
    <w:name w:val="Revision"/>
    <w:hidden/>
    <w:uiPriority w:val="99"/>
    <w:semiHidden/>
    <w:rsid w:val="004955AC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8F0B4A"/>
    <w:rPr>
      <w:rFonts w:ascii="Times New Roman" w:eastAsia="Times New Roman" w:hAnsi="Times New Roman" w:cs="Times New Roman"/>
      <w:color w:val="481659"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F0B4A"/>
    <w:rPr>
      <w:rFonts w:ascii="Times New Roman" w:eastAsia="Times New Roman" w:hAnsi="Times New Roman" w:cs="Times New Roman"/>
      <w:color w:val="481659"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8F0B4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952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52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9527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52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5270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EE0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708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8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0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61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24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8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59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21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41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f:fields xmlns:f="http://schemas.fabasoft.com/folio/2007/fields">
  <f:record ref="">
    <f:field ref="objname" par="" edit="true" text="Vplyvy-na-rozpocet-verejnej-spravy_SRF_MPK"/>
    <f:field ref="objsubject" par="" edit="true" text=""/>
    <f:field ref="objcreatedby" par="" text="Administrator, System"/>
    <f:field ref="objcreatedat" par="" text="16.4.2019 18:19:09"/>
    <f:field ref="objchangedby" par="" text="Administrator, System"/>
    <f:field ref="objmodifiedat" par="" text="16.4.2019 18:19:0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B21C5E35-A27F-4E86-B826-D44D2242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Németh, Tibor</cp:lastModifiedBy>
  <cp:revision>3</cp:revision>
  <cp:lastPrinted>2019-09-18T13:32:00Z</cp:lastPrinted>
  <dcterms:created xsi:type="dcterms:W3CDTF">2019-09-18T14:44:00Z</dcterms:created>
  <dcterms:modified xsi:type="dcterms:W3CDTF">2019-09-18T14:44:00Z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align="center"&gt;&amp;nbsp;&lt;/p&gt;&lt;p align="center"&gt;&amp;nbsp;&lt;/p&gt;&lt;p&gt;Verejnosť bola o&amp;nbsp;príprave návrhu zákona o&amp;nbsp;územnom plánovaní a&amp;nbsp;o&amp;nbsp;zmene a&amp;nbsp;doplnení niektorých zákonov v&amp;nbsp;znení neskorších predpisov a ktorým sa&amp;nbsp;menia a dopĺňajú nie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arch. Milan Haviar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územnom plánovaní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SR</vt:lpwstr>
  </property>
  <property fmtid="{D5CDD505-2E9C-101B-9397-08002B2CF9AE}" pid="23" name="FSC#SKEDITIONSLOVLEX@103.510:plnynazovpredpis">
    <vt:lpwstr> Zákon o územnom plánovaní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10683/2019 - 30339-M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LP/2019/246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11. 3. 2019</vt:lpwstr>
  </property>
  <property fmtid="{D5CDD505-2E9C-101B-9397-08002B2CF9AE}" pid="59" name="FSC#SKEDITIONSLOVLEX@103.510:AttrDateDocPropUkonceniePKK">
    <vt:lpwstr>2. 4. 2019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&lt;p&gt;&lt;em&gt;Vplyvy na podnikateľské prostredie sú pozitívne z&amp;nbsp;hľadiska zrýchlenia procesov územného plánovania a&amp;nbsp;negatívne z&amp;nbsp;titulu finančnej záťaže zavedením správneho poplatku za vydanie územného stanoviska, ktoré je povinným stanoviskom v&amp;nbs</vt:lpwstr>
  </property>
  <property fmtid="{D5CDD505-2E9C-101B-9397-08002B2CF9AE}" pid="66" name="FSC#SKEDITIONSLOVLEX@103.510:AttrStrListDocPropAltRiesenia">
    <vt:lpwstr>Posudzované bolo alternatívne riešenie ponechania procesov územného plánovania a procesov výstavby v pôvodnej právnej norme podľa zákona č. 50/1976 Zb. o územnom plánovaní a stavebnom poriadku (stavebný zákon).</vt:lpwstr>
  </property>
  <property fmtid="{D5CDD505-2E9C-101B-9397-08002B2CF9AE}" pid="67" name="FSC#SKEDITIONSLOVLEX@103.510:AttrStrListDocPropStanoviskoGest">
    <vt:lpwstr>&lt;p align="center"&gt;stanovisko komisie&lt;/p&gt;&lt;p align="center"&gt;&lt;strong&gt;(predbežné pripomienkové konanie)&lt;/strong&gt;&lt;/p&gt;&lt;p align="center"&gt;&lt;strong&gt;k&amp;nbsp;návrhu&lt;/strong&gt;&lt;/p&gt;&lt;p align="center"&gt;&lt;strong&gt;zákona o územnom plánovaní a o zmene a doplnení niektorých zákono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align="center"&gt;&lt;strong&gt;Predkladacia správa&lt;/strong&gt;&lt;/p&gt;&lt;p&gt;Ministerstvo dopravy a&amp;nbsp;výstavby SR (ďalej len „ministerstvo“) pripravilo v intenciách Programového vyhlásenia vlády Slovenskej republiky na roky 2016 až 2020 pre oblasť dopravy, výstavby a </vt:lpwstr>
  </property>
  <property fmtid="{D5CDD505-2E9C-101B-9397-08002B2CF9AE}" pid="150" name="FSC#SKEDITIONSLOVLEX@103.510:vytvorenedna">
    <vt:lpwstr>16. 4. 2019</vt:lpwstr>
  </property>
  <property fmtid="{D5CDD505-2E9C-101B-9397-08002B2CF9AE}" pid="151" name="FSC#COOSYSTEM@1.1:Container">
    <vt:lpwstr>COO.2145.1000.3.3310668</vt:lpwstr>
  </property>
  <property fmtid="{D5CDD505-2E9C-101B-9397-08002B2CF9AE}" pid="152" name="FSC#FSCFOLIO@1.1001:docpropproject">
    <vt:lpwstr/>
  </property>
</Properties>
</file>