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4" w:rsidRPr="008B5472" w:rsidRDefault="000C1B74" w:rsidP="000C1B74">
      <w:pPr>
        <w:jc w:val="center"/>
        <w:rPr>
          <w:b/>
          <w:bCs/>
          <w:sz w:val="28"/>
          <w:szCs w:val="28"/>
        </w:rPr>
      </w:pPr>
      <w:r w:rsidRPr="008B5472">
        <w:rPr>
          <w:b/>
          <w:bCs/>
          <w:sz w:val="28"/>
          <w:szCs w:val="28"/>
        </w:rPr>
        <w:t>Doložka vybraných vplyvov</w:t>
      </w:r>
    </w:p>
    <w:p w:rsidR="000C1B74" w:rsidRPr="008B5472" w:rsidRDefault="000C1B74" w:rsidP="000C1B74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27496" w:rsidRPr="008B5472" w:rsidTr="008F6C4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C1B74" w:rsidRPr="008B5472" w:rsidRDefault="000C1B74" w:rsidP="000C1B74">
            <w:pPr>
              <w:jc w:val="both"/>
              <w:rPr>
                <w:sz w:val="24"/>
                <w:szCs w:val="24"/>
              </w:rPr>
            </w:pPr>
            <w:r w:rsidRPr="008B5472">
              <w:rPr>
                <w:bCs/>
                <w:iCs/>
                <w:sz w:val="24"/>
                <w:szCs w:val="24"/>
              </w:rPr>
              <w:t xml:space="preserve">Návrh zákona, </w:t>
            </w:r>
            <w:r w:rsidRPr="008B5472">
              <w:rPr>
                <w:sz w:val="24"/>
                <w:szCs w:val="24"/>
              </w:rPr>
              <w:t>ktorým sa mení a dopĺňa zákon č. 297/2008 Z. z. o ochrane pred legalizáciou príjmov z trestnej činnosti a o ochrane pred financovaním terorizmu a o zmene a doplnení niektorých zákonov v znení neskorších predpisov.</w:t>
            </w:r>
          </w:p>
          <w:p w:rsidR="000C1B74" w:rsidRPr="008B5472" w:rsidRDefault="000C1B74" w:rsidP="008F6C42"/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Ministerstvo vnútra Slovenskej republiky</w:t>
            </w:r>
          </w:p>
          <w:p w:rsidR="000C1B74" w:rsidRPr="008B5472" w:rsidRDefault="000C1B74" w:rsidP="008F6C42"/>
        </w:tc>
      </w:tr>
      <w:tr w:rsidR="00927496" w:rsidRPr="008B5472" w:rsidTr="008F6C4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r w:rsidRPr="008B5472">
              <w:t>Materiál nelegislatívnej povahy</w:t>
            </w:r>
          </w:p>
        </w:tc>
      </w:tr>
      <w:tr w:rsidR="00927496" w:rsidRPr="008B5472" w:rsidTr="008F6C4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C1B74" w:rsidRPr="008B5472" w:rsidRDefault="000C1B74" w:rsidP="008F6C42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ind w:left="175" w:hanging="175"/>
            </w:pPr>
            <w:r w:rsidRPr="008B5472">
              <w:t>Materiál legislatívnej povahy</w:t>
            </w:r>
          </w:p>
        </w:tc>
      </w:tr>
      <w:tr w:rsidR="00927496" w:rsidRPr="008B5472" w:rsidTr="008F6C4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C1B74" w:rsidRPr="008B5472" w:rsidRDefault="000C1B74" w:rsidP="008F6C42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r w:rsidRPr="008B5472">
              <w:t>Transpozícia práva EÚ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V prípade transpozície uveďte zoznam transponovaných predpisov:</w:t>
            </w:r>
          </w:p>
          <w:p w:rsidR="000C1B74" w:rsidRPr="008B5472" w:rsidRDefault="000C1B74" w:rsidP="008F6C42">
            <w:pPr>
              <w:rPr>
                <w:i/>
              </w:rPr>
            </w:pPr>
          </w:p>
          <w:p w:rsidR="000C1B74" w:rsidRPr="008B5472" w:rsidRDefault="000C1B74" w:rsidP="000C1B74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Smernica Európskeho parlamentu a Rady (EÚ) 2018/843 z 30. mája 2018, ktorou sa mení smernica (EÚ) 2015/849 o predchádzaní využívaniu finančného systému na účely prania špinavých peňazí alebo financovania terorizmu a smernice 2009/138/ES a 2013/36/EÚ </w:t>
            </w:r>
          </w:p>
        </w:tc>
      </w:tr>
      <w:tr w:rsidR="00927496" w:rsidRPr="008B5472" w:rsidTr="008F6C42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Začiatok:</w:t>
            </w:r>
            <w:r w:rsidR="008F6C42" w:rsidRPr="008B5472">
              <w:rPr>
                <w:sz w:val="24"/>
                <w:szCs w:val="24"/>
              </w:rPr>
              <w:t xml:space="preserve"> </w:t>
            </w:r>
            <w:r w:rsidR="00957B01" w:rsidRPr="008B5472">
              <w:rPr>
                <w:sz w:val="24"/>
                <w:szCs w:val="24"/>
              </w:rPr>
              <w:t>26.06.2019</w:t>
            </w:r>
          </w:p>
          <w:p w:rsidR="000C1B74" w:rsidRPr="008B5472" w:rsidRDefault="000C1B74" w:rsidP="00957B01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Ukončenie:</w:t>
            </w:r>
            <w:r w:rsidR="00957B01" w:rsidRPr="008B5472">
              <w:rPr>
                <w:sz w:val="24"/>
                <w:szCs w:val="24"/>
              </w:rPr>
              <w:t xml:space="preserve"> 02.07.2019</w:t>
            </w:r>
          </w:p>
        </w:tc>
      </w:tr>
      <w:tr w:rsidR="00927496" w:rsidRPr="008B5472" w:rsidTr="008F6C4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júl 2019</w:t>
            </w:r>
          </w:p>
        </w:tc>
      </w:tr>
      <w:tr w:rsidR="00927496" w:rsidRPr="008B5472" w:rsidTr="008F6C4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F06303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september</w:t>
            </w:r>
            <w:r w:rsidR="000C1B74" w:rsidRPr="008B5472">
              <w:rPr>
                <w:sz w:val="24"/>
                <w:szCs w:val="24"/>
              </w:rPr>
              <w:t xml:space="preserve"> 2019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1B74" w:rsidRPr="008B5472" w:rsidRDefault="000C1B74" w:rsidP="008F6C42"/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927496" w:rsidRPr="008B5472" w:rsidTr="008F6C4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základné problémy, na ktoré navrhovaná regulácia reaguje.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t xml:space="preserve">- </w:t>
            </w:r>
            <w:r w:rsidRPr="008B5472">
              <w:rPr>
                <w:sz w:val="24"/>
                <w:szCs w:val="24"/>
              </w:rPr>
              <w:t>Transpozícia smernice Európskeho parlamentu a Rady (EÚ) 2018/843 z 30. mája 2018, ktorou sa mení smernica (EÚ) 2015/849 o predchádzaní využívaniu finančného systému na účely prania špinavých peňazí alebo financovania terorizmu a smernice 2009/138/ES a 2013/36/EÚ</w:t>
            </w:r>
            <w:r w:rsidR="00DC5AD3" w:rsidRPr="008B5472">
              <w:rPr>
                <w:sz w:val="24"/>
                <w:szCs w:val="24"/>
              </w:rPr>
              <w:t xml:space="preserve"> (ďalej len „V. AML Smernica“)</w:t>
            </w:r>
            <w:r w:rsidRPr="008B5472">
              <w:rPr>
                <w:sz w:val="24"/>
                <w:szCs w:val="24"/>
              </w:rPr>
              <w:t>.</w:t>
            </w:r>
          </w:p>
          <w:p w:rsidR="000C1B74" w:rsidRPr="008B5472" w:rsidRDefault="000C1B74" w:rsidP="005C2316">
            <w:pPr>
              <w:jc w:val="both"/>
              <w:rPr>
                <w:b/>
              </w:rPr>
            </w:pPr>
            <w:r w:rsidRPr="008B5472">
              <w:rPr>
                <w:sz w:val="24"/>
                <w:szCs w:val="24"/>
              </w:rPr>
              <w:t>- Odstránenie nedostatkov, ktoré vyplynuli z aplikačnej praxe v rámci zákona č.</w:t>
            </w:r>
            <w:r w:rsidR="005C2316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 xml:space="preserve"> 297/2008</w:t>
            </w:r>
            <w:r w:rsidR="005C2316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Z.</w:t>
            </w:r>
            <w:r w:rsidR="008F6C42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z.</w:t>
            </w:r>
            <w:r w:rsidRPr="008B5472">
              <w:t xml:space="preserve"> </w:t>
            </w:r>
            <w:r w:rsidR="00DC5AD3" w:rsidRPr="008B5472">
              <w:rPr>
                <w:sz w:val="24"/>
                <w:szCs w:val="24"/>
              </w:rPr>
              <w:t>o ochrane pred legalizáciou príjmov z trestnej činnosti a o ochrane pred financovaním terorizmu a o zmene a doplnení niektorých zákonov v znení neskorších predpisov (ďalej len „zákon č. 297/2008 Z.</w:t>
            </w:r>
            <w:r w:rsidR="005C2316" w:rsidRPr="008B5472">
              <w:rPr>
                <w:sz w:val="24"/>
                <w:szCs w:val="24"/>
              </w:rPr>
              <w:t xml:space="preserve"> </w:t>
            </w:r>
            <w:r w:rsidR="00DC5AD3" w:rsidRPr="008B5472">
              <w:rPr>
                <w:sz w:val="24"/>
                <w:szCs w:val="24"/>
              </w:rPr>
              <w:t>z.“)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927496" w:rsidRPr="008B5472" w:rsidTr="008F6C42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hlavné ciele navrhovaného predpisu (aký výsledný stav chcete reguláciou dosiahnuť).</w:t>
            </w:r>
          </w:p>
          <w:p w:rsidR="000C1B74" w:rsidRPr="008B5472" w:rsidRDefault="000C1B74" w:rsidP="008F6C42">
            <w:pPr>
              <w:ind w:firstLine="708"/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Hlavným cieľom predloženého návrhu je transpozícia V. AML Smernic</w:t>
            </w:r>
            <w:r w:rsidR="00DC5AD3" w:rsidRPr="008B5472">
              <w:rPr>
                <w:sz w:val="24"/>
                <w:szCs w:val="24"/>
              </w:rPr>
              <w:t>e</w:t>
            </w:r>
            <w:r w:rsidRPr="008B5472">
              <w:rPr>
                <w:sz w:val="24"/>
                <w:szCs w:val="24"/>
              </w:rPr>
              <w:t>, ktorá sleduje ochranu finančného systému a posilnenie mechanizmu zavedeného na predchádzanie legalizácii príjmu z trestnej činnosti a financovaniu terorizmu v rámci Európskej únie. Návrh reaguje aj na požiadavky vyplývajúce z aplikačnej praxe.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            Zmenami a doplnením </w:t>
            </w:r>
            <w:r w:rsidRPr="008B5472">
              <w:rPr>
                <w:bCs/>
                <w:sz w:val="24"/>
                <w:szCs w:val="24"/>
              </w:rPr>
              <w:t xml:space="preserve">zákona </w:t>
            </w:r>
            <w:r w:rsidRPr="008B5472">
              <w:rPr>
                <w:sz w:val="24"/>
                <w:szCs w:val="24"/>
              </w:rPr>
              <w:t xml:space="preserve">č. 297/2008 Z. z. dôjde k úprave existujúcich </w:t>
            </w:r>
            <w:r w:rsidRPr="008B5472">
              <w:rPr>
                <w:bCs/>
                <w:sz w:val="24"/>
                <w:szCs w:val="24"/>
              </w:rPr>
              <w:t>pravidiel zameraných na predchádzanie legalizácii príjmov z trestnej činnosti a financovani</w:t>
            </w:r>
            <w:r w:rsidR="00A712CF" w:rsidRPr="008B5472">
              <w:rPr>
                <w:bCs/>
                <w:sz w:val="24"/>
                <w:szCs w:val="24"/>
              </w:rPr>
              <w:t>a</w:t>
            </w:r>
            <w:r w:rsidRPr="008B5472">
              <w:rPr>
                <w:bCs/>
                <w:sz w:val="24"/>
                <w:szCs w:val="24"/>
              </w:rPr>
              <w:t xml:space="preserve"> terorizmu s c</w:t>
            </w:r>
            <w:r w:rsidRPr="008B5472">
              <w:rPr>
                <w:sz w:val="24"/>
                <w:szCs w:val="24"/>
              </w:rPr>
              <w:t>ieľom: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zaradiť subjekty poskytujúce služby spojené s</w:t>
            </w:r>
            <w:r w:rsidR="00026762" w:rsidRPr="008B5472">
              <w:rPr>
                <w:sz w:val="24"/>
                <w:szCs w:val="24"/>
              </w:rPr>
              <w:t xml:space="preserve"> virtuálnou </w:t>
            </w:r>
            <w:proofErr w:type="spellStart"/>
            <w:r w:rsidR="00026762" w:rsidRPr="008B5472">
              <w:rPr>
                <w:sz w:val="24"/>
                <w:szCs w:val="24"/>
              </w:rPr>
              <w:t>kryptomenou</w:t>
            </w:r>
            <w:proofErr w:type="spellEnd"/>
            <w:r w:rsidRPr="008B5472">
              <w:rPr>
                <w:sz w:val="24"/>
                <w:szCs w:val="24"/>
              </w:rPr>
              <w:t xml:space="preserve"> medzi povinné osoby,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zlepšiť prístupnosť a prepojenie vnútroštátnych registrov konečných užívateľov výhod v rámci EÚ,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lastRenderedPageBreak/>
              <w:t xml:space="preserve">- posilniť a harmonizovať pravidlá zvýšenej starostlivosti vo vzťahu ku klientom z vysokorizikových krajín, </w:t>
            </w:r>
          </w:p>
          <w:p w:rsidR="000C1B74" w:rsidRPr="008B5472" w:rsidRDefault="000C1B74" w:rsidP="008F6C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- prijať prísnejšie </w:t>
            </w:r>
            <w:r w:rsidRPr="008B5472">
              <w:rPr>
                <w:rFonts w:eastAsiaTheme="minorHAnsi"/>
                <w:sz w:val="24"/>
                <w:szCs w:val="24"/>
              </w:rPr>
              <w:t xml:space="preserve">opatrenia na zníženie rizík legalizácie a financovania terorizmu spojených s anonymnými predplatenými nástrojmi, </w:t>
            </w:r>
          </w:p>
          <w:p w:rsidR="000C1B74" w:rsidRPr="008B5472" w:rsidRDefault="000C1B74" w:rsidP="008F6C4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zakázať viesť anonymné účty a</w:t>
            </w:r>
            <w:r w:rsidR="006A19BD" w:rsidRPr="008B5472">
              <w:rPr>
                <w:sz w:val="24"/>
                <w:szCs w:val="24"/>
              </w:rPr>
              <w:t xml:space="preserve"> anonymné</w:t>
            </w:r>
            <w:r w:rsidRPr="008B5472">
              <w:rPr>
                <w:sz w:val="24"/>
                <w:szCs w:val="24"/>
              </w:rPr>
              <w:t> bezpečnostné schránky,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rFonts w:eastAsiaTheme="minorHAnsi"/>
                <w:sz w:val="24"/>
                <w:szCs w:val="24"/>
              </w:rPr>
              <w:t>-</w:t>
            </w:r>
            <w:r w:rsidRPr="008B5472">
              <w:rPr>
                <w:sz w:val="24"/>
                <w:szCs w:val="24"/>
              </w:rPr>
              <w:t xml:space="preserve"> aktualizovať zoznam politicky exponovaných osôb</w:t>
            </w:r>
            <w:r w:rsidR="00817B42" w:rsidRPr="008B5472">
              <w:rPr>
                <w:sz w:val="24"/>
                <w:szCs w:val="24"/>
              </w:rPr>
              <w:t>,</w:t>
            </w:r>
            <w:r w:rsidRPr="008B5472">
              <w:rPr>
                <w:sz w:val="24"/>
                <w:szCs w:val="24"/>
              </w:rPr>
              <w:t> </w:t>
            </w:r>
          </w:p>
          <w:p w:rsidR="00817B42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posilniť spoluprácu príslušných orgánov členských štátov v rámci výmeny informácií</w:t>
            </w:r>
            <w:r w:rsidR="00817B42" w:rsidRPr="008B5472">
              <w:rPr>
                <w:sz w:val="24"/>
                <w:szCs w:val="24"/>
              </w:rPr>
              <w:t xml:space="preserve"> a</w:t>
            </w:r>
          </w:p>
          <w:p w:rsidR="000C1B74" w:rsidRPr="008B5472" w:rsidRDefault="00817B42" w:rsidP="0007105B">
            <w:pPr>
              <w:jc w:val="both"/>
            </w:pPr>
            <w:r w:rsidRPr="008B5472">
              <w:rPr>
                <w:sz w:val="24"/>
                <w:szCs w:val="24"/>
              </w:rPr>
              <w:t xml:space="preserve">- </w:t>
            </w:r>
            <w:r w:rsidR="00BA2EF7" w:rsidRPr="008B5472">
              <w:rPr>
                <w:sz w:val="24"/>
                <w:szCs w:val="24"/>
              </w:rPr>
              <w:t>zriadiť</w:t>
            </w:r>
            <w:r w:rsidRPr="008B5472">
              <w:rPr>
                <w:sz w:val="24"/>
                <w:szCs w:val="24"/>
              </w:rPr>
              <w:t xml:space="preserve"> centralizovan</w:t>
            </w:r>
            <w:r w:rsidR="00BA2EF7" w:rsidRPr="008B5472">
              <w:rPr>
                <w:sz w:val="24"/>
                <w:szCs w:val="24"/>
              </w:rPr>
              <w:t>ý</w:t>
            </w:r>
            <w:r w:rsidR="002623E1" w:rsidRPr="008B5472">
              <w:rPr>
                <w:sz w:val="24"/>
                <w:szCs w:val="24"/>
              </w:rPr>
              <w:t xml:space="preserve"> </w:t>
            </w:r>
            <w:r w:rsidR="0007105B" w:rsidRPr="008B5472">
              <w:rPr>
                <w:sz w:val="24"/>
                <w:szCs w:val="24"/>
              </w:rPr>
              <w:t>automatizovan</w:t>
            </w:r>
            <w:r w:rsidR="00BA2EF7" w:rsidRPr="008B5472">
              <w:rPr>
                <w:sz w:val="24"/>
                <w:szCs w:val="24"/>
              </w:rPr>
              <w:t>ý</w:t>
            </w:r>
            <w:r w:rsidR="0007105B" w:rsidRPr="008B5472">
              <w:rPr>
                <w:sz w:val="24"/>
                <w:szCs w:val="24"/>
              </w:rPr>
              <w:t xml:space="preserve"> mechanizmu</w:t>
            </w:r>
            <w:r w:rsidR="00BA2EF7" w:rsidRPr="008B5472">
              <w:rPr>
                <w:sz w:val="24"/>
                <w:szCs w:val="24"/>
              </w:rPr>
              <w:t>s</w:t>
            </w:r>
            <w:r w:rsidRPr="008B5472">
              <w:rPr>
                <w:sz w:val="24"/>
                <w:szCs w:val="24"/>
              </w:rPr>
              <w:t xml:space="preserve">, ktorý umožní včasnú identifikáciu </w:t>
            </w:r>
            <w:r w:rsidR="0007105B" w:rsidRPr="008B5472">
              <w:rPr>
                <w:sz w:val="24"/>
                <w:szCs w:val="24"/>
              </w:rPr>
              <w:t>majiteľov a disponentov bankových alebo platobných účtov</w:t>
            </w:r>
            <w:r w:rsidR="00793072" w:rsidRPr="008B5472">
              <w:rPr>
                <w:sz w:val="24"/>
                <w:szCs w:val="24"/>
              </w:rPr>
              <w:t xml:space="preserve"> identifikovaných číslom IBAN</w:t>
            </w:r>
            <w:r w:rsidR="0007105B" w:rsidRPr="008B5472">
              <w:rPr>
                <w:sz w:val="24"/>
                <w:szCs w:val="24"/>
              </w:rPr>
              <w:t>.</w:t>
            </w:r>
          </w:p>
          <w:p w:rsidR="000C1B74" w:rsidRPr="008B5472" w:rsidRDefault="000C1B74" w:rsidP="008F6C42">
            <w:pPr>
              <w:jc w:val="both"/>
            </w:pP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subjekty, ktorých sa zmeny návrhu dotknú priamo aj nepriamo:</w:t>
            </w:r>
          </w:p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povinné osoby podľa § 5 zákona č. 297/2008 Z. z., združenia majetku podľa § 25 zákona č.</w:t>
            </w:r>
            <w:r w:rsidR="00A712CF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297/2008 Z. z. a vnútroštátny správca podľa § 25a zákona č. 297/2008 Z. z.,</w:t>
            </w:r>
          </w:p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právnické osoby</w:t>
            </w:r>
            <w:r w:rsidR="00EC708F" w:rsidRPr="008B5472">
              <w:rPr>
                <w:sz w:val="24"/>
                <w:szCs w:val="24"/>
              </w:rPr>
              <w:t>,</w:t>
            </w:r>
            <w:r w:rsidRPr="008B5472">
              <w:rPr>
                <w:sz w:val="24"/>
                <w:szCs w:val="24"/>
              </w:rPr>
              <w:t xml:space="preserve"> okrem orgánov verejnej správy a účelové združenia majetku bez právnej subjektivity v súvislosti s identifikáciou a aktualizáciou identifikačných údajov konečného užívateľa výhod,</w:t>
            </w:r>
          </w:p>
          <w:p w:rsidR="00817B42" w:rsidRPr="008B5472" w:rsidRDefault="000C1B74" w:rsidP="00DC5AD3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Štatistický úrad Slovenskej republiky</w:t>
            </w:r>
            <w:r w:rsidR="005C2316" w:rsidRPr="008B5472">
              <w:rPr>
                <w:sz w:val="24"/>
                <w:szCs w:val="24"/>
              </w:rPr>
              <w:t xml:space="preserve"> (ďalej len „MV SR“)</w:t>
            </w:r>
            <w:r w:rsidR="00171B99" w:rsidRPr="008B5472">
              <w:rPr>
                <w:sz w:val="24"/>
                <w:szCs w:val="24"/>
              </w:rPr>
              <w:t>,</w:t>
            </w:r>
          </w:p>
          <w:p w:rsidR="00171B99" w:rsidRPr="008B5472" w:rsidRDefault="00171B99" w:rsidP="00DC5AD3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Ministerstvo vnútra Slovenskej republiky</w:t>
            </w:r>
            <w:r w:rsidR="005C2316" w:rsidRPr="008B5472">
              <w:rPr>
                <w:sz w:val="24"/>
                <w:szCs w:val="24"/>
              </w:rPr>
              <w:t xml:space="preserve"> (ďalej len ŠÚ SR“)</w:t>
            </w:r>
            <w:r w:rsidRPr="008B5472">
              <w:rPr>
                <w:sz w:val="24"/>
                <w:szCs w:val="24"/>
              </w:rPr>
              <w:t>,</w:t>
            </w:r>
          </w:p>
          <w:p w:rsidR="00171B99" w:rsidRPr="008B5472" w:rsidRDefault="00817B42" w:rsidP="00DC5AD3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- </w:t>
            </w:r>
            <w:r w:rsidR="00E703AA" w:rsidRPr="008B5472">
              <w:rPr>
                <w:sz w:val="24"/>
                <w:szCs w:val="24"/>
              </w:rPr>
              <w:t>Slovenská banková asociácia</w:t>
            </w:r>
            <w:r w:rsidR="005C2316" w:rsidRPr="008B5472">
              <w:rPr>
                <w:sz w:val="24"/>
                <w:szCs w:val="24"/>
              </w:rPr>
              <w:t xml:space="preserve"> (ďalej len „SBA“)</w:t>
            </w:r>
            <w:r w:rsidR="00171B99" w:rsidRPr="008B5472">
              <w:rPr>
                <w:sz w:val="24"/>
                <w:szCs w:val="24"/>
              </w:rPr>
              <w:t xml:space="preserve">, </w:t>
            </w:r>
          </w:p>
          <w:p w:rsidR="000C1B74" w:rsidRPr="008B5472" w:rsidRDefault="00171B99" w:rsidP="00DC5AD3">
            <w:r w:rsidRPr="008B5472">
              <w:rPr>
                <w:sz w:val="24"/>
                <w:szCs w:val="24"/>
              </w:rPr>
              <w:t>- banky a iné úverové inštitúcie vrátane pobočiek a platobné inštitúcie vrátane pobočiek, ktoré vedú účty identifikované číslom IBAN</w:t>
            </w:r>
            <w:r w:rsidR="00F44F7B" w:rsidRPr="008B5472">
              <w:rPr>
                <w:sz w:val="24"/>
                <w:szCs w:val="24"/>
              </w:rPr>
              <w:t>.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927496" w:rsidRPr="008B5472" w:rsidTr="008F6C42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Aké alternatívne riešenia boli posudzované?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Uveďte, aké alternatívne spôsoby na odstránenie definovaného problému boli identifikované a posudzované.</w:t>
            </w:r>
          </w:p>
          <w:p w:rsidR="000C1B74" w:rsidRPr="008B5472" w:rsidRDefault="000C1B74" w:rsidP="008F6C42">
            <w:pPr>
              <w:rPr>
                <w:i/>
              </w:rPr>
            </w:pPr>
          </w:p>
          <w:p w:rsidR="002623E1" w:rsidRPr="008B5472" w:rsidRDefault="00BA2EF7" w:rsidP="00241686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1. </w:t>
            </w:r>
            <w:r w:rsidR="00557F4A" w:rsidRPr="008B5472">
              <w:rPr>
                <w:sz w:val="24"/>
                <w:szCs w:val="24"/>
              </w:rPr>
              <w:t xml:space="preserve">Alternatívne riešenia v súvislosti s požiadavkou </w:t>
            </w:r>
            <w:r w:rsidR="00557F4A" w:rsidRPr="008B5472">
              <w:rPr>
                <w:sz w:val="24"/>
                <w:szCs w:val="24"/>
                <w:lang w:eastAsia="cs-CZ"/>
              </w:rPr>
              <w:t xml:space="preserve">sprístupniť údaje o konečnom užívateľovi výhod, a to v rozsahu: </w:t>
            </w:r>
            <w:r w:rsidR="00557F4A" w:rsidRPr="008B5472">
              <w:rPr>
                <w:sz w:val="24"/>
                <w:szCs w:val="24"/>
              </w:rPr>
              <w:t xml:space="preserve">meno, priezvisko, mesiac a rok narodenia, štátnu príslušnosť a štát pobytu, ako aj údaje, ktoré zakladajú postavenie konečného užívateľa výhod  </w:t>
            </w:r>
            <w:r w:rsidR="000C1B74" w:rsidRPr="008B5472">
              <w:rPr>
                <w:sz w:val="24"/>
                <w:szCs w:val="24"/>
              </w:rPr>
              <w:t>neboli posudzované</w:t>
            </w:r>
            <w:r w:rsidR="005C2316" w:rsidRPr="008B5472">
              <w:rPr>
                <w:sz w:val="24"/>
                <w:szCs w:val="24"/>
              </w:rPr>
              <w:t>,</w:t>
            </w:r>
            <w:r w:rsidR="00557F4A" w:rsidRPr="008B5472">
              <w:rPr>
                <w:sz w:val="24"/>
                <w:szCs w:val="24"/>
              </w:rPr>
              <w:t xml:space="preserve"> nakoľko žiadne alternatívne riešenia tohto problému neprichádzali do úvahy. Ide o rozšírenie a úpravu funkcionality registra právnických osôb (ďalej len RPO“)</w:t>
            </w:r>
            <w:r w:rsidR="00DC5AD3" w:rsidRPr="008B5472">
              <w:rPr>
                <w:sz w:val="24"/>
                <w:szCs w:val="24"/>
              </w:rPr>
              <w:t xml:space="preserve">. </w:t>
            </w:r>
          </w:p>
          <w:p w:rsidR="00557F4A" w:rsidRPr="008B5472" w:rsidRDefault="00557F4A" w:rsidP="00241686">
            <w:pPr>
              <w:jc w:val="both"/>
              <w:rPr>
                <w:strike/>
                <w:sz w:val="24"/>
                <w:szCs w:val="24"/>
              </w:rPr>
            </w:pPr>
          </w:p>
          <w:p w:rsidR="00BA2EF7" w:rsidRPr="008B5472" w:rsidRDefault="00BA2EF7" w:rsidP="00BA2EF7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2. </w:t>
            </w:r>
            <w:r w:rsidR="002623E1" w:rsidRPr="008B5472">
              <w:rPr>
                <w:sz w:val="24"/>
                <w:szCs w:val="24"/>
              </w:rPr>
              <w:t xml:space="preserve">V súvislosti so zriadením centralizovaného </w:t>
            </w:r>
            <w:r w:rsidR="0007105B" w:rsidRPr="008B5472">
              <w:rPr>
                <w:sz w:val="24"/>
                <w:szCs w:val="24"/>
              </w:rPr>
              <w:t>automatizovaného systému</w:t>
            </w:r>
            <w:r w:rsidR="002623E1" w:rsidRPr="008B5472">
              <w:rPr>
                <w:sz w:val="24"/>
                <w:szCs w:val="24"/>
              </w:rPr>
              <w:t xml:space="preserve"> </w:t>
            </w:r>
            <w:r w:rsidRPr="008B5472">
              <w:rPr>
                <w:sz w:val="24"/>
                <w:szCs w:val="24"/>
              </w:rPr>
              <w:t xml:space="preserve">sa uskutočnili viaceré stretnutia zástupcov </w:t>
            </w:r>
            <w:r w:rsidR="00F44F7B" w:rsidRPr="008B5472">
              <w:rPr>
                <w:sz w:val="24"/>
                <w:szCs w:val="24"/>
              </w:rPr>
              <w:t>MV</w:t>
            </w:r>
            <w:r w:rsidRPr="008B5472">
              <w:rPr>
                <w:sz w:val="24"/>
                <w:szCs w:val="24"/>
              </w:rPr>
              <w:t xml:space="preserve"> SR, Národnej banky Slovenska</w:t>
            </w:r>
            <w:r w:rsidR="005C0092" w:rsidRPr="008B5472">
              <w:rPr>
                <w:sz w:val="24"/>
                <w:szCs w:val="24"/>
              </w:rPr>
              <w:t xml:space="preserve"> (ďalej len „NBS“)</w:t>
            </w:r>
            <w:r w:rsidRPr="008B5472">
              <w:rPr>
                <w:sz w:val="24"/>
                <w:szCs w:val="24"/>
              </w:rPr>
              <w:t>, M</w:t>
            </w:r>
            <w:r w:rsidRPr="008B5472">
              <w:rPr>
                <w:rFonts w:eastAsia="Arial"/>
                <w:sz w:val="24"/>
                <w:szCs w:val="24"/>
              </w:rPr>
              <w:t>inisterstva financií S</w:t>
            </w:r>
            <w:r w:rsidR="00F44F7B" w:rsidRPr="008B5472">
              <w:rPr>
                <w:rFonts w:eastAsia="Arial"/>
                <w:sz w:val="24"/>
                <w:szCs w:val="24"/>
              </w:rPr>
              <w:t>lovenskej republiky</w:t>
            </w:r>
            <w:r w:rsidRPr="008B5472">
              <w:rPr>
                <w:rFonts w:eastAsia="Arial"/>
                <w:sz w:val="24"/>
                <w:szCs w:val="24"/>
              </w:rPr>
              <w:t xml:space="preserve"> a </w:t>
            </w:r>
            <w:r w:rsidR="00F44F7B" w:rsidRPr="008B5472">
              <w:rPr>
                <w:sz w:val="24"/>
                <w:szCs w:val="24"/>
              </w:rPr>
              <w:t>SBA</w:t>
            </w:r>
            <w:r w:rsidRPr="008B5472">
              <w:rPr>
                <w:sz w:val="24"/>
                <w:szCs w:val="24"/>
              </w:rPr>
              <w:t xml:space="preserve">, ktorá zabezpečuje elektronické poskytovanie údajov bankami. V rámci diskusie zástupcovia uvedených rezortov identifikovali nasledovné alternatívy riešenia danej problematiky: </w:t>
            </w:r>
          </w:p>
          <w:p w:rsidR="00BA2EF7" w:rsidRPr="008B5472" w:rsidRDefault="00BA2EF7" w:rsidP="00BA2EF7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A2EF7" w:rsidRPr="008B5472" w:rsidRDefault="00BA2EF7" w:rsidP="00BA2EF7">
            <w:pPr>
              <w:jc w:val="both"/>
              <w:rPr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 xml:space="preserve">Alternatíva A): Využitie funkčného existujúceho </w:t>
            </w:r>
            <w:r w:rsidR="00F44F7B" w:rsidRPr="008B5472">
              <w:rPr>
                <w:sz w:val="24"/>
                <w:szCs w:val="24"/>
              </w:rPr>
              <w:t>automatizovaného</w:t>
            </w:r>
            <w:r w:rsidRPr="008B5472">
              <w:rPr>
                <w:sz w:val="24"/>
                <w:szCs w:val="24"/>
              </w:rPr>
              <w:t xml:space="preserve"> </w:t>
            </w:r>
            <w:r w:rsidR="00F44F7B" w:rsidRPr="008B5472">
              <w:rPr>
                <w:sz w:val="24"/>
                <w:szCs w:val="24"/>
              </w:rPr>
              <w:t>elektronického</w:t>
            </w:r>
            <w:r w:rsidRPr="008B5472">
              <w:rPr>
                <w:sz w:val="24"/>
                <w:szCs w:val="24"/>
              </w:rPr>
              <w:t xml:space="preserve"> komunikačn</w:t>
            </w:r>
            <w:r w:rsidR="00F44F7B" w:rsidRPr="008B5472">
              <w:rPr>
                <w:sz w:val="24"/>
                <w:szCs w:val="24"/>
              </w:rPr>
              <w:t>ého</w:t>
            </w:r>
            <w:r w:rsidRPr="008B5472">
              <w:rPr>
                <w:sz w:val="24"/>
                <w:szCs w:val="24"/>
              </w:rPr>
              <w:t xml:space="preserve"> systém</w:t>
            </w:r>
            <w:r w:rsidR="00F44F7B" w:rsidRPr="008B5472">
              <w:rPr>
                <w:sz w:val="24"/>
                <w:szCs w:val="24"/>
              </w:rPr>
              <w:t>u</w:t>
            </w:r>
            <w:r w:rsidRPr="008B5472">
              <w:rPr>
                <w:sz w:val="24"/>
                <w:szCs w:val="24"/>
              </w:rPr>
              <w:t xml:space="preserve">, ktorý zabezpečuje </w:t>
            </w:r>
            <w:r w:rsidR="00F44F7B" w:rsidRPr="008B5472">
              <w:rPr>
                <w:sz w:val="24"/>
                <w:szCs w:val="24"/>
              </w:rPr>
              <w:t>SBA  (ďalej len „centrálny elektronický systém“)</w:t>
            </w:r>
            <w:r w:rsidRPr="008B5472">
              <w:rPr>
                <w:sz w:val="24"/>
                <w:szCs w:val="24"/>
              </w:rPr>
              <w:t> zmysle § 91 ods. 10 zákona č. 483/2001 Z. z. o</w:t>
            </w:r>
            <w:r w:rsidR="00F44F7B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bankách</w:t>
            </w:r>
            <w:r w:rsidR="00F44F7B" w:rsidRPr="008B5472">
              <w:rPr>
                <w:sz w:val="24"/>
                <w:szCs w:val="24"/>
              </w:rPr>
              <w:t xml:space="preserve"> a o zmene a doplnení niektorých zákonov</w:t>
            </w:r>
            <w:r w:rsidRPr="008B5472">
              <w:rPr>
                <w:sz w:val="24"/>
                <w:szCs w:val="24"/>
              </w:rPr>
              <w:t xml:space="preserve"> v znení neskorších predpisov</w:t>
            </w:r>
            <w:r w:rsidR="00F44F7B" w:rsidRPr="008B5472">
              <w:rPr>
                <w:sz w:val="24"/>
                <w:szCs w:val="24"/>
              </w:rPr>
              <w:t xml:space="preserve"> (ďalej len „zákon č. 483/2001 Z. z.“)</w:t>
            </w:r>
            <w:r w:rsidRPr="008B5472">
              <w:rPr>
                <w:sz w:val="24"/>
                <w:szCs w:val="24"/>
              </w:rPr>
              <w:t xml:space="preserve">. </w:t>
            </w:r>
            <w:r w:rsidR="00F44F7B" w:rsidRPr="008B5472">
              <w:rPr>
                <w:sz w:val="24"/>
                <w:szCs w:val="24"/>
              </w:rPr>
              <w:t>Centrálny e</w:t>
            </w:r>
            <w:r w:rsidRPr="008B5472">
              <w:rPr>
                <w:sz w:val="24"/>
                <w:szCs w:val="24"/>
              </w:rPr>
              <w:t xml:space="preserve">lektronický systém v súčasnosti využíva na základe zmluvy o spolupráci a technickej podpore Slovenská komora exekútorov, Notárska komora, Ministerstvo spravodlivosti </w:t>
            </w:r>
            <w:r w:rsidR="00F44F7B" w:rsidRPr="008B5472">
              <w:rPr>
                <w:sz w:val="24"/>
                <w:szCs w:val="24"/>
              </w:rPr>
              <w:t>Slovenskej republiky</w:t>
            </w:r>
            <w:r w:rsidRPr="008B5472">
              <w:rPr>
                <w:sz w:val="24"/>
                <w:szCs w:val="24"/>
              </w:rPr>
              <w:t xml:space="preserve">, Sociálna poisťovňa a Finančné riaditeľstvo </w:t>
            </w:r>
            <w:r w:rsidR="00F44F7B" w:rsidRPr="008B5472">
              <w:rPr>
                <w:sz w:val="24"/>
                <w:szCs w:val="24"/>
              </w:rPr>
              <w:t>Slovenskej republiky</w:t>
            </w:r>
            <w:r w:rsidRPr="008B5472">
              <w:rPr>
                <w:sz w:val="24"/>
                <w:szCs w:val="24"/>
              </w:rPr>
              <w:t xml:space="preserve">. </w:t>
            </w:r>
          </w:p>
          <w:p w:rsidR="007A208D" w:rsidRPr="008B5472" w:rsidRDefault="007A208D" w:rsidP="00BA2EF7">
            <w:pPr>
              <w:jc w:val="both"/>
              <w:rPr>
                <w:sz w:val="24"/>
                <w:szCs w:val="24"/>
              </w:rPr>
            </w:pPr>
          </w:p>
          <w:p w:rsidR="00BA2EF7" w:rsidRPr="008B5472" w:rsidRDefault="00BA2EF7" w:rsidP="00BA2EF7">
            <w:pPr>
              <w:spacing w:line="280" w:lineRule="exact"/>
              <w:ind w:firstLine="708"/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Z analýzy funkcionality </w:t>
            </w:r>
            <w:r w:rsidR="00F44F7B" w:rsidRPr="008B5472">
              <w:rPr>
                <w:sz w:val="24"/>
                <w:szCs w:val="24"/>
              </w:rPr>
              <w:t>centrálneho e</w:t>
            </w:r>
            <w:r w:rsidRPr="008B5472">
              <w:rPr>
                <w:sz w:val="24"/>
                <w:szCs w:val="24"/>
              </w:rPr>
              <w:t xml:space="preserve">lektronického systému vyplynulo, že tento v súčasnosti nie je schopný poskytovať informácie v rozsahu požadovanom </w:t>
            </w:r>
            <w:r w:rsidRPr="008B5472">
              <w:rPr>
                <w:rFonts w:eastAsia="Arial"/>
                <w:sz w:val="24"/>
                <w:szCs w:val="24"/>
              </w:rPr>
              <w:t>V. AML Smernicou</w:t>
            </w:r>
            <w:r w:rsidRPr="008B5472">
              <w:rPr>
                <w:sz w:val="24"/>
                <w:szCs w:val="24"/>
              </w:rPr>
              <w:t xml:space="preserve"> (napr. údaje o konečnom užívateľovi výhod, majiteľovi bezpečnostnej schránky, údaje o majiteľovi/disponentovi platobných účtov). Systém je postavený na báze </w:t>
            </w:r>
            <w:r w:rsidRPr="008B5472">
              <w:rPr>
                <w:sz w:val="24"/>
                <w:szCs w:val="24"/>
              </w:rPr>
              <w:lastRenderedPageBreak/>
              <w:t>dobrovoľnosti</w:t>
            </w:r>
            <w:r w:rsidR="00F44F7B" w:rsidRPr="008B5472">
              <w:rPr>
                <w:sz w:val="24"/>
                <w:szCs w:val="24"/>
              </w:rPr>
              <w:t xml:space="preserve">, </w:t>
            </w:r>
            <w:r w:rsidRPr="008B5472">
              <w:rPr>
                <w:sz w:val="24"/>
                <w:szCs w:val="24"/>
              </w:rPr>
              <w:t>do elektronickej komunikácie nie sú zapojené platobné inštitúci</w:t>
            </w:r>
            <w:r w:rsidR="00F44F7B" w:rsidRPr="008B5472">
              <w:rPr>
                <w:sz w:val="24"/>
                <w:szCs w:val="24"/>
              </w:rPr>
              <w:t>e vrátane pobočiek a</w:t>
            </w:r>
            <w:r w:rsidRPr="008B5472">
              <w:rPr>
                <w:sz w:val="24"/>
                <w:szCs w:val="24"/>
              </w:rPr>
              <w:t xml:space="preserve"> ani všetky banky. Banky sú povinné poskytnúť informácie spravidla do</w:t>
            </w:r>
            <w:r w:rsidR="00F44F7B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 xml:space="preserve"> 1</w:t>
            </w:r>
            <w:r w:rsidR="00F44F7B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 xml:space="preserve"> pracovného dňa, najneskôr do 2 pracovných dní od prijatia žiadosti; v prípade zahraničných osôb do 5 pracovných dní (čím nie je naplnená požiadavka </w:t>
            </w:r>
            <w:r w:rsidRPr="008B5472">
              <w:rPr>
                <w:rFonts w:eastAsia="Arial"/>
                <w:sz w:val="24"/>
                <w:szCs w:val="24"/>
              </w:rPr>
              <w:t xml:space="preserve">V. AML Smernice na </w:t>
            </w:r>
            <w:r w:rsidRPr="008B5472">
              <w:rPr>
                <w:sz w:val="24"/>
                <w:szCs w:val="24"/>
              </w:rPr>
              <w:t>okamžitý a nefiltrovaný prístup FSJ k informáciám).</w:t>
            </w:r>
          </w:p>
          <w:p w:rsidR="00BA2EF7" w:rsidRPr="008B5472" w:rsidRDefault="00BA2EF7" w:rsidP="00BA2EF7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BA2EF7" w:rsidRPr="008B5472" w:rsidRDefault="00BA2EF7" w:rsidP="00BA2EF7">
            <w:pPr>
              <w:spacing w:line="280" w:lineRule="exact"/>
              <w:ind w:firstLine="708"/>
              <w:jc w:val="both"/>
              <w:rPr>
                <w:sz w:val="24"/>
                <w:szCs w:val="24"/>
              </w:rPr>
            </w:pPr>
            <w:r w:rsidRPr="008B5472">
              <w:rPr>
                <w:rFonts w:eastAsia="Arial"/>
                <w:sz w:val="24"/>
                <w:szCs w:val="24"/>
              </w:rPr>
              <w:t xml:space="preserve">Aby </w:t>
            </w:r>
            <w:r w:rsidR="00E85DBA" w:rsidRPr="008B5472">
              <w:rPr>
                <w:sz w:val="24"/>
                <w:szCs w:val="24"/>
              </w:rPr>
              <w:t>centrálny e</w:t>
            </w:r>
            <w:r w:rsidRPr="008B5472">
              <w:rPr>
                <w:sz w:val="24"/>
                <w:szCs w:val="24"/>
              </w:rPr>
              <w:t xml:space="preserve">lektronický systém spĺňal požiadavky </w:t>
            </w:r>
            <w:r w:rsidRPr="008B5472">
              <w:rPr>
                <w:rFonts w:eastAsia="Arial"/>
                <w:sz w:val="24"/>
                <w:szCs w:val="24"/>
              </w:rPr>
              <w:t xml:space="preserve">V. AML Smernice </w:t>
            </w:r>
            <w:r w:rsidRPr="008B5472">
              <w:rPr>
                <w:sz w:val="24"/>
                <w:szCs w:val="24"/>
              </w:rPr>
              <w:t xml:space="preserve">bude podľa vyjadrenia </w:t>
            </w:r>
            <w:r w:rsidR="00F44F7B" w:rsidRPr="008B5472">
              <w:rPr>
                <w:sz w:val="24"/>
                <w:szCs w:val="24"/>
              </w:rPr>
              <w:t>SBA</w:t>
            </w:r>
            <w:r w:rsidRPr="008B5472">
              <w:rPr>
                <w:sz w:val="24"/>
                <w:szCs w:val="24"/>
              </w:rPr>
              <w:t xml:space="preserve"> potrebné zabezpečiť rozsiahle rozšírenie existujúceho technického riešenia </w:t>
            </w:r>
            <w:r w:rsidR="00F44F7B" w:rsidRPr="008B5472">
              <w:rPr>
                <w:sz w:val="24"/>
                <w:szCs w:val="24"/>
              </w:rPr>
              <w:t>centrálneho e</w:t>
            </w:r>
            <w:r w:rsidRPr="008B5472">
              <w:rPr>
                <w:sz w:val="24"/>
                <w:szCs w:val="24"/>
              </w:rPr>
              <w:t xml:space="preserve">lektronického systému. </w:t>
            </w:r>
            <w:r w:rsidR="00E703AA" w:rsidRPr="008B5472">
              <w:rPr>
                <w:sz w:val="24"/>
                <w:szCs w:val="24"/>
              </w:rPr>
              <w:t>H</w:t>
            </w:r>
            <w:r w:rsidRPr="008B5472">
              <w:rPr>
                <w:sz w:val="24"/>
                <w:szCs w:val="24"/>
              </w:rPr>
              <w:t xml:space="preserve">rubý odhad nákladov na vývoj technického riešenia </w:t>
            </w:r>
            <w:r w:rsidR="00E703AA" w:rsidRPr="008B5472">
              <w:rPr>
                <w:sz w:val="24"/>
                <w:szCs w:val="24"/>
              </w:rPr>
              <w:t>bol kvantifikovaný na</w:t>
            </w:r>
            <w:r w:rsidRPr="008B5472">
              <w:rPr>
                <w:sz w:val="24"/>
                <w:szCs w:val="24"/>
              </w:rPr>
              <w:t xml:space="preserve"> cca 500 000 </w:t>
            </w:r>
            <w:r w:rsidR="00E703AA" w:rsidRPr="008B5472">
              <w:rPr>
                <w:sz w:val="24"/>
                <w:szCs w:val="24"/>
              </w:rPr>
              <w:t>eur</w:t>
            </w:r>
            <w:r w:rsidRPr="008B5472">
              <w:rPr>
                <w:sz w:val="24"/>
                <w:szCs w:val="24"/>
              </w:rPr>
              <w:t xml:space="preserve">. Po spustení elektronickej komunikácie ročné náklady na jeho ďalšiu prevádzku predstavujú približne 86 000 </w:t>
            </w:r>
            <w:r w:rsidR="00E703AA" w:rsidRPr="008B5472">
              <w:rPr>
                <w:sz w:val="24"/>
                <w:szCs w:val="24"/>
              </w:rPr>
              <w:t>eur</w:t>
            </w:r>
            <w:r w:rsidRPr="008B5472">
              <w:rPr>
                <w:sz w:val="24"/>
                <w:szCs w:val="24"/>
              </w:rPr>
              <w:t xml:space="preserve"> bez DPH/jeden subjekt (</w:t>
            </w:r>
            <w:r w:rsidR="005C0092" w:rsidRPr="008B5472">
              <w:rPr>
                <w:sz w:val="24"/>
                <w:szCs w:val="24"/>
              </w:rPr>
              <w:t>MV</w:t>
            </w:r>
            <w:r w:rsidRPr="008B5472">
              <w:rPr>
                <w:sz w:val="24"/>
                <w:szCs w:val="24"/>
              </w:rPr>
              <w:t xml:space="preserve"> SR). Náklady na dobudovanie technického riešenia v bankách predstavujú cca 565 800 </w:t>
            </w:r>
            <w:r w:rsidR="00E703AA" w:rsidRPr="008B5472">
              <w:rPr>
                <w:sz w:val="24"/>
                <w:szCs w:val="24"/>
              </w:rPr>
              <w:t>eur</w:t>
            </w:r>
            <w:r w:rsidRPr="008B5472">
              <w:rPr>
                <w:sz w:val="24"/>
                <w:szCs w:val="24"/>
              </w:rPr>
              <w:t xml:space="preserve"> a na zapojenie jednej platobnej inštitúcie do elektronickej komunikácie predstavujú cca 25 000 </w:t>
            </w:r>
            <w:r w:rsidR="00E703AA" w:rsidRPr="008B5472">
              <w:rPr>
                <w:sz w:val="24"/>
                <w:szCs w:val="24"/>
              </w:rPr>
              <w:t>eur</w:t>
            </w:r>
            <w:r w:rsidRPr="008B5472">
              <w:rPr>
                <w:sz w:val="24"/>
                <w:szCs w:val="24"/>
              </w:rPr>
              <w:t xml:space="preserve">. </w:t>
            </w:r>
          </w:p>
          <w:p w:rsidR="00BA2EF7" w:rsidRPr="008B5472" w:rsidRDefault="00BA2EF7" w:rsidP="00BA2EF7">
            <w:pPr>
              <w:spacing w:line="280" w:lineRule="exact"/>
              <w:ind w:firstLine="708"/>
              <w:jc w:val="both"/>
              <w:rPr>
                <w:sz w:val="24"/>
                <w:szCs w:val="24"/>
              </w:rPr>
            </w:pPr>
          </w:p>
          <w:p w:rsidR="00BA2EF7" w:rsidRPr="008B5472" w:rsidRDefault="00BA2EF7" w:rsidP="00BA2EF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Alternatíva B):</w:t>
            </w:r>
            <w:r w:rsidRPr="008B5472">
              <w:rPr>
                <w:sz w:val="24"/>
                <w:szCs w:val="24"/>
              </w:rPr>
              <w:t xml:space="preserve"> </w:t>
            </w:r>
            <w:r w:rsidRPr="008B5472">
              <w:rPr>
                <w:b/>
                <w:sz w:val="24"/>
                <w:szCs w:val="24"/>
              </w:rPr>
              <w:t xml:space="preserve">Vytvorenie štátneho centrálneho registra účtov financovaného zo štátneho rozpočtu, ktorý by prevádzkovala </w:t>
            </w:r>
            <w:r w:rsidR="005C0092" w:rsidRPr="008B5472">
              <w:rPr>
                <w:b/>
                <w:sz w:val="24"/>
                <w:szCs w:val="24"/>
              </w:rPr>
              <w:t>NBS</w:t>
            </w:r>
            <w:r w:rsidRPr="008B5472">
              <w:rPr>
                <w:sz w:val="24"/>
                <w:szCs w:val="24"/>
              </w:rPr>
              <w:t>, ktorá disponuje v súčasnosti systémom na prenos informácií</w:t>
            </w:r>
            <w:r w:rsidR="005C0092" w:rsidRPr="008B5472">
              <w:rPr>
                <w:sz w:val="24"/>
                <w:szCs w:val="24"/>
              </w:rPr>
              <w:t>. Uvedený systém</w:t>
            </w:r>
            <w:r w:rsidRPr="008B5472">
              <w:rPr>
                <w:sz w:val="24"/>
                <w:szCs w:val="24"/>
              </w:rPr>
              <w:t xml:space="preserve"> umožňuje od všetkých úverových inštitúcií získavať informácie o účtoch fyzických a právnických osôb spôsobom, ktorý je pre činnosť takejto evidencie vyžadovaný (využitie štandardného kanálu pre pravidelný </w:t>
            </w:r>
            <w:proofErr w:type="spellStart"/>
            <w:r w:rsidRPr="008B5472">
              <w:rPr>
                <w:sz w:val="24"/>
                <w:szCs w:val="24"/>
              </w:rPr>
              <w:t>reporting</w:t>
            </w:r>
            <w:proofErr w:type="spellEnd"/>
            <w:r w:rsidRPr="008B5472">
              <w:rPr>
                <w:sz w:val="24"/>
                <w:szCs w:val="24"/>
              </w:rPr>
              <w:t xml:space="preserve"> štatistických údajov do NBS). Eliminovali  by sa tak náklady na vybudovanie nového systému prenosu informácií a prípadné problémy s jeho spoľahlivosťou a bezpečnosťou, pričom vybudovanie súčasného </w:t>
            </w:r>
            <w:r w:rsidR="00E703AA" w:rsidRPr="008B5472">
              <w:rPr>
                <w:sz w:val="24"/>
                <w:szCs w:val="24"/>
              </w:rPr>
              <w:t>systému by sa významne urýchlil. Náklady, ktoré by boli spojené s vybudovaním a prevádzkovaním tohto informačného systému v NBS by boli hradené zo štátneho rozpočtu, v dôsledku čoho by sa NBS nedostala do rozporu s čl. 123 Zmluvy o fungovaní EÚ</w:t>
            </w:r>
            <w:r w:rsidR="00307932" w:rsidRPr="008B5472">
              <w:rPr>
                <w:sz w:val="24"/>
                <w:szCs w:val="24"/>
              </w:rPr>
              <w:t>.</w:t>
            </w:r>
          </w:p>
          <w:p w:rsidR="002623E1" w:rsidRPr="008B5472" w:rsidRDefault="00307932" w:rsidP="00241686">
            <w:pPr>
              <w:jc w:val="both"/>
              <w:rPr>
                <w:sz w:val="22"/>
                <w:szCs w:val="22"/>
              </w:rPr>
            </w:pPr>
            <w:r w:rsidRPr="008B5472">
              <w:rPr>
                <w:sz w:val="22"/>
                <w:szCs w:val="22"/>
              </w:rPr>
              <w:t xml:space="preserve">Po analýze funkcionality systému na prenos informácií prevádzkovaným NBS </w:t>
            </w:r>
            <w:r w:rsidR="00B637FC" w:rsidRPr="008B5472">
              <w:rPr>
                <w:sz w:val="22"/>
                <w:szCs w:val="22"/>
              </w:rPr>
              <w:t xml:space="preserve"> zo stanoviska guvernéra NBS </w:t>
            </w:r>
            <w:r w:rsidRPr="008B5472">
              <w:rPr>
                <w:sz w:val="22"/>
                <w:szCs w:val="22"/>
              </w:rPr>
              <w:t>vyplynulo, že tento systém nie je schopný  zabezpečiť požadovanú funkcionalitu,  preto jeho využitie na účely predpokladané V. AML Smernicou nie je vhodné a reálne a bolo by potrebné vybudovať nový systém</w:t>
            </w:r>
            <w:r w:rsidR="005C0092" w:rsidRPr="008B5472">
              <w:rPr>
                <w:sz w:val="22"/>
                <w:szCs w:val="22"/>
              </w:rPr>
              <w:t>, čo by si vyžadovalo dlhý časový priestor a zároveň</w:t>
            </w:r>
            <w:r w:rsidR="002623E1" w:rsidRPr="008B5472">
              <w:rPr>
                <w:sz w:val="22"/>
                <w:szCs w:val="22"/>
              </w:rPr>
              <w:t xml:space="preserve"> niekoľkonásobne vyššiu investíciu tak zo strany štátu</w:t>
            </w:r>
            <w:r w:rsidR="005C0092" w:rsidRPr="008B5472">
              <w:rPr>
                <w:sz w:val="22"/>
                <w:szCs w:val="22"/>
              </w:rPr>
              <w:t>,</w:t>
            </w:r>
            <w:r w:rsidR="002623E1" w:rsidRPr="008B5472">
              <w:rPr>
                <w:sz w:val="22"/>
                <w:szCs w:val="22"/>
              </w:rPr>
              <w:t xml:space="preserve"> ako aj zo strany bankového sektora</w:t>
            </w:r>
            <w:r w:rsidR="00120E5F" w:rsidRPr="008B5472">
              <w:rPr>
                <w:sz w:val="22"/>
                <w:szCs w:val="22"/>
              </w:rPr>
              <w:t xml:space="preserve">. </w:t>
            </w:r>
          </w:p>
          <w:p w:rsidR="00120E5F" w:rsidRPr="008B5472" w:rsidRDefault="00120E5F" w:rsidP="00241686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2"/>
                <w:szCs w:val="22"/>
              </w:rPr>
              <w:t xml:space="preserve">Z uvedených dôvodov bola prijatá alternatíva A) t.j. využitie </w:t>
            </w:r>
            <w:r w:rsidRPr="008B5472">
              <w:rPr>
                <w:sz w:val="24"/>
                <w:szCs w:val="24"/>
              </w:rPr>
              <w:t>existujúceho</w:t>
            </w:r>
            <w:r w:rsidRPr="008B5472">
              <w:rPr>
                <w:b/>
                <w:sz w:val="24"/>
                <w:szCs w:val="24"/>
              </w:rPr>
              <w:t xml:space="preserve"> </w:t>
            </w:r>
            <w:r w:rsidR="005C0092" w:rsidRPr="008B5472">
              <w:rPr>
                <w:sz w:val="24"/>
                <w:szCs w:val="24"/>
              </w:rPr>
              <w:t>centrálneho elektronického systému</w:t>
            </w:r>
            <w:r w:rsidRPr="008B5472">
              <w:rPr>
                <w:sz w:val="24"/>
                <w:szCs w:val="24"/>
              </w:rPr>
              <w:t>.</w:t>
            </w:r>
          </w:p>
          <w:p w:rsidR="00876FB0" w:rsidRPr="008B5472" w:rsidRDefault="00876FB0" w:rsidP="00876FB0"/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927496" w:rsidRPr="008B5472" w:rsidTr="008F6C42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B74" w:rsidRPr="008B5472" w:rsidRDefault="00441553" w:rsidP="008F6C42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EC" w:rsidRPr="008B5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B74" w:rsidRPr="008B5472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441553" w:rsidP="008F6C42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EC" w:rsidRPr="008B54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1B74" w:rsidRPr="008B5472">
              <w:t xml:space="preserve">  Nie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 áno, uveďte ktoré oblasti budú nimi upravené, resp. ktorých vykonávacích predpisov sa zmena dotkne:</w:t>
            </w:r>
          </w:p>
          <w:p w:rsidR="000C1B74" w:rsidRPr="008B5472" w:rsidRDefault="000C1B74" w:rsidP="008F6C42">
            <w:pPr>
              <w:rPr>
                <w:i/>
              </w:rPr>
            </w:pPr>
          </w:p>
          <w:p w:rsidR="000C1B74" w:rsidRPr="008B5472" w:rsidRDefault="000C1B74" w:rsidP="00C37FEC">
            <w:pPr>
              <w:jc w:val="both"/>
            </w:pP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927496" w:rsidRPr="008B5472" w:rsidTr="008F6C42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0C1B74" w:rsidRPr="008B5472" w:rsidRDefault="000C1B74" w:rsidP="008F6C42">
            <w:pPr>
              <w:rPr>
                <w:i/>
              </w:rPr>
            </w:pPr>
          </w:p>
          <w:p w:rsidR="000C1B74" w:rsidRPr="008B5472" w:rsidRDefault="000C1B74" w:rsidP="00A712CF">
            <w:pPr>
              <w:jc w:val="both"/>
              <w:rPr>
                <w:i/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Návrh zákona predstavuje výlučne transpozíciu</w:t>
            </w:r>
            <w:r w:rsidR="00A712CF" w:rsidRPr="008B5472">
              <w:rPr>
                <w:sz w:val="24"/>
                <w:szCs w:val="24"/>
              </w:rPr>
              <w:t xml:space="preserve"> V. AML S</w:t>
            </w:r>
            <w:r w:rsidRPr="008B5472">
              <w:rPr>
                <w:sz w:val="24"/>
                <w:szCs w:val="24"/>
              </w:rPr>
              <w:t>mernice. Nedochádza k rozšíreniu jej pôsobnosti.</w:t>
            </w:r>
          </w:p>
        </w:tc>
      </w:tr>
      <w:tr w:rsidR="00927496" w:rsidRPr="008B5472" w:rsidTr="008F6C4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jc w:val="center"/>
            </w:pP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927496" w:rsidRPr="008B5472" w:rsidTr="008F6C4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termín, kedy by malo dôjsť k preskúmaniu účinnosti a účelnosti navrhovaného predpisu.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kritériá, na základe ktorých bude preskúmanie vykonané.</w:t>
            </w:r>
          </w:p>
          <w:p w:rsidR="000C1B74" w:rsidRPr="008B5472" w:rsidRDefault="000C1B74" w:rsidP="008F6C42">
            <w:pPr>
              <w:rPr>
                <w:i/>
              </w:rPr>
            </w:pPr>
          </w:p>
        </w:tc>
      </w:tr>
      <w:tr w:rsidR="00927496" w:rsidRPr="008B5472" w:rsidTr="008F6C42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ind w:left="142" w:hanging="142"/>
            </w:pPr>
          </w:p>
          <w:p w:rsidR="000C1B74" w:rsidRPr="008B5472" w:rsidRDefault="000C1B74" w:rsidP="008F6C42">
            <w:pPr>
              <w:ind w:left="142" w:hanging="142"/>
            </w:pPr>
            <w:r w:rsidRPr="008B5472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C1B74" w:rsidRPr="008B5472" w:rsidRDefault="000C1B74" w:rsidP="008F6C42">
            <w:r w:rsidRPr="008B5472">
              <w:t>** nepovinné</w:t>
            </w:r>
          </w:p>
          <w:p w:rsidR="000C1B74" w:rsidRPr="008B5472" w:rsidRDefault="000C1B74" w:rsidP="008F6C42"/>
          <w:p w:rsidR="00AA1A17" w:rsidRPr="008B5472" w:rsidRDefault="00AA1A17" w:rsidP="008F6C42"/>
          <w:p w:rsidR="00C37FEC" w:rsidRPr="008B5472" w:rsidRDefault="00C37FEC" w:rsidP="008F6C42"/>
          <w:p w:rsidR="00C37FEC" w:rsidRPr="008B5472" w:rsidRDefault="00C37FEC" w:rsidP="008F6C42"/>
        </w:tc>
      </w:tr>
      <w:tr w:rsidR="00927496" w:rsidRPr="008B5472" w:rsidTr="00DA35D4">
        <w:trPr>
          <w:trHeight w:val="68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b/>
              </w:rPr>
            </w:pPr>
          </w:p>
        </w:tc>
      </w:tr>
      <w:tr w:rsidR="00927496" w:rsidRPr="008B5472" w:rsidTr="008F6C42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927496" w:rsidRPr="008B5472" w:rsidTr="008F6C4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ind w:left="-107" w:right="-108"/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34"/>
              <w:rPr>
                <w:b/>
              </w:rPr>
            </w:pPr>
            <w:r w:rsidRPr="008B5472">
              <w:rPr>
                <w:b/>
              </w:rPr>
              <w:t>Negatívne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r w:rsidRPr="008B5472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5C0092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r w:rsidRPr="008B5472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r w:rsidRPr="008B5472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DC5AD3" w:rsidP="008F6C42">
                <w:pPr>
                  <w:ind w:left="-107" w:right="-108"/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34"/>
            </w:pPr>
            <w:r w:rsidRPr="008B5472">
              <w:t>Čiastočne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ind w:right="-108"/>
              <w:rPr>
                <w:b/>
              </w:rPr>
            </w:pPr>
            <w:r w:rsidRPr="008B547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54"/>
              <w:rPr>
                <w:b/>
              </w:rPr>
            </w:pPr>
            <w:r w:rsidRPr="008B5472">
              <w:rPr>
                <w:b/>
              </w:rPr>
              <w:t>Negatívne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C1B74" w:rsidRPr="008B5472" w:rsidRDefault="000C1B74" w:rsidP="008F6C42">
            <w:r w:rsidRPr="008B5472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ind w:right="-108"/>
            </w:pPr>
            <w:r w:rsidRPr="008B5472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r w:rsidRPr="008B5472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</w:pPr>
                <w:r w:rsidRPr="008B54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54"/>
            </w:pPr>
            <w:r w:rsidRPr="008B5472">
              <w:t>Negatívne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ind w:right="-108"/>
              <w:rPr>
                <w:b/>
              </w:rPr>
            </w:pPr>
            <w:r w:rsidRPr="008B547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54"/>
              <w:rPr>
                <w:b/>
              </w:rPr>
            </w:pPr>
            <w:r w:rsidRPr="008B5472">
              <w:rPr>
                <w:b/>
              </w:rPr>
              <w:t>Negatívne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ind w:right="-108"/>
              <w:rPr>
                <w:b/>
              </w:rPr>
            </w:pPr>
            <w:r w:rsidRPr="008B547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54"/>
              <w:rPr>
                <w:b/>
              </w:rPr>
            </w:pPr>
            <w:r w:rsidRPr="008B5472">
              <w:rPr>
                <w:b/>
              </w:rPr>
              <w:t>Negatívne</w:t>
            </w:r>
          </w:p>
        </w:tc>
      </w:tr>
      <w:tr w:rsidR="00927496" w:rsidRPr="008B5472" w:rsidTr="008F6C4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ind w:right="-108"/>
              <w:rPr>
                <w:b/>
              </w:rPr>
            </w:pPr>
            <w:r w:rsidRPr="008B547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ind w:left="54"/>
              <w:rPr>
                <w:b/>
              </w:rPr>
            </w:pPr>
            <w:r w:rsidRPr="008B5472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927496" w:rsidRPr="008B5472" w:rsidTr="008F6C4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B74" w:rsidRPr="008B5472" w:rsidRDefault="000C1B74" w:rsidP="008F6C42">
            <w:pPr>
              <w:ind w:left="54"/>
              <w:rPr>
                <w:b/>
              </w:rPr>
            </w:pPr>
          </w:p>
        </w:tc>
      </w:tr>
      <w:tr w:rsidR="00927496" w:rsidRPr="008B5472" w:rsidTr="008F6C4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8B547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ind w:right="-108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5316989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8B547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B74" w:rsidRPr="008B5472" w:rsidRDefault="000C1B74" w:rsidP="008F6C42">
            <w:pPr>
              <w:ind w:left="54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927496" w:rsidRPr="008B5472" w:rsidTr="008F6C4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eastAsia="MS Mincho"/>
                <w:b/>
                <w:lang w:eastAsia="en-US"/>
              </w:rPr>
            </w:pPr>
            <w:r w:rsidRPr="008B547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ind w:right="-108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455985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C1B74" w:rsidRPr="008B5472" w:rsidRDefault="000C1B74" w:rsidP="008F6C42">
                <w:pPr>
                  <w:jc w:val="center"/>
                  <w:rPr>
                    <w:b/>
                  </w:rPr>
                </w:pPr>
                <w:r w:rsidRPr="008B547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B74" w:rsidRPr="008B5472" w:rsidRDefault="000C1B74" w:rsidP="008F6C42">
            <w:pPr>
              <w:jc w:val="center"/>
              <w:rPr>
                <w:rFonts w:eastAsia="MS Mincho"/>
                <w:b/>
                <w:lang w:eastAsia="en-US"/>
              </w:rPr>
            </w:pPr>
            <w:r w:rsidRPr="008B547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4" w:rsidRPr="008B5472" w:rsidRDefault="000C1B74" w:rsidP="008F6C42">
            <w:pPr>
              <w:ind w:left="54"/>
              <w:rPr>
                <w:rFonts w:eastAsia="Calibri"/>
                <w:b/>
                <w:lang w:eastAsia="en-US"/>
              </w:rPr>
            </w:pPr>
            <w:r w:rsidRPr="008B5472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0C1B74" w:rsidRPr="008B5472" w:rsidRDefault="000C1B74" w:rsidP="000C1B74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27496" w:rsidRPr="008B5472" w:rsidTr="008F6C4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927496" w:rsidRPr="008B5472" w:rsidTr="008F6C4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V prípade potreby uveďte doplňujúce informácie k návrhu.</w:t>
            </w:r>
          </w:p>
          <w:p w:rsidR="000C1B74" w:rsidRPr="008B5472" w:rsidRDefault="000C1B74" w:rsidP="008F6C42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927496" w:rsidRPr="008B5472" w:rsidTr="008F6C4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927496" w:rsidRPr="008B5472" w:rsidTr="008F6C42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údaje na kontaktnú osobu, ktorú je možné kontaktovať v súvislosti s posúdením vybraných vplyvov</w:t>
            </w:r>
          </w:p>
          <w:p w:rsidR="000C1B74" w:rsidRPr="008B5472" w:rsidRDefault="000C1B74" w:rsidP="008F6C42">
            <w:r w:rsidRPr="008B5472">
              <w:t xml:space="preserve">JUDr. Slavka Gregušová, </w:t>
            </w:r>
            <w:hyperlink r:id="rId9" w:history="1">
              <w:r w:rsidRPr="008B5472">
                <w:rPr>
                  <w:rStyle w:val="Hypertextovprepojenie"/>
                  <w:color w:val="auto"/>
                </w:rPr>
                <w:t>slavka.gregusova@minv.sk</w:t>
              </w:r>
            </w:hyperlink>
            <w:r w:rsidRPr="008B5472">
              <w:t>, 09610 514 02, 514 30.</w:t>
            </w:r>
          </w:p>
          <w:p w:rsidR="000C1B74" w:rsidRPr="008B5472" w:rsidRDefault="000C1B74" w:rsidP="008F6C42"/>
        </w:tc>
      </w:tr>
      <w:tr w:rsidR="00927496" w:rsidRPr="008B5472" w:rsidTr="008F6C4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927496" w:rsidRPr="008B5472" w:rsidTr="008F6C42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AA1A17" w:rsidRPr="008B5472" w:rsidRDefault="00AA1A17" w:rsidP="008F6C42">
            <w:pPr>
              <w:rPr>
                <w:i/>
              </w:rPr>
            </w:pPr>
          </w:p>
          <w:p w:rsidR="005C0092" w:rsidRPr="008B5472" w:rsidRDefault="00251B73" w:rsidP="005C009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- </w:t>
            </w:r>
            <w:r w:rsidR="00EC708F" w:rsidRPr="008B5472">
              <w:rPr>
                <w:sz w:val="24"/>
                <w:szCs w:val="24"/>
              </w:rPr>
              <w:t>š</w:t>
            </w:r>
            <w:r w:rsidRPr="008B5472">
              <w:rPr>
                <w:sz w:val="24"/>
                <w:szCs w:val="24"/>
              </w:rPr>
              <w:t xml:space="preserve">tatistiky zverejnené na webovom sídle </w:t>
            </w:r>
            <w:r w:rsidR="005C0092" w:rsidRPr="008B5472">
              <w:rPr>
                <w:sz w:val="24"/>
                <w:szCs w:val="24"/>
              </w:rPr>
              <w:t>ŠÚ SR</w:t>
            </w:r>
            <w:r w:rsidR="005C61B8" w:rsidRPr="008B5472">
              <w:rPr>
                <w:sz w:val="24"/>
                <w:szCs w:val="24"/>
              </w:rPr>
              <w:t>,</w:t>
            </w:r>
          </w:p>
          <w:p w:rsidR="005C0092" w:rsidRPr="008B5472" w:rsidRDefault="005C61B8" w:rsidP="005C009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br/>
            </w:r>
            <w:r w:rsidR="00251B73" w:rsidRPr="008B5472">
              <w:rPr>
                <w:sz w:val="24"/>
                <w:szCs w:val="24"/>
              </w:rPr>
              <w:t xml:space="preserve">- závery rokovaní s </w:t>
            </w:r>
            <w:r w:rsidR="005C0092" w:rsidRPr="008B5472">
              <w:rPr>
                <w:sz w:val="24"/>
                <w:szCs w:val="24"/>
              </w:rPr>
              <w:t>NBS</w:t>
            </w:r>
            <w:r w:rsidR="00251B73" w:rsidRPr="008B5472">
              <w:rPr>
                <w:sz w:val="24"/>
                <w:szCs w:val="24"/>
              </w:rPr>
              <w:t xml:space="preserve">, ktorá je orgánom dohľadu pre väčšinu povinných osôb </w:t>
            </w:r>
            <w:r w:rsidR="000F5B4C" w:rsidRPr="008B5472">
              <w:rPr>
                <w:sz w:val="24"/>
                <w:szCs w:val="24"/>
              </w:rPr>
              <w:t xml:space="preserve">z </w:t>
            </w:r>
            <w:r w:rsidR="00251B73" w:rsidRPr="008B5472">
              <w:rPr>
                <w:sz w:val="24"/>
                <w:szCs w:val="24"/>
              </w:rPr>
              <w:t xml:space="preserve">finančného sektora, Ministerstvom financií Slovenskej republiky, Ministerstvom spravodlivosti Slovenskej republiky, ako aj so </w:t>
            </w:r>
            <w:r w:rsidR="005C0092" w:rsidRPr="008B5472">
              <w:rPr>
                <w:sz w:val="24"/>
                <w:szCs w:val="24"/>
              </w:rPr>
              <w:t>SBA</w:t>
            </w:r>
            <w:r w:rsidRPr="008B5472">
              <w:rPr>
                <w:sz w:val="24"/>
                <w:szCs w:val="24"/>
              </w:rPr>
              <w:t>,</w:t>
            </w:r>
          </w:p>
          <w:p w:rsidR="0072462D" w:rsidRPr="008B5472" w:rsidRDefault="00251B73" w:rsidP="005C009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 </w:t>
            </w:r>
          </w:p>
          <w:p w:rsidR="005C61B8" w:rsidRPr="008B5472" w:rsidRDefault="0072462D" w:rsidP="00251B73">
            <w:pPr>
              <w:rPr>
                <w:i/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- spolupráca so zástupcami </w:t>
            </w:r>
            <w:r w:rsidR="005C0092" w:rsidRPr="008B5472">
              <w:rPr>
                <w:sz w:val="24"/>
                <w:szCs w:val="24"/>
              </w:rPr>
              <w:t>ŠÚ SR a SBA</w:t>
            </w:r>
            <w:r w:rsidR="00C37FEC" w:rsidRPr="008B5472">
              <w:rPr>
                <w:sz w:val="24"/>
                <w:szCs w:val="24"/>
              </w:rPr>
              <w:t>.</w:t>
            </w:r>
          </w:p>
          <w:p w:rsidR="000C1B74" w:rsidRPr="008B5472" w:rsidRDefault="000C1B74" w:rsidP="008F6C42">
            <w:pPr>
              <w:rPr>
                <w:b/>
              </w:rPr>
            </w:pPr>
          </w:p>
        </w:tc>
      </w:tr>
      <w:tr w:rsidR="00927496" w:rsidRPr="008B5472" w:rsidTr="008F6C4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C1B74" w:rsidRPr="008B5472" w:rsidRDefault="000C1B74" w:rsidP="008F6C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B547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927496" w:rsidRPr="008B5472" w:rsidTr="00715CE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0C1B74" w:rsidRPr="008B5472" w:rsidRDefault="000C1B74" w:rsidP="008F6C42">
            <w:pPr>
              <w:rPr>
                <w:b/>
              </w:rPr>
            </w:pPr>
          </w:p>
          <w:p w:rsidR="00D264AF" w:rsidRPr="008B5472" w:rsidRDefault="00D264AF" w:rsidP="00D264AF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Stála pracovná komisia na posudzovanie vybraných vplyvov vyjadrila </w:t>
            </w:r>
            <w:r w:rsidR="004206F6" w:rsidRPr="008B5472">
              <w:rPr>
                <w:sz w:val="24"/>
                <w:szCs w:val="24"/>
              </w:rPr>
              <w:t>pod číslom</w:t>
            </w:r>
            <w:r w:rsidR="004206F6" w:rsidRPr="008B5472">
              <w:rPr>
                <w:smallCaps/>
                <w:sz w:val="24"/>
                <w:szCs w:val="24"/>
              </w:rPr>
              <w:t xml:space="preserve">: 154/2019 </w:t>
            </w:r>
            <w:r w:rsidRPr="008B5472">
              <w:rPr>
                <w:sz w:val="24"/>
                <w:szCs w:val="24"/>
                <w:u w:val="single"/>
              </w:rPr>
              <w:t>nesúhlasné stanovisko</w:t>
            </w:r>
            <w:r w:rsidRPr="008B5472">
              <w:rPr>
                <w:sz w:val="24"/>
                <w:szCs w:val="24"/>
              </w:rPr>
              <w:t xml:space="preserve"> s materiálom predloženým na predbežné pripomienkové konanie s odporúčaním na jeho dopracovanie podľa  pripomienok uvedených v bode II.  </w:t>
            </w:r>
          </w:p>
          <w:p w:rsidR="00D264AF" w:rsidRPr="008B5472" w:rsidRDefault="00D264AF" w:rsidP="00D264AF">
            <w:pPr>
              <w:jc w:val="both"/>
              <w:rPr>
                <w:sz w:val="24"/>
                <w:szCs w:val="24"/>
              </w:rPr>
            </w:pPr>
          </w:p>
          <w:p w:rsidR="00D264AF" w:rsidRPr="008B5472" w:rsidRDefault="00D264AF" w:rsidP="00D264AF">
            <w:pPr>
              <w:jc w:val="both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Vyhodnotenie pripomienok predkladateľom:</w:t>
            </w:r>
          </w:p>
          <w:p w:rsidR="00D264AF" w:rsidRPr="008B5472" w:rsidRDefault="00D264AF" w:rsidP="00D264AF">
            <w:pPr>
              <w:jc w:val="both"/>
              <w:rPr>
                <w:sz w:val="24"/>
                <w:szCs w:val="24"/>
              </w:rPr>
            </w:pPr>
          </w:p>
          <w:p w:rsidR="00D264AF" w:rsidRPr="008B5472" w:rsidRDefault="00D264AF" w:rsidP="00D264AF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II. P</w:t>
            </w:r>
            <w:r w:rsidRPr="008B5472">
              <w:rPr>
                <w:b/>
                <w:sz w:val="24"/>
                <w:szCs w:val="24"/>
              </w:rPr>
              <w:t>r</w:t>
            </w:r>
            <w:r w:rsidRPr="008B5472">
              <w:rPr>
                <w:b/>
                <w:bCs/>
                <w:sz w:val="24"/>
                <w:szCs w:val="24"/>
              </w:rPr>
              <w:t>ipomienky a návrhy zm</w:t>
            </w:r>
            <w:r w:rsidRPr="008B5472">
              <w:rPr>
                <w:b/>
                <w:sz w:val="24"/>
                <w:szCs w:val="24"/>
              </w:rPr>
              <w:t>ie</w:t>
            </w:r>
            <w:r w:rsidRPr="008B5472">
              <w:rPr>
                <w:b/>
                <w:bCs/>
                <w:sz w:val="24"/>
                <w:szCs w:val="24"/>
              </w:rPr>
              <w:t xml:space="preserve">n: </w:t>
            </w:r>
            <w:r w:rsidRPr="008B5472">
              <w:rPr>
                <w:bCs/>
                <w:sz w:val="24"/>
                <w:szCs w:val="24"/>
              </w:rPr>
              <w:t>Komisia uplatnila k materiálu nasledovné pripomienky a odporúčania:</w:t>
            </w:r>
          </w:p>
          <w:p w:rsidR="005C0092" w:rsidRPr="008B5472" w:rsidRDefault="005C0092" w:rsidP="00D264AF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4"/>
              </w:rPr>
            </w:pPr>
          </w:p>
          <w:p w:rsidR="00D264AF" w:rsidRPr="008B5472" w:rsidRDefault="006069B7" w:rsidP="008F6C42">
            <w:pPr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K vplyvom na rozpočet verejnej správy</w:t>
            </w:r>
          </w:p>
          <w:p w:rsidR="00D264AF" w:rsidRPr="008B5472" w:rsidRDefault="00D264AF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 xml:space="preserve">V doložke vybraných vplyvov je označený negatívny, čiastočne rozpočtovo zabezpečený vplyv na rozpočet verejnej správy. V analýze vplyvov na rozpočet sú vyčíslené výdavky v roku 2019 za kapitolu Štatistického úradu SR v sume 8 400 eur a za kapitolu  </w:t>
            </w:r>
            <w:r w:rsidR="005C0092" w:rsidRPr="008B5472">
              <w:rPr>
                <w:bCs/>
                <w:sz w:val="24"/>
                <w:szCs w:val="24"/>
              </w:rPr>
              <w:t>MV SR</w:t>
            </w:r>
            <w:r w:rsidRPr="008B5472">
              <w:rPr>
                <w:bCs/>
                <w:sz w:val="24"/>
                <w:szCs w:val="24"/>
              </w:rPr>
              <w:t xml:space="preserve"> v sume 5 000 eur, pričom výdavky za obidve kapitoly sú rozpočtovo zabezpečené. V roku 2020 je vyčíslený vplyv na výdavky kapitoly Ministerstva spravodlivosti SR v sume 85 872 eur v súvislosti s informačnými technológiami, pričom tento vplyv je rozpočtovo nekrytý. S</w:t>
            </w:r>
            <w:r w:rsidR="00E85DBA" w:rsidRPr="008B5472">
              <w:rPr>
                <w:bCs/>
                <w:sz w:val="24"/>
                <w:szCs w:val="24"/>
              </w:rPr>
              <w:t> </w:t>
            </w:r>
            <w:r w:rsidRPr="008B5472">
              <w:rPr>
                <w:bCs/>
                <w:sz w:val="24"/>
                <w:szCs w:val="24"/>
              </w:rPr>
              <w:t>predmetným rozpočtovo nekrytým vplyvom za kapitolu Ministerstva spravodlivosti SR Komisia nesúhlasí. Všetky predmetné výdavky Komisia žiada zabezpečiť v rámci schválených limitov dotknutej kapitoly na príslušný rozpočtový rok, bez dodatočných požiadaviek na štátny rozpočet.</w:t>
            </w:r>
          </w:p>
          <w:p w:rsidR="0072462D" w:rsidRPr="008B5472" w:rsidRDefault="0072462D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72462D" w:rsidRPr="008B5472" w:rsidRDefault="0072462D" w:rsidP="00D264AF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8B5472">
              <w:rPr>
                <w:bCs/>
                <w:sz w:val="24"/>
                <w:szCs w:val="24"/>
                <w:u w:val="single"/>
              </w:rPr>
              <w:t>Vyhodnotenie pripomienky – pripomienka akceptovaná.</w:t>
            </w:r>
          </w:p>
          <w:p w:rsidR="00715CE7" w:rsidRPr="008B5472" w:rsidRDefault="00C37FEC" w:rsidP="00715CE7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Na základe v</w:t>
            </w:r>
            <w:r w:rsidR="00EC708F" w:rsidRPr="008B5472">
              <w:rPr>
                <w:bCs/>
                <w:sz w:val="24"/>
                <w:szCs w:val="24"/>
              </w:rPr>
              <w:t>z</w:t>
            </w:r>
            <w:r w:rsidRPr="008B5472">
              <w:rPr>
                <w:bCs/>
                <w:sz w:val="24"/>
                <w:szCs w:val="24"/>
              </w:rPr>
              <w:t>nesenej pripomienky bol návrh</w:t>
            </w:r>
            <w:r w:rsidR="00B13C0A" w:rsidRPr="008B5472">
              <w:rPr>
                <w:bCs/>
                <w:sz w:val="24"/>
                <w:szCs w:val="24"/>
              </w:rPr>
              <w:t xml:space="preserve"> prehodnotený a</w:t>
            </w:r>
            <w:r w:rsidRPr="008B5472">
              <w:rPr>
                <w:bCs/>
                <w:sz w:val="24"/>
                <w:szCs w:val="24"/>
              </w:rPr>
              <w:t xml:space="preserve"> upravený tak, aby </w:t>
            </w:r>
            <w:r w:rsidR="00B13C0A" w:rsidRPr="008B5472">
              <w:rPr>
                <w:bCs/>
                <w:sz w:val="24"/>
                <w:szCs w:val="24"/>
              </w:rPr>
              <w:t xml:space="preserve">sa </w:t>
            </w:r>
            <w:r w:rsidRPr="008B5472">
              <w:rPr>
                <w:bCs/>
                <w:sz w:val="24"/>
                <w:szCs w:val="24"/>
              </w:rPr>
              <w:t>negatívn</w:t>
            </w:r>
            <w:r w:rsidR="00DC5AD3" w:rsidRPr="008B5472">
              <w:rPr>
                <w:bCs/>
                <w:sz w:val="24"/>
                <w:szCs w:val="24"/>
              </w:rPr>
              <w:t>e</w:t>
            </w:r>
            <w:r w:rsidRPr="008B5472">
              <w:rPr>
                <w:bCs/>
                <w:sz w:val="24"/>
                <w:szCs w:val="24"/>
              </w:rPr>
              <w:t xml:space="preserve"> vplyv</w:t>
            </w:r>
            <w:r w:rsidR="00DC5AD3" w:rsidRPr="008B5472">
              <w:rPr>
                <w:bCs/>
                <w:sz w:val="24"/>
                <w:szCs w:val="24"/>
              </w:rPr>
              <w:t>y</w:t>
            </w:r>
            <w:r w:rsidRPr="008B5472">
              <w:rPr>
                <w:bCs/>
                <w:sz w:val="24"/>
                <w:szCs w:val="24"/>
              </w:rPr>
              <w:t xml:space="preserve"> na rozpočet </w:t>
            </w:r>
            <w:r w:rsidR="00B13C0A" w:rsidRPr="008B5472">
              <w:rPr>
                <w:bCs/>
                <w:sz w:val="24"/>
                <w:szCs w:val="24"/>
              </w:rPr>
              <w:t>verejnej správy minimalizoval</w:t>
            </w:r>
            <w:r w:rsidR="00DC5AD3" w:rsidRPr="008B5472">
              <w:rPr>
                <w:bCs/>
                <w:sz w:val="24"/>
                <w:szCs w:val="24"/>
              </w:rPr>
              <w:t>i</w:t>
            </w:r>
            <w:r w:rsidR="00B13C0A" w:rsidRPr="008B5472">
              <w:rPr>
                <w:bCs/>
                <w:sz w:val="24"/>
                <w:szCs w:val="24"/>
              </w:rPr>
              <w:t xml:space="preserve"> a súčasne,  aby t</w:t>
            </w:r>
            <w:r w:rsidR="00E85DBA" w:rsidRPr="008B5472">
              <w:rPr>
                <w:bCs/>
                <w:sz w:val="24"/>
                <w:szCs w:val="24"/>
              </w:rPr>
              <w:t>ieto</w:t>
            </w:r>
            <w:r w:rsidR="00B13C0A" w:rsidRPr="008B5472">
              <w:rPr>
                <w:bCs/>
                <w:sz w:val="24"/>
                <w:szCs w:val="24"/>
              </w:rPr>
              <w:t xml:space="preserve"> bol</w:t>
            </w:r>
            <w:r w:rsidR="00E85DBA" w:rsidRPr="008B5472">
              <w:rPr>
                <w:bCs/>
                <w:sz w:val="24"/>
                <w:szCs w:val="24"/>
              </w:rPr>
              <w:t>i</w:t>
            </w:r>
            <w:r w:rsidR="00B13C0A" w:rsidRPr="008B5472">
              <w:rPr>
                <w:bCs/>
                <w:sz w:val="24"/>
                <w:szCs w:val="24"/>
              </w:rPr>
              <w:t xml:space="preserve"> rozpočtovo </w:t>
            </w:r>
            <w:r w:rsidR="00E85DBA" w:rsidRPr="008B5472">
              <w:rPr>
                <w:bCs/>
                <w:sz w:val="24"/>
                <w:szCs w:val="24"/>
              </w:rPr>
              <w:t>zabezpečený</w:t>
            </w:r>
            <w:r w:rsidR="00B13C0A" w:rsidRPr="008B5472">
              <w:rPr>
                <w:bCs/>
                <w:sz w:val="24"/>
                <w:szCs w:val="24"/>
              </w:rPr>
              <w:t>.  V aktuálne predloženom návrh</w:t>
            </w:r>
            <w:r w:rsidR="00120D0E" w:rsidRPr="008B5472">
              <w:rPr>
                <w:bCs/>
                <w:sz w:val="24"/>
                <w:szCs w:val="24"/>
              </w:rPr>
              <w:t>u</w:t>
            </w:r>
            <w:r w:rsidR="00B13C0A" w:rsidRPr="008B5472">
              <w:rPr>
                <w:bCs/>
                <w:sz w:val="24"/>
                <w:szCs w:val="24"/>
              </w:rPr>
              <w:t xml:space="preserve"> sú </w:t>
            </w:r>
            <w:r w:rsidR="00DC5AD3" w:rsidRPr="008B5472">
              <w:rPr>
                <w:bCs/>
                <w:sz w:val="24"/>
                <w:szCs w:val="24"/>
              </w:rPr>
              <w:t>identifikované</w:t>
            </w:r>
            <w:r w:rsidR="00B13C0A" w:rsidRPr="008B5472">
              <w:rPr>
                <w:bCs/>
                <w:sz w:val="24"/>
                <w:szCs w:val="24"/>
              </w:rPr>
              <w:t xml:space="preserve"> výdavky iba </w:t>
            </w:r>
            <w:r w:rsidR="00DC5AD3" w:rsidRPr="008B5472">
              <w:rPr>
                <w:bCs/>
                <w:sz w:val="24"/>
                <w:szCs w:val="24"/>
              </w:rPr>
              <w:t xml:space="preserve">v roku 2019 a to </w:t>
            </w:r>
            <w:r w:rsidR="00B13C0A" w:rsidRPr="008B5472">
              <w:rPr>
                <w:bCs/>
                <w:sz w:val="24"/>
                <w:szCs w:val="24"/>
              </w:rPr>
              <w:t xml:space="preserve">za kapitolu </w:t>
            </w:r>
            <w:r w:rsidR="00E85DBA" w:rsidRPr="008B5472">
              <w:rPr>
                <w:bCs/>
                <w:sz w:val="24"/>
                <w:szCs w:val="24"/>
              </w:rPr>
              <w:t>ŠÚ SR</w:t>
            </w:r>
            <w:r w:rsidR="00B13C0A" w:rsidRPr="008B5472">
              <w:rPr>
                <w:bCs/>
                <w:sz w:val="24"/>
                <w:szCs w:val="24"/>
              </w:rPr>
              <w:t xml:space="preserve"> v sume 8 400 eur.</w:t>
            </w:r>
            <w:r w:rsidR="00DC5AD3" w:rsidRPr="008B5472">
              <w:rPr>
                <w:bCs/>
                <w:sz w:val="24"/>
                <w:szCs w:val="24"/>
              </w:rPr>
              <w:t xml:space="preserve"> Vyčíslené náklady </w:t>
            </w:r>
            <w:r w:rsidR="00E85DBA" w:rsidRPr="008B5472">
              <w:rPr>
                <w:bCs/>
                <w:sz w:val="24"/>
                <w:szCs w:val="24"/>
              </w:rPr>
              <w:t>sú</w:t>
            </w:r>
            <w:r w:rsidR="00DC5AD3" w:rsidRPr="008B5472">
              <w:rPr>
                <w:bCs/>
                <w:sz w:val="24"/>
                <w:szCs w:val="24"/>
              </w:rPr>
              <w:t xml:space="preserve"> v celom rozsahu zabezpečené v rámci schváleného limitu kapitoly </w:t>
            </w:r>
            <w:r w:rsidR="00E85DBA" w:rsidRPr="008B5472">
              <w:rPr>
                <w:bCs/>
                <w:sz w:val="24"/>
                <w:szCs w:val="24"/>
              </w:rPr>
              <w:t>ŠÚ SR</w:t>
            </w:r>
            <w:r w:rsidR="00120D0E" w:rsidRPr="008B5472">
              <w:rPr>
                <w:bCs/>
                <w:sz w:val="24"/>
                <w:szCs w:val="24"/>
              </w:rPr>
              <w:t>.</w:t>
            </w:r>
            <w:r w:rsidR="00E85DBA" w:rsidRPr="008B5472">
              <w:rPr>
                <w:bCs/>
                <w:sz w:val="24"/>
                <w:szCs w:val="24"/>
              </w:rPr>
              <w:t xml:space="preserve"> </w:t>
            </w:r>
          </w:p>
          <w:p w:rsidR="00715CE7" w:rsidRPr="008B5472" w:rsidRDefault="00715CE7" w:rsidP="00715CE7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Krytie jednorazových finančných nákladov na pripojenie MV SR do centrálneho elektronického systému na rok 2020, vrátane jeho úpravy podľa požiadaviek V. AML Smernice a  krytie opakovaných nákladov v predpokladanom rozsahu na roky 2021 a 2022,  cca 86 000 eur ročne, je zabezpečené v rámci disponibilných prostriedkov rozpočtu verejnej správy.</w:t>
            </w:r>
          </w:p>
          <w:p w:rsidR="00715CE7" w:rsidRPr="008B5472" w:rsidRDefault="00715CE7" w:rsidP="00715CE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C37FEC" w:rsidRPr="008B5472" w:rsidRDefault="00C37FEC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K vplyvom na informatizáciu</w:t>
            </w:r>
          </w:p>
          <w:p w:rsidR="00D264AF" w:rsidRPr="008B5472" w:rsidRDefault="00D264AF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Komisia súhlasí s tým, že predmetný materiál predpokladá pozitívny vplyv na</w:t>
            </w:r>
            <w:r w:rsidR="00AA1A17" w:rsidRPr="008B5472">
              <w:rPr>
                <w:bCs/>
                <w:sz w:val="24"/>
                <w:szCs w:val="24"/>
              </w:rPr>
              <w:t> </w:t>
            </w:r>
            <w:r w:rsidRPr="008B5472">
              <w:rPr>
                <w:bCs/>
                <w:sz w:val="24"/>
                <w:szCs w:val="24"/>
              </w:rPr>
              <w:t>informatizáciu. Je však nutné vypracovať kompletnú analýzu vplyvov na informatizáciu spoločnosti, to znamená aj kód služby v prípade, že je plánovaná.</w:t>
            </w:r>
          </w:p>
          <w:p w:rsidR="0072462D" w:rsidRPr="008B5472" w:rsidRDefault="0072462D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72462D" w:rsidRPr="008B5472" w:rsidRDefault="0072462D" w:rsidP="0072462D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8B5472">
              <w:rPr>
                <w:bCs/>
                <w:sz w:val="24"/>
                <w:szCs w:val="24"/>
                <w:u w:val="single"/>
              </w:rPr>
              <w:t>Vyhodnotenie pripomienky – pripomienka akceptovaná.</w:t>
            </w:r>
          </w:p>
          <w:p w:rsidR="00DF573D" w:rsidRPr="008B5472" w:rsidRDefault="00DF573D" w:rsidP="00DF573D">
            <w:r w:rsidRPr="008B5472">
              <w:rPr>
                <w:bCs/>
                <w:sz w:val="24"/>
                <w:szCs w:val="24"/>
              </w:rPr>
              <w:t>A</w:t>
            </w:r>
            <w:r w:rsidR="0072462D" w:rsidRPr="008B5472">
              <w:rPr>
                <w:bCs/>
                <w:sz w:val="24"/>
                <w:szCs w:val="24"/>
              </w:rPr>
              <w:t>nalýza vplyvov na informatizáciu</w:t>
            </w:r>
            <w:r w:rsidRPr="008B5472">
              <w:rPr>
                <w:bCs/>
                <w:sz w:val="24"/>
                <w:szCs w:val="24"/>
              </w:rPr>
              <w:t xml:space="preserve"> bola doplnená o kód služby</w:t>
            </w:r>
            <w:r w:rsidRPr="008B5472">
              <w:rPr>
                <w:rFonts w:ascii="Tahoma" w:hAnsi="Tahoma" w:cs="Tahoma"/>
              </w:rPr>
              <w:t xml:space="preserve">: </w:t>
            </w:r>
            <w:r w:rsidRPr="008B5472">
              <w:rPr>
                <w:bCs/>
                <w:sz w:val="24"/>
                <w:szCs w:val="24"/>
              </w:rPr>
              <w:t>ks_337299.</w:t>
            </w:r>
            <w:r w:rsidRPr="008B5472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41686" w:rsidRPr="008B5472" w:rsidRDefault="00241686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br w:type="page"/>
            </w:r>
            <w:r w:rsidRPr="008B5472">
              <w:rPr>
                <w:b/>
                <w:bCs/>
                <w:sz w:val="24"/>
                <w:szCs w:val="24"/>
              </w:rPr>
              <w:t>K doložke vybraných vplyvov</w:t>
            </w:r>
          </w:p>
          <w:p w:rsidR="00D264AF" w:rsidRPr="008B5472" w:rsidRDefault="00D264AF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V predloženej doložke vybraných vplyvov je potrebné uviesť aj povinné informácie v</w:t>
            </w:r>
            <w:r w:rsidR="00120D0E" w:rsidRPr="008B5472">
              <w:rPr>
                <w:bCs/>
                <w:sz w:val="24"/>
                <w:szCs w:val="24"/>
              </w:rPr>
              <w:t> </w:t>
            </w:r>
            <w:r w:rsidRPr="008B5472">
              <w:rPr>
                <w:bCs/>
                <w:sz w:val="24"/>
                <w:szCs w:val="24"/>
              </w:rPr>
              <w:t>bode</w:t>
            </w:r>
            <w:r w:rsidR="00120D0E" w:rsidRPr="008B5472">
              <w:rPr>
                <w:bCs/>
                <w:sz w:val="24"/>
                <w:szCs w:val="24"/>
              </w:rPr>
              <w:t> </w:t>
            </w:r>
            <w:r w:rsidRPr="008B5472">
              <w:rPr>
                <w:bCs/>
                <w:sz w:val="24"/>
                <w:szCs w:val="24"/>
              </w:rPr>
              <w:t xml:space="preserve"> 5. Alternatívne riešenia a v bode 12. Zdroje tak, aby boli v súlade s obsahovými požiadavkami upravenými v časti II. Jednotnej metodiky na posudzovanie vybraných vplyvov.</w:t>
            </w:r>
          </w:p>
          <w:p w:rsidR="00D264AF" w:rsidRPr="008B5472" w:rsidRDefault="00D264AF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 xml:space="preserve">Komisia oceňuje vyplnenie časti 7. Transpozícia práva EÚ v Doložke vybraných vplyvov, nakoľko táto býva zo strany predkladateľov často obchádzaná, a pre úplnosť odporúča dodať, že v danom prípade ide o tzv. minimalistickú transpozíciu, resp. o doslovnú transpozíciu, v prípade, že predkladateľ nemenil rozsah, resp. pôsobnosť smernice, ale text smernice striktne prebral do slovenského právneho poriadku. </w:t>
            </w:r>
          </w:p>
          <w:p w:rsidR="0072462D" w:rsidRPr="008B5472" w:rsidRDefault="0072462D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72462D" w:rsidRPr="008B5472" w:rsidRDefault="0072462D" w:rsidP="0072462D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8B5472">
              <w:rPr>
                <w:bCs/>
                <w:sz w:val="24"/>
                <w:szCs w:val="24"/>
                <w:u w:val="single"/>
              </w:rPr>
              <w:t>Vyhodnotenie pripomienky – pripomienka akceptovaná.</w:t>
            </w:r>
          </w:p>
          <w:p w:rsidR="0072462D" w:rsidRPr="008B5472" w:rsidRDefault="00005118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Požadované informácie k bodu 5. Alternatívne riešenia a bodu 12. Zdroje boli doplnené do</w:t>
            </w:r>
            <w:r w:rsidR="00AA1A17" w:rsidRPr="008B5472">
              <w:rPr>
                <w:bCs/>
                <w:sz w:val="24"/>
                <w:szCs w:val="24"/>
              </w:rPr>
              <w:t> </w:t>
            </w:r>
            <w:r w:rsidRPr="008B5472">
              <w:rPr>
                <w:bCs/>
                <w:sz w:val="24"/>
                <w:szCs w:val="24"/>
              </w:rPr>
              <w:t xml:space="preserve">doložky vybraných vplyvov. </w:t>
            </w:r>
          </w:p>
          <w:p w:rsidR="00005118" w:rsidRPr="008B5472" w:rsidRDefault="00005118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 xml:space="preserve">K požiadavke komisie o doplnenie bodu 7. Transpozícia práva EÚ v Doložke vybraných </w:t>
            </w:r>
            <w:r w:rsidRPr="008B5472">
              <w:rPr>
                <w:bCs/>
                <w:sz w:val="24"/>
                <w:szCs w:val="24"/>
              </w:rPr>
              <w:lastRenderedPageBreak/>
              <w:t xml:space="preserve">vplyvov o konštatovanie, že sa jedná o minimalistickú transpozíciu uvádzame, </w:t>
            </w:r>
            <w:r w:rsidR="00036E74" w:rsidRPr="008B5472">
              <w:rPr>
                <w:bCs/>
                <w:sz w:val="24"/>
                <w:szCs w:val="24"/>
              </w:rPr>
              <w:t>že bod</w:t>
            </w:r>
            <w:r w:rsidRPr="008B5472">
              <w:rPr>
                <w:bCs/>
                <w:sz w:val="24"/>
                <w:szCs w:val="24"/>
              </w:rPr>
              <w:t xml:space="preserve"> 7.</w:t>
            </w:r>
            <w:r w:rsidR="00036E74" w:rsidRPr="008B5472">
              <w:rPr>
                <w:bCs/>
                <w:sz w:val="24"/>
                <w:szCs w:val="24"/>
              </w:rPr>
              <w:t xml:space="preserve"> </w:t>
            </w:r>
            <w:r w:rsidRPr="008B5472">
              <w:rPr>
                <w:bCs/>
                <w:sz w:val="24"/>
                <w:szCs w:val="24"/>
              </w:rPr>
              <w:t xml:space="preserve"> </w:t>
            </w:r>
            <w:r w:rsidR="00036E74" w:rsidRPr="008B5472">
              <w:rPr>
                <w:bCs/>
                <w:sz w:val="24"/>
                <w:szCs w:val="24"/>
              </w:rPr>
              <w:t>obsahoval (obsahuje) závery o minimalistickej transpozícii</w:t>
            </w:r>
            <w:r w:rsidRPr="008B5472">
              <w:rPr>
                <w:bCs/>
                <w:sz w:val="24"/>
                <w:szCs w:val="24"/>
              </w:rPr>
              <w:t xml:space="preserve">, preto nie je potrebné bod 7. </w:t>
            </w:r>
            <w:r w:rsidR="00036E74" w:rsidRPr="008B5472">
              <w:rPr>
                <w:bCs/>
                <w:sz w:val="24"/>
                <w:szCs w:val="24"/>
              </w:rPr>
              <w:t xml:space="preserve">v naznačenom smere </w:t>
            </w:r>
            <w:r w:rsidRPr="008B5472">
              <w:rPr>
                <w:bCs/>
                <w:sz w:val="24"/>
                <w:szCs w:val="24"/>
              </w:rPr>
              <w:t>dopĺňať.</w:t>
            </w: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64AF" w:rsidRPr="008B5472" w:rsidRDefault="00D264AF" w:rsidP="00D264AF">
            <w:pPr>
              <w:jc w:val="both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K vplyvom na podnikateľské prostredie</w:t>
            </w:r>
          </w:p>
          <w:p w:rsidR="00D264AF" w:rsidRPr="008B5472" w:rsidRDefault="00D264AF" w:rsidP="00D264AF">
            <w:pPr>
              <w:jc w:val="both"/>
              <w:rPr>
                <w:b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Komisia rozumie argumentácii predkladateľa, prečo nie je možná kvantifikácia určitých nákladov, na druhej strane žiada o zahrnutie tých, ktoré sa kvantifikovať d</w:t>
            </w:r>
            <w:r w:rsidR="000F5B4C" w:rsidRPr="008B5472">
              <w:rPr>
                <w:bCs/>
                <w:sz w:val="24"/>
                <w:szCs w:val="24"/>
              </w:rPr>
              <w:t>ajú</w:t>
            </w:r>
            <w:r w:rsidRPr="008B5472">
              <w:rPr>
                <w:bCs/>
                <w:sz w:val="24"/>
                <w:szCs w:val="24"/>
              </w:rPr>
              <w:t>, do časti 3.3.4 Súhrnná tabuľka nákladov regulácie v Analýze vplyvov na podnikateľské prostredie.</w:t>
            </w:r>
          </w:p>
          <w:p w:rsidR="00036E74" w:rsidRPr="008B5472" w:rsidRDefault="00036E74" w:rsidP="00D264AF">
            <w:pPr>
              <w:jc w:val="both"/>
              <w:rPr>
                <w:bCs/>
                <w:sz w:val="24"/>
                <w:szCs w:val="24"/>
              </w:rPr>
            </w:pPr>
          </w:p>
          <w:p w:rsidR="000C1B74" w:rsidRPr="008B5472" w:rsidRDefault="00036E74" w:rsidP="00AA1A17">
            <w:pPr>
              <w:jc w:val="both"/>
              <w:rPr>
                <w:b/>
              </w:rPr>
            </w:pPr>
            <w:r w:rsidRPr="008B5472">
              <w:rPr>
                <w:bCs/>
                <w:sz w:val="24"/>
                <w:szCs w:val="24"/>
                <w:u w:val="single"/>
              </w:rPr>
              <w:t>Vyhodnotenie pripomienky – pripomienka</w:t>
            </w:r>
            <w:r w:rsidR="00AA1A17" w:rsidRPr="008B5472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8B5472">
              <w:rPr>
                <w:bCs/>
                <w:sz w:val="24"/>
                <w:szCs w:val="24"/>
                <w:u w:val="single"/>
              </w:rPr>
              <w:t xml:space="preserve">akceptovaná. </w:t>
            </w:r>
            <w:r w:rsidRPr="008B5472">
              <w:rPr>
                <w:bCs/>
                <w:sz w:val="24"/>
                <w:szCs w:val="24"/>
              </w:rPr>
              <w:t>Časť 3.3.4 bola doplnená</w:t>
            </w:r>
            <w:r w:rsidR="00AA1A17" w:rsidRPr="008B5472">
              <w:rPr>
                <w:bCs/>
                <w:sz w:val="24"/>
                <w:szCs w:val="24"/>
              </w:rPr>
              <w:t xml:space="preserve"> o </w:t>
            </w:r>
            <w:proofErr w:type="spellStart"/>
            <w:r w:rsidR="00AA1A17" w:rsidRPr="008B5472">
              <w:rPr>
                <w:bCs/>
                <w:sz w:val="24"/>
                <w:szCs w:val="24"/>
              </w:rPr>
              <w:t>sumarizáciu</w:t>
            </w:r>
            <w:proofErr w:type="spellEnd"/>
            <w:r w:rsidR="00AA1A17" w:rsidRPr="008B5472">
              <w:rPr>
                <w:bCs/>
                <w:sz w:val="24"/>
                <w:szCs w:val="24"/>
              </w:rPr>
              <w:t xml:space="preserve"> nákladov, ktoré je možné kvantifikovať.</w:t>
            </w:r>
          </w:p>
        </w:tc>
      </w:tr>
      <w:tr w:rsidR="00927496" w:rsidRPr="008B5472" w:rsidTr="008F6C42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CE7" w:rsidRPr="008B5472" w:rsidRDefault="00715CE7" w:rsidP="008F6C42">
            <w:pPr>
              <w:rPr>
                <w:i/>
              </w:rPr>
            </w:pPr>
          </w:p>
        </w:tc>
      </w:tr>
    </w:tbl>
    <w:p w:rsidR="00120D0E" w:rsidRPr="008B5472" w:rsidRDefault="00120D0E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6E0264" w:rsidRPr="008B5472" w:rsidRDefault="006E0264" w:rsidP="000C1B74">
      <w:pPr>
        <w:jc w:val="center"/>
        <w:rPr>
          <w:b/>
          <w:bCs/>
          <w:sz w:val="28"/>
          <w:szCs w:val="28"/>
        </w:rPr>
      </w:pPr>
    </w:p>
    <w:p w:rsidR="000C1B74" w:rsidRPr="008B5472" w:rsidRDefault="000C1B74" w:rsidP="000C1B74">
      <w:pPr>
        <w:jc w:val="center"/>
        <w:rPr>
          <w:b/>
          <w:bCs/>
          <w:sz w:val="28"/>
          <w:szCs w:val="28"/>
        </w:rPr>
      </w:pPr>
      <w:r w:rsidRPr="008B5472">
        <w:rPr>
          <w:b/>
          <w:bCs/>
          <w:sz w:val="28"/>
          <w:szCs w:val="28"/>
        </w:rPr>
        <w:lastRenderedPageBreak/>
        <w:t>Analýza vplyvov na rozpočet verejnej správy,</w:t>
      </w:r>
    </w:p>
    <w:p w:rsidR="000C1B74" w:rsidRPr="008B5472" w:rsidRDefault="000C1B74" w:rsidP="000C1B74">
      <w:pPr>
        <w:jc w:val="center"/>
        <w:rPr>
          <w:b/>
          <w:bCs/>
          <w:sz w:val="28"/>
          <w:szCs w:val="28"/>
        </w:rPr>
      </w:pPr>
      <w:r w:rsidRPr="008B5472">
        <w:rPr>
          <w:b/>
          <w:bCs/>
          <w:sz w:val="28"/>
          <w:szCs w:val="28"/>
        </w:rPr>
        <w:t>na zamestnanosť vo verejnej správe a financovanie návrhu</w:t>
      </w:r>
    </w:p>
    <w:p w:rsidR="000C1B74" w:rsidRPr="008B5472" w:rsidRDefault="000C1B74" w:rsidP="000C1B74">
      <w:pPr>
        <w:jc w:val="right"/>
        <w:rPr>
          <w:b/>
          <w:bCs/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2.1 Zhrnutie vplyvov na rozpočet verejnej správy v návrhu</w:t>
      </w:r>
    </w:p>
    <w:p w:rsidR="000C1B74" w:rsidRPr="008B5472" w:rsidRDefault="000C1B74" w:rsidP="000C1B74">
      <w:pPr>
        <w:jc w:val="right"/>
      </w:pPr>
    </w:p>
    <w:p w:rsidR="000C1B74" w:rsidRPr="008B5472" w:rsidRDefault="000C1B74" w:rsidP="000C1B74">
      <w:pPr>
        <w:jc w:val="right"/>
      </w:pPr>
      <w:r w:rsidRPr="008B5472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927496" w:rsidRPr="008B5472" w:rsidTr="008F6C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r w:rsidRPr="008B5472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927496" w:rsidRPr="008B5472" w:rsidTr="008F6C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8B5472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DF573D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</w:t>
            </w:r>
            <w:r w:rsidR="000C1B74" w:rsidRPr="008B5472">
              <w:rPr>
                <w:b/>
                <w:bCs/>
                <w:sz w:val="24"/>
                <w:szCs w:val="24"/>
              </w:rPr>
              <w:t xml:space="preserve"> 400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310A93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499 5</w:t>
            </w:r>
            <w:r w:rsidR="001E5DC0" w:rsidRPr="008B547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1E5DC0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86 000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1E5DC0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86 000</w:t>
            </w:r>
            <w:r w:rsidR="000C1B74" w:rsidRPr="008B5472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27496" w:rsidRPr="008B5472" w:rsidTr="006E0264">
        <w:trPr>
          <w:trHeight w:val="1242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r w:rsidRPr="008B5472">
              <w:t>v tom: za každý subjekt verejnej správy zvlášť (jedná sa o zvýšenie výdavkov pri všetkých troch subjektoch)</w:t>
            </w:r>
          </w:p>
          <w:p w:rsidR="000C1B74" w:rsidRPr="008B5472" w:rsidRDefault="000C1B74" w:rsidP="00DF573D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Štatistický úrad SR</w:t>
            </w:r>
          </w:p>
          <w:p w:rsidR="00DA35D4" w:rsidRPr="008B5472" w:rsidRDefault="00DA35D4" w:rsidP="00DA35D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8</w:t>
            </w:r>
            <w:r w:rsidR="00DA35D4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400</w:t>
            </w:r>
          </w:p>
          <w:p w:rsidR="000C1B74" w:rsidRPr="008B5472" w:rsidRDefault="00CF6DFA" w:rsidP="00CF6DFA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  <w:p w:rsidR="00DA35D4" w:rsidRPr="008B5472" w:rsidRDefault="00310A93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499 500</w:t>
            </w: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  <w:p w:rsidR="00DA35D4" w:rsidRPr="008B5472" w:rsidRDefault="00DA35D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86 000</w:t>
            </w: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  <w:p w:rsidR="00DA35D4" w:rsidRPr="008B5472" w:rsidRDefault="00DA35D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86 000</w:t>
            </w:r>
          </w:p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8 400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310A93" w:rsidP="00F85C99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499 500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F85C99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86 000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86 000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8F6C42">
            <w:pPr>
              <w:jc w:val="right"/>
              <w:rPr>
                <w:bCs/>
                <w:iCs/>
                <w:sz w:val="24"/>
                <w:szCs w:val="24"/>
              </w:rPr>
            </w:pPr>
            <w:r w:rsidRPr="008B5472">
              <w:rPr>
                <w:bCs/>
                <w:iCs/>
                <w:sz w:val="24"/>
                <w:szCs w:val="24"/>
              </w:rPr>
              <w:t>8 400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310A93" w:rsidP="008F6C42">
            <w:pPr>
              <w:jc w:val="right"/>
              <w:rPr>
                <w:bCs/>
                <w:iCs/>
                <w:sz w:val="24"/>
                <w:szCs w:val="24"/>
              </w:rPr>
            </w:pPr>
            <w:r w:rsidRPr="008B5472">
              <w:rPr>
                <w:bCs/>
                <w:sz w:val="24"/>
                <w:szCs w:val="24"/>
              </w:rPr>
              <w:t>499 500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8F6C42">
            <w:pPr>
              <w:jc w:val="right"/>
              <w:rPr>
                <w:bCs/>
                <w:iCs/>
                <w:sz w:val="24"/>
                <w:szCs w:val="24"/>
              </w:rPr>
            </w:pPr>
            <w:r w:rsidRPr="008B5472">
              <w:rPr>
                <w:bCs/>
                <w:iCs/>
                <w:sz w:val="24"/>
                <w:szCs w:val="24"/>
              </w:rPr>
              <w:t>86 000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F85C99" w:rsidP="008F6C42">
            <w:pPr>
              <w:jc w:val="right"/>
              <w:rPr>
                <w:bCs/>
                <w:iCs/>
                <w:sz w:val="24"/>
                <w:szCs w:val="24"/>
              </w:rPr>
            </w:pPr>
            <w:r w:rsidRPr="008B5472">
              <w:rPr>
                <w:bCs/>
                <w:iCs/>
                <w:sz w:val="24"/>
                <w:szCs w:val="24"/>
              </w:rPr>
              <w:t>86 000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Cs/>
                <w:i/>
                <w:iCs/>
                <w:sz w:val="24"/>
                <w:szCs w:val="24"/>
              </w:rPr>
            </w:pPr>
            <w:r w:rsidRPr="008B5472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Cs/>
                <w:i/>
                <w:iCs/>
                <w:sz w:val="24"/>
                <w:szCs w:val="24"/>
              </w:rPr>
            </w:pPr>
            <w:r w:rsidRPr="008B5472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B547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315D56" w:rsidP="00315D56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</w:t>
            </w:r>
            <w:r w:rsidR="000C1B74" w:rsidRPr="008B5472">
              <w:rPr>
                <w:b/>
                <w:bCs/>
                <w:sz w:val="24"/>
                <w:szCs w:val="24"/>
              </w:rPr>
              <w:t xml:space="preserve"> 400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E545F1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E545F1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C1B74" w:rsidRPr="008B5472" w:rsidRDefault="00E545F1" w:rsidP="008F6C42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C1B74" w:rsidRPr="008B5472" w:rsidRDefault="000C1B74" w:rsidP="008F6C42">
            <w:r w:rsidRPr="008B5472">
              <w:t xml:space="preserve">v tom: za každý subjekt verejnej správy / </w:t>
            </w:r>
          </w:p>
          <w:p w:rsidR="000C1B74" w:rsidRPr="008B5472" w:rsidRDefault="000C1B74" w:rsidP="008F6C42">
            <w:r w:rsidRPr="008B5472">
              <w:t>program zvlášť</w:t>
            </w:r>
          </w:p>
          <w:p w:rsidR="00315D56" w:rsidRPr="008B5472" w:rsidRDefault="000C1B74" w:rsidP="00E545F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54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  <w:r w:rsidRPr="008B5472">
              <w:t>8 400</w:t>
            </w:r>
          </w:p>
          <w:p w:rsidR="000C1B74" w:rsidRPr="008B5472" w:rsidRDefault="000C1B74" w:rsidP="008F6C42">
            <w:pPr>
              <w:jc w:val="right"/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  <w:r w:rsidRPr="008B5472">
              <w:t>0</w:t>
            </w:r>
          </w:p>
          <w:p w:rsidR="000C1B74" w:rsidRPr="008B5472" w:rsidRDefault="000C1B74" w:rsidP="008F6C42">
            <w:pPr>
              <w:jc w:val="right"/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  <w:r w:rsidRPr="008B5472">
              <w:t>0</w:t>
            </w:r>
          </w:p>
          <w:p w:rsidR="000C1B74" w:rsidRPr="008B5472" w:rsidRDefault="000C1B74" w:rsidP="008F6C42">
            <w:pPr>
              <w:jc w:val="right"/>
            </w:pPr>
          </w:p>
        </w:tc>
        <w:tc>
          <w:tcPr>
            <w:tcW w:w="1267" w:type="dxa"/>
            <w:noWrap/>
            <w:vAlign w:val="center"/>
          </w:tcPr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</w:p>
          <w:p w:rsidR="000C1B74" w:rsidRPr="008B5472" w:rsidRDefault="000C1B74" w:rsidP="008F6C42">
            <w:pPr>
              <w:jc w:val="right"/>
            </w:pPr>
            <w:r w:rsidRPr="008B5472">
              <w:t>0</w:t>
            </w:r>
          </w:p>
          <w:p w:rsidR="000C1B74" w:rsidRPr="008B5472" w:rsidRDefault="000C1B74" w:rsidP="008F6C42">
            <w:pPr>
              <w:jc w:val="right"/>
            </w:pPr>
          </w:p>
        </w:tc>
      </w:tr>
      <w:tr w:rsidR="00927496" w:rsidRPr="008B5472" w:rsidTr="00E545F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Financovanie zabezpečené v rozpočte verejnej správy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499 500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86 000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86 000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27496" w:rsidRPr="008B5472" w:rsidTr="008F6C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E545F1" w:rsidRPr="008B5472" w:rsidRDefault="00E545F1" w:rsidP="00E545F1">
            <w:pPr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lastRenderedPageBreak/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545F1" w:rsidRPr="008B5472" w:rsidRDefault="00E545F1" w:rsidP="00E545F1">
            <w:pPr>
              <w:jc w:val="right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C46335" w:rsidRPr="008B5472" w:rsidRDefault="00C46335" w:rsidP="000C1B74">
      <w:pPr>
        <w:rPr>
          <w:b/>
          <w:bCs/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0C1B74" w:rsidRPr="008B5472" w:rsidRDefault="000C1B74" w:rsidP="000C1B74">
      <w:pPr>
        <w:jc w:val="both"/>
        <w:rPr>
          <w:b/>
          <w:bCs/>
          <w:sz w:val="12"/>
          <w:szCs w:val="24"/>
        </w:rPr>
      </w:pPr>
    </w:p>
    <w:p w:rsidR="000C1B74" w:rsidRPr="008B5472" w:rsidRDefault="00E545F1" w:rsidP="000C1B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4"/>
          <w:szCs w:val="24"/>
        </w:rPr>
      </w:pPr>
      <w:r w:rsidRPr="008B5472">
        <w:rPr>
          <w:bCs/>
          <w:sz w:val="24"/>
          <w:szCs w:val="24"/>
        </w:rPr>
        <w:t>Výdavky vyplývajúce z materiálu budú v jednotlivých rokoch zabezpečené v rámci disponibilných zdrojov rozpočtu verejnej správy. Na roky 2020-2022 bude Ministerstvo vnútra Slovenskej republiky rokovať s Ministerstvom financií Slovenskej republiky o možnosti zabezpečenia výdavkov vyplývajúcich z materiálu na príslušný rozpočtový rok.</w:t>
      </w:r>
    </w:p>
    <w:p w:rsidR="00A712CF" w:rsidRPr="008B5472" w:rsidRDefault="00A712CF" w:rsidP="000C1B74">
      <w:pPr>
        <w:ind w:firstLine="708"/>
        <w:jc w:val="both"/>
        <w:rPr>
          <w:bCs/>
          <w:sz w:val="24"/>
          <w:szCs w:val="24"/>
        </w:rPr>
      </w:pP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Vyčíslené </w:t>
      </w:r>
      <w:r w:rsidR="00DF573D" w:rsidRPr="008B5472">
        <w:rPr>
          <w:sz w:val="24"/>
          <w:szCs w:val="24"/>
        </w:rPr>
        <w:t>výdavky</w:t>
      </w:r>
      <w:r w:rsidRPr="008B5472">
        <w:rPr>
          <w:sz w:val="24"/>
          <w:szCs w:val="24"/>
        </w:rPr>
        <w:t xml:space="preserve"> </w:t>
      </w:r>
      <w:r w:rsidR="00F85C99" w:rsidRPr="008B5472">
        <w:rPr>
          <w:sz w:val="24"/>
          <w:szCs w:val="24"/>
        </w:rPr>
        <w:t>ŠÚ SR</w:t>
      </w:r>
      <w:r w:rsidR="00DF573D" w:rsidRPr="008B5472">
        <w:rPr>
          <w:bCs/>
          <w:sz w:val="24"/>
          <w:szCs w:val="24"/>
        </w:rPr>
        <w:t xml:space="preserve"> v roku 2019</w:t>
      </w:r>
      <w:r w:rsidRPr="008B5472">
        <w:rPr>
          <w:sz w:val="24"/>
          <w:szCs w:val="24"/>
        </w:rPr>
        <w:t xml:space="preserve"> </w:t>
      </w:r>
      <w:r w:rsidR="00DF573D" w:rsidRPr="008B5472">
        <w:rPr>
          <w:sz w:val="24"/>
          <w:szCs w:val="24"/>
        </w:rPr>
        <w:t xml:space="preserve">v sume 8 400 eur, </w:t>
      </w:r>
      <w:r w:rsidRPr="008B5472">
        <w:rPr>
          <w:sz w:val="24"/>
          <w:szCs w:val="24"/>
        </w:rPr>
        <w:t>spojené s implementáciou návrhu na zmenu a doplnenie  zákona č. 297/2008 Z. z.</w:t>
      </w:r>
      <w:r w:rsidR="00F85C99" w:rsidRPr="008B5472">
        <w:rPr>
          <w:sz w:val="24"/>
          <w:szCs w:val="24"/>
        </w:rPr>
        <w:t xml:space="preserve"> (úprava RPO)</w:t>
      </w:r>
      <w:r w:rsidR="00EC708F" w:rsidRPr="008B5472">
        <w:rPr>
          <w:sz w:val="24"/>
          <w:szCs w:val="24"/>
        </w:rPr>
        <w:t>,</w:t>
      </w:r>
      <w:r w:rsidRPr="008B5472">
        <w:rPr>
          <w:sz w:val="24"/>
          <w:szCs w:val="24"/>
        </w:rPr>
        <w:t xml:space="preserve"> budú v celom rozsahu zabezpečené v rámci schválen</w:t>
      </w:r>
      <w:r w:rsidR="00DF573D" w:rsidRPr="008B5472">
        <w:rPr>
          <w:sz w:val="24"/>
          <w:szCs w:val="24"/>
        </w:rPr>
        <w:t>ého</w:t>
      </w:r>
      <w:r w:rsidRPr="008B5472">
        <w:rPr>
          <w:sz w:val="24"/>
          <w:szCs w:val="24"/>
        </w:rPr>
        <w:t xml:space="preserve"> limit</w:t>
      </w:r>
      <w:r w:rsidR="00DF573D" w:rsidRPr="008B5472">
        <w:rPr>
          <w:sz w:val="24"/>
          <w:szCs w:val="24"/>
        </w:rPr>
        <w:t>u</w:t>
      </w:r>
      <w:r w:rsidRPr="008B5472">
        <w:rPr>
          <w:sz w:val="24"/>
          <w:szCs w:val="24"/>
        </w:rPr>
        <w:t xml:space="preserve"> rozpočtov</w:t>
      </w:r>
      <w:r w:rsidR="00DF573D" w:rsidRPr="008B5472">
        <w:rPr>
          <w:sz w:val="24"/>
          <w:szCs w:val="24"/>
        </w:rPr>
        <w:t xml:space="preserve">ej </w:t>
      </w:r>
      <w:r w:rsidRPr="008B5472">
        <w:rPr>
          <w:sz w:val="24"/>
          <w:szCs w:val="24"/>
        </w:rPr>
        <w:t>kapitol</w:t>
      </w:r>
      <w:r w:rsidR="00DF573D" w:rsidRPr="008B5472">
        <w:rPr>
          <w:sz w:val="24"/>
          <w:szCs w:val="24"/>
        </w:rPr>
        <w:t xml:space="preserve">y Štatistického úradu </w:t>
      </w:r>
      <w:r w:rsidR="00DF573D" w:rsidRPr="008B5472">
        <w:rPr>
          <w:bCs/>
          <w:sz w:val="24"/>
          <w:szCs w:val="24"/>
        </w:rPr>
        <w:t>Slovenskej republiky</w:t>
      </w:r>
      <w:r w:rsidRPr="008B5472">
        <w:rPr>
          <w:sz w:val="24"/>
          <w:szCs w:val="24"/>
        </w:rPr>
        <w:t>.</w:t>
      </w:r>
      <w:r w:rsidR="00315D56" w:rsidRPr="008B5472">
        <w:rPr>
          <w:sz w:val="24"/>
          <w:szCs w:val="24"/>
        </w:rPr>
        <w:t xml:space="preserve"> </w:t>
      </w:r>
    </w:p>
    <w:p w:rsidR="00715CE7" w:rsidRPr="008B5472" w:rsidRDefault="00715CE7" w:rsidP="00715CE7">
      <w:pPr>
        <w:ind w:firstLine="708"/>
        <w:jc w:val="both"/>
        <w:rPr>
          <w:bCs/>
          <w:sz w:val="24"/>
          <w:szCs w:val="24"/>
        </w:rPr>
      </w:pPr>
      <w:r w:rsidRPr="008B5472">
        <w:rPr>
          <w:bCs/>
          <w:sz w:val="24"/>
          <w:szCs w:val="24"/>
        </w:rPr>
        <w:t>Krytie jednorazových finančných nákladov na pripojenie MV SR do centrálneho elektronického systému na rok 2020, vrátane jeho úpravy podľa požiadaviek V. AML Smernice a  krytie opakovaných nákladov v predpokladanom rozsahu na roky 2021 a 2022,  cca 86 000 eur ročne, je zabezpečené v rámci disponibilných prostriedkov rozpočtu verejnej správy.</w:t>
      </w:r>
    </w:p>
    <w:p w:rsidR="00715CE7" w:rsidRPr="008B5472" w:rsidRDefault="00715CE7" w:rsidP="00715CE7">
      <w:pPr>
        <w:jc w:val="both"/>
        <w:rPr>
          <w:b/>
          <w:bCs/>
          <w:i/>
          <w:sz w:val="24"/>
          <w:szCs w:val="24"/>
        </w:rPr>
      </w:pPr>
    </w:p>
    <w:p w:rsidR="00F85C99" w:rsidRPr="008B5472" w:rsidRDefault="00F85C99" w:rsidP="00F85C99">
      <w:pPr>
        <w:jc w:val="both"/>
        <w:rPr>
          <w:b/>
          <w:bCs/>
          <w:i/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2.2. Popis a charakteristika návrhu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jc w:val="both"/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2.2.1. Popis návrhu:</w:t>
      </w:r>
    </w:p>
    <w:p w:rsidR="000C1B74" w:rsidRPr="008B5472" w:rsidRDefault="000C1B74" w:rsidP="000C1B74">
      <w:pPr>
        <w:jc w:val="both"/>
        <w:rPr>
          <w:b/>
          <w:bCs/>
          <w:sz w:val="24"/>
          <w:szCs w:val="24"/>
        </w:rPr>
      </w:pP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Akú problematiku návrh rieši? Kto bude návrh implementovať? Kde sa budú služby poskytovať?</w:t>
      </w:r>
    </w:p>
    <w:p w:rsidR="000C1B74" w:rsidRPr="008B5472" w:rsidRDefault="000C1B74" w:rsidP="000C1B74">
      <w:pPr>
        <w:rPr>
          <w:sz w:val="24"/>
          <w:szCs w:val="24"/>
        </w:rPr>
      </w:pPr>
    </w:p>
    <w:p w:rsidR="00315D56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Návrhom na zmenu a doplnenie zákona č. 297/2008 Z. z. je do právneho poriadku SR transponovaná V. AML Smernica. </w:t>
      </w:r>
      <w:r w:rsidR="00CE7212" w:rsidRPr="008B5472">
        <w:rPr>
          <w:sz w:val="24"/>
          <w:szCs w:val="24"/>
          <w:lang w:eastAsia="cs-CZ"/>
        </w:rPr>
        <w:t>V rámci transpozície bolo potrebné:</w:t>
      </w:r>
    </w:p>
    <w:p w:rsidR="00CE7212" w:rsidRPr="008B5472" w:rsidRDefault="00CE7212" w:rsidP="000C1B74">
      <w:pPr>
        <w:ind w:firstLine="708"/>
        <w:jc w:val="both"/>
        <w:rPr>
          <w:sz w:val="24"/>
          <w:szCs w:val="24"/>
        </w:rPr>
      </w:pPr>
    </w:p>
    <w:p w:rsidR="00793072" w:rsidRPr="008B5472" w:rsidRDefault="000C1B74" w:rsidP="00D96C17">
      <w:pPr>
        <w:pStyle w:val="Odsekzoznamu"/>
        <w:numPr>
          <w:ilvl w:val="0"/>
          <w:numId w:val="17"/>
        </w:numPr>
        <w:spacing w:line="240" w:lineRule="auto"/>
        <w:ind w:left="0" w:firstLine="708"/>
        <w:jc w:val="both"/>
        <w:rPr>
          <w:sz w:val="24"/>
          <w:szCs w:val="24"/>
          <w:u w:val="single"/>
        </w:rPr>
      </w:pPr>
      <w:r w:rsidRPr="008B5472">
        <w:rPr>
          <w:rFonts w:ascii="Times New Roman" w:hAnsi="Times New Roman" w:cs="Times New Roman"/>
          <w:sz w:val="24"/>
          <w:szCs w:val="24"/>
          <w:lang w:eastAsia="cs-CZ"/>
        </w:rPr>
        <w:t xml:space="preserve">verejne sprístupniť údaje o konečnom užívateľovi výhod, a to v rozsahu: </w:t>
      </w:r>
      <w:r w:rsidRPr="008B5472">
        <w:rPr>
          <w:rFonts w:ascii="Times New Roman" w:hAnsi="Times New Roman" w:cs="Times New Roman"/>
          <w:sz w:val="24"/>
          <w:szCs w:val="24"/>
        </w:rPr>
        <w:t>meno, priezvisko, mesiac a rok narodenia, štátnu príslušnosť a štát pobytu, ako aj údaje, ktoré zakladajú posta</w:t>
      </w:r>
      <w:r w:rsidR="00CE7212" w:rsidRPr="008B5472">
        <w:rPr>
          <w:rFonts w:ascii="Times New Roman" w:hAnsi="Times New Roman" w:cs="Times New Roman"/>
          <w:sz w:val="24"/>
          <w:szCs w:val="24"/>
        </w:rPr>
        <w:t>venie konečného užívateľa výhod,</w:t>
      </w:r>
    </w:p>
    <w:p w:rsidR="00793072" w:rsidRPr="008B5472" w:rsidRDefault="00793072" w:rsidP="00793072">
      <w:pPr>
        <w:pStyle w:val="Odsekzoznamu"/>
        <w:spacing w:line="240" w:lineRule="auto"/>
        <w:ind w:left="1570"/>
        <w:jc w:val="both"/>
        <w:rPr>
          <w:sz w:val="24"/>
          <w:szCs w:val="24"/>
          <w:u w:val="single"/>
        </w:rPr>
      </w:pPr>
    </w:p>
    <w:p w:rsidR="00793072" w:rsidRPr="008B5472" w:rsidRDefault="00793072" w:rsidP="00D96C17">
      <w:pPr>
        <w:pStyle w:val="Odsekzoznamu"/>
        <w:numPr>
          <w:ilvl w:val="0"/>
          <w:numId w:val="17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472">
        <w:rPr>
          <w:rFonts w:ascii="Times New Roman" w:hAnsi="Times New Roman" w:cs="Times New Roman"/>
          <w:sz w:val="24"/>
          <w:szCs w:val="24"/>
        </w:rPr>
        <w:t>upraviť podmienky zriadenia centralizovaného automatizovaného mechanizmu, ktorý umožní včasnú identifikáciu majiteľov a disponentov bankových alebo platobných účtov identifikovaných číslom IBAN.</w:t>
      </w:r>
    </w:p>
    <w:p w:rsidR="00793072" w:rsidRPr="008B5472" w:rsidRDefault="00793072" w:rsidP="00793072">
      <w:pPr>
        <w:pStyle w:val="Odsekzoznamu"/>
        <w:spacing w:line="240" w:lineRule="auto"/>
        <w:ind w:left="1570"/>
        <w:jc w:val="both"/>
        <w:rPr>
          <w:sz w:val="24"/>
          <w:szCs w:val="24"/>
          <w:u w:val="single"/>
        </w:rPr>
      </w:pPr>
    </w:p>
    <w:p w:rsidR="00CE7212" w:rsidRPr="008B5472" w:rsidRDefault="00793072" w:rsidP="00793072">
      <w:pPr>
        <w:jc w:val="both"/>
        <w:rPr>
          <w:sz w:val="24"/>
          <w:szCs w:val="24"/>
          <w:u w:val="single"/>
        </w:rPr>
      </w:pPr>
      <w:r w:rsidRPr="008B5472">
        <w:rPr>
          <w:sz w:val="24"/>
          <w:szCs w:val="24"/>
          <w:u w:val="single"/>
        </w:rPr>
        <w:t xml:space="preserve"> K</w:t>
      </w:r>
      <w:r w:rsidR="00CE7212" w:rsidRPr="008B5472">
        <w:rPr>
          <w:sz w:val="24"/>
          <w:szCs w:val="24"/>
          <w:u w:val="single"/>
        </w:rPr>
        <w:t> bodu 1.</w:t>
      </w: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Zároveň</w:t>
      </w:r>
      <w:r w:rsidR="00A712CF" w:rsidRPr="008B5472">
        <w:rPr>
          <w:sz w:val="24"/>
          <w:szCs w:val="24"/>
        </w:rPr>
        <w:t>,</w:t>
      </w:r>
      <w:r w:rsidRPr="008B5472">
        <w:rPr>
          <w:sz w:val="24"/>
          <w:szCs w:val="24"/>
        </w:rPr>
        <w:t xml:space="preserve"> za účelom zníženia administratívnych nákladov na strane povinných osôb</w:t>
      </w:r>
      <w:r w:rsidR="00A712CF" w:rsidRPr="008B5472">
        <w:rPr>
          <w:sz w:val="24"/>
          <w:szCs w:val="24"/>
        </w:rPr>
        <w:t>,</w:t>
      </w:r>
      <w:r w:rsidRPr="008B5472">
        <w:rPr>
          <w:sz w:val="24"/>
          <w:szCs w:val="24"/>
        </w:rPr>
        <w:t xml:space="preserve"> sa doplnením nového odseku 3 v rámci ustanovenia § 7 </w:t>
      </w:r>
      <w:r w:rsidR="00C42F48" w:rsidRPr="008B5472">
        <w:rPr>
          <w:sz w:val="24"/>
          <w:szCs w:val="24"/>
        </w:rPr>
        <w:t xml:space="preserve">zákona č. 297/2008 Z. z. </w:t>
      </w:r>
      <w:r w:rsidRPr="008B5472">
        <w:rPr>
          <w:sz w:val="24"/>
          <w:szCs w:val="24"/>
        </w:rPr>
        <w:t xml:space="preserve">zúži rozsah povinne zisťovaných údajov pri konečnom užívateľovi výhod, ak tento zároveň nie je osobou totožnou s osobou klienta alebo inou osobou, ktorej sa povinnosť identifikácie týka. </w:t>
      </w: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Navrhované znenie je v súlade s č</w:t>
      </w:r>
      <w:r w:rsidRPr="008B5472">
        <w:rPr>
          <w:iCs/>
          <w:sz w:val="24"/>
          <w:szCs w:val="24"/>
        </w:rPr>
        <w:t xml:space="preserve">lánkom 13 </w:t>
      </w:r>
      <w:r w:rsidRPr="008B5472">
        <w:rPr>
          <w:sz w:val="24"/>
          <w:szCs w:val="24"/>
        </w:rPr>
        <w:t>smernice Európskeho parlamentu a Rady (EÚ) 2018/849</w:t>
      </w:r>
      <w:r w:rsidRPr="008B5472">
        <w:rPr>
          <w:iCs/>
          <w:sz w:val="24"/>
          <w:szCs w:val="24"/>
        </w:rPr>
        <w:t>, podľa ktorého o</w:t>
      </w:r>
      <w:r w:rsidRPr="008B5472">
        <w:rPr>
          <w:sz w:val="24"/>
          <w:szCs w:val="24"/>
        </w:rPr>
        <w:t xml:space="preserve">patrenia povinnej starostlivosti vo vzťahu ku klientovi zahŕňajú </w:t>
      </w:r>
      <w:proofErr w:type="spellStart"/>
      <w:r w:rsidRPr="008B5472">
        <w:rPr>
          <w:sz w:val="24"/>
          <w:szCs w:val="24"/>
        </w:rPr>
        <w:t>o.i</w:t>
      </w:r>
      <w:proofErr w:type="spellEnd"/>
      <w:r w:rsidR="00E54513" w:rsidRPr="008B5472">
        <w:rPr>
          <w:sz w:val="24"/>
          <w:szCs w:val="24"/>
        </w:rPr>
        <w:t>.</w:t>
      </w:r>
      <w:r w:rsidRPr="008B5472">
        <w:rPr>
          <w:sz w:val="24"/>
          <w:szCs w:val="24"/>
        </w:rPr>
        <w:t xml:space="preserve"> identifikáciu konečného užívateľa výhod a prijatie primeraných opatrení na </w:t>
      </w:r>
      <w:r w:rsidRPr="008B5472">
        <w:rPr>
          <w:sz w:val="24"/>
          <w:szCs w:val="24"/>
        </w:rPr>
        <w:lastRenderedPageBreak/>
        <w:t>overenie totožnosti tejto osoby tak, aby bol povinný subjekt presvedčený, že vie, kto je konečný užívateľ výhod.</w:t>
      </w:r>
    </w:p>
    <w:p w:rsidR="00315D56" w:rsidRPr="008B5472" w:rsidRDefault="00315D56" w:rsidP="000C1B74">
      <w:pPr>
        <w:ind w:firstLine="708"/>
        <w:jc w:val="both"/>
        <w:rPr>
          <w:sz w:val="24"/>
          <w:szCs w:val="24"/>
        </w:rPr>
      </w:pPr>
    </w:p>
    <w:p w:rsidR="00CD5137" w:rsidRPr="008B5472" w:rsidRDefault="00CD5137" w:rsidP="00CD5137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Na základe predkladaného návrhu dochádza k rozšíreniu a úprave funkciona</w:t>
      </w:r>
      <w:r w:rsidR="00557F4A" w:rsidRPr="008B5472">
        <w:rPr>
          <w:sz w:val="24"/>
          <w:szCs w:val="24"/>
        </w:rPr>
        <w:t xml:space="preserve">lity </w:t>
      </w:r>
      <w:r w:rsidRPr="008B5472">
        <w:rPr>
          <w:sz w:val="24"/>
          <w:szCs w:val="24"/>
        </w:rPr>
        <w:t>RPO a je potrebné pripraviť:</w:t>
      </w:r>
    </w:p>
    <w:p w:rsidR="00CD5137" w:rsidRPr="008B5472" w:rsidRDefault="00CD5137" w:rsidP="00CD5137">
      <w:pPr>
        <w:ind w:firstLine="708"/>
        <w:jc w:val="both"/>
        <w:rPr>
          <w:sz w:val="24"/>
          <w:szCs w:val="24"/>
        </w:rPr>
      </w:pPr>
    </w:p>
    <w:p w:rsidR="00CD5137" w:rsidRPr="008B5472" w:rsidRDefault="00CD5137" w:rsidP="00CE7212">
      <w:pPr>
        <w:spacing w:after="200" w:line="276" w:lineRule="auto"/>
        <w:ind w:left="708"/>
        <w:contextualSpacing/>
        <w:jc w:val="both"/>
        <w:rPr>
          <w:sz w:val="24"/>
          <w:szCs w:val="24"/>
          <w:u w:val="single"/>
        </w:rPr>
      </w:pPr>
      <w:r w:rsidRPr="008B5472">
        <w:rPr>
          <w:sz w:val="24"/>
          <w:szCs w:val="24"/>
          <w:u w:val="single"/>
        </w:rPr>
        <w:t>Rozhranie pre vyhľadávanie a poskytovanie údajov z RPO o konečných užívateľoch výhod verejnosti,</w:t>
      </w:r>
      <w:r w:rsidRPr="008B5472">
        <w:rPr>
          <w:sz w:val="24"/>
          <w:szCs w:val="24"/>
        </w:rPr>
        <w:t xml:space="preserve"> čo predpokladá </w:t>
      </w:r>
    </w:p>
    <w:p w:rsidR="00CD5137" w:rsidRPr="008B5472" w:rsidRDefault="00CD5137" w:rsidP="00CD5137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  <w:u w:val="single"/>
        </w:rPr>
      </w:pPr>
      <w:r w:rsidRPr="008B5472">
        <w:rPr>
          <w:sz w:val="24"/>
          <w:szCs w:val="24"/>
        </w:rPr>
        <w:t>vytvorenie samostatného verejného rozhrania pre vyhľadávanie a poskytovanie údajov o konečných užívateľoch výhod v rozsahu: meno, priezvisko, mesiac a rok narodenia, štátna príslušnosť, štát pobytu a údaje, ktoré zakladajú postavenie konečného užívateľa výhod. Vyhľadávanie bude realizované nad kompletnou množinou údajov RPO.</w:t>
      </w:r>
    </w:p>
    <w:p w:rsidR="00CD5137" w:rsidRPr="008B5472" w:rsidRDefault="00CD5137" w:rsidP="00CD5137">
      <w:pPr>
        <w:ind w:firstLine="708"/>
        <w:jc w:val="both"/>
        <w:rPr>
          <w:sz w:val="24"/>
          <w:szCs w:val="24"/>
        </w:rPr>
      </w:pPr>
    </w:p>
    <w:p w:rsidR="000C1B74" w:rsidRPr="008B5472" w:rsidRDefault="007C4AA3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Návrh bude</w:t>
      </w:r>
      <w:r w:rsidR="000C1B74" w:rsidRPr="008B5472">
        <w:rPr>
          <w:sz w:val="24"/>
          <w:szCs w:val="24"/>
        </w:rPr>
        <w:t xml:space="preserve"> implementovať </w:t>
      </w:r>
      <w:r w:rsidR="00C42F48" w:rsidRPr="008B5472">
        <w:rPr>
          <w:sz w:val="24"/>
          <w:szCs w:val="24"/>
        </w:rPr>
        <w:t>ŠÚ SR</w:t>
      </w:r>
      <w:r w:rsidRPr="008B5472">
        <w:rPr>
          <w:sz w:val="24"/>
          <w:szCs w:val="24"/>
        </w:rPr>
        <w:t xml:space="preserve"> </w:t>
      </w:r>
      <w:r w:rsidR="000C1B74" w:rsidRPr="008B5472">
        <w:rPr>
          <w:sz w:val="24"/>
          <w:szCs w:val="24"/>
        </w:rPr>
        <w:t xml:space="preserve">a služby budú poskytované v rámci </w:t>
      </w:r>
      <w:r w:rsidR="00C42F48" w:rsidRPr="008B5472">
        <w:rPr>
          <w:sz w:val="24"/>
          <w:szCs w:val="24"/>
        </w:rPr>
        <w:t>RPO</w:t>
      </w:r>
      <w:r w:rsidR="000C1B74" w:rsidRPr="008B5472">
        <w:rPr>
          <w:sz w:val="24"/>
          <w:szCs w:val="24"/>
        </w:rPr>
        <w:t>.</w:t>
      </w:r>
    </w:p>
    <w:p w:rsidR="00793072" w:rsidRPr="008B5472" w:rsidRDefault="00793072" w:rsidP="000C1B74">
      <w:pPr>
        <w:ind w:firstLine="708"/>
        <w:jc w:val="both"/>
        <w:rPr>
          <w:sz w:val="24"/>
          <w:szCs w:val="24"/>
        </w:rPr>
      </w:pPr>
    </w:p>
    <w:p w:rsidR="00793072" w:rsidRPr="008B5472" w:rsidRDefault="00793072" w:rsidP="00793072">
      <w:pPr>
        <w:jc w:val="both"/>
        <w:rPr>
          <w:sz w:val="24"/>
          <w:szCs w:val="24"/>
          <w:u w:val="single"/>
        </w:rPr>
      </w:pPr>
      <w:r w:rsidRPr="008B5472">
        <w:rPr>
          <w:sz w:val="24"/>
          <w:szCs w:val="24"/>
          <w:u w:val="single"/>
        </w:rPr>
        <w:t>K bodu 2.</w:t>
      </w:r>
    </w:p>
    <w:p w:rsidR="00793072" w:rsidRPr="008B5472" w:rsidRDefault="00793072" w:rsidP="00793072">
      <w:pPr>
        <w:jc w:val="both"/>
        <w:rPr>
          <w:sz w:val="24"/>
          <w:szCs w:val="24"/>
          <w:u w:val="single"/>
        </w:rPr>
      </w:pPr>
    </w:p>
    <w:p w:rsidR="00A842D6" w:rsidRPr="008B5472" w:rsidRDefault="001C3395" w:rsidP="007E4186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V súvislosti s povinnosťou zriadiť centralizovaný automatizovaný mechanizmu</w:t>
      </w:r>
      <w:r w:rsidR="0058129C" w:rsidRPr="008B5472">
        <w:rPr>
          <w:sz w:val="24"/>
          <w:szCs w:val="24"/>
        </w:rPr>
        <w:t>s, ktorý umožní včasnú identifikáciu majiteľov a disponentov bankových alebo platobných účtov identifikovaných číslom IBAN</w:t>
      </w:r>
      <w:r w:rsidR="00A842D6" w:rsidRPr="008B5472">
        <w:rPr>
          <w:sz w:val="24"/>
          <w:szCs w:val="24"/>
        </w:rPr>
        <w:t xml:space="preserve"> sa navrhuje využiť</w:t>
      </w:r>
      <w:r w:rsidR="007E4186" w:rsidRPr="008B5472">
        <w:rPr>
          <w:sz w:val="24"/>
          <w:szCs w:val="24"/>
        </w:rPr>
        <w:t xml:space="preserve"> v súčasnosti už existujúci </w:t>
      </w:r>
      <w:r w:rsidR="00C42F48" w:rsidRPr="008B5472">
        <w:rPr>
          <w:sz w:val="24"/>
          <w:szCs w:val="24"/>
        </w:rPr>
        <w:t>centrálny elektronický systém</w:t>
      </w:r>
      <w:r w:rsidR="007E4186" w:rsidRPr="008B5472">
        <w:rPr>
          <w:sz w:val="24"/>
          <w:szCs w:val="24"/>
        </w:rPr>
        <w:t>, ktorý</w:t>
      </w:r>
      <w:r w:rsidR="00BA2EF7" w:rsidRPr="008B5472">
        <w:rPr>
          <w:sz w:val="24"/>
          <w:szCs w:val="24"/>
        </w:rPr>
        <w:t xml:space="preserve"> zabezpečuje </w:t>
      </w:r>
      <w:r w:rsidR="00C42F48" w:rsidRPr="008B5472">
        <w:rPr>
          <w:sz w:val="24"/>
          <w:szCs w:val="24"/>
        </w:rPr>
        <w:t>SBA</w:t>
      </w:r>
      <w:r w:rsidR="007E4186" w:rsidRPr="008B5472">
        <w:rPr>
          <w:sz w:val="24"/>
          <w:szCs w:val="24"/>
        </w:rPr>
        <w:t xml:space="preserve"> </w:t>
      </w:r>
      <w:r w:rsidR="00BA2EF7" w:rsidRPr="008B5472">
        <w:rPr>
          <w:sz w:val="24"/>
          <w:szCs w:val="24"/>
        </w:rPr>
        <w:t>podľa</w:t>
      </w:r>
      <w:r w:rsidR="00A842D6" w:rsidRPr="008B5472">
        <w:rPr>
          <w:sz w:val="24"/>
          <w:szCs w:val="24"/>
        </w:rPr>
        <w:t xml:space="preserve"> § 91 ods. 10 zákona č. 483/2001 Z. z.</w:t>
      </w:r>
      <w:r w:rsidRPr="008B5472">
        <w:rPr>
          <w:sz w:val="24"/>
          <w:szCs w:val="24"/>
        </w:rPr>
        <w:t>,</w:t>
      </w:r>
      <w:r w:rsidR="00A842D6" w:rsidRPr="008B5472">
        <w:rPr>
          <w:sz w:val="24"/>
          <w:szCs w:val="24"/>
        </w:rPr>
        <w:t xml:space="preserve"> pričom</w:t>
      </w:r>
      <w:r w:rsidR="007E4186" w:rsidRPr="008B5472">
        <w:rPr>
          <w:sz w:val="24"/>
          <w:szCs w:val="24"/>
        </w:rPr>
        <w:t xml:space="preserve"> je potrebné rozšíriť jeho existujúce technické riešenie v súlade s požiadavkami definovanými v čl. 32a V. AML Smernice.</w:t>
      </w:r>
    </w:p>
    <w:p w:rsidR="00A842D6" w:rsidRPr="008B5472" w:rsidRDefault="00A842D6" w:rsidP="00793072">
      <w:pPr>
        <w:jc w:val="both"/>
        <w:rPr>
          <w:sz w:val="22"/>
          <w:szCs w:val="22"/>
        </w:rPr>
      </w:pPr>
    </w:p>
    <w:p w:rsidR="00315D56" w:rsidRPr="008B5472" w:rsidRDefault="007E4186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Návrh budú implementovať</w:t>
      </w:r>
      <w:r w:rsidR="00304EB3" w:rsidRPr="008B5472">
        <w:rPr>
          <w:sz w:val="24"/>
          <w:szCs w:val="24"/>
        </w:rPr>
        <w:t xml:space="preserve"> </w:t>
      </w:r>
      <w:r w:rsidR="00C42F48" w:rsidRPr="008B5472">
        <w:rPr>
          <w:sz w:val="24"/>
          <w:szCs w:val="24"/>
        </w:rPr>
        <w:t xml:space="preserve">MV </w:t>
      </w:r>
      <w:r w:rsidR="00304EB3" w:rsidRPr="008B5472">
        <w:rPr>
          <w:sz w:val="24"/>
          <w:szCs w:val="24"/>
        </w:rPr>
        <w:t xml:space="preserve">SR, </w:t>
      </w:r>
      <w:r w:rsidR="00C42F48" w:rsidRPr="008B5472">
        <w:rPr>
          <w:sz w:val="24"/>
          <w:szCs w:val="24"/>
        </w:rPr>
        <w:t>SBA</w:t>
      </w:r>
      <w:r w:rsidR="00304EB3" w:rsidRPr="008B5472">
        <w:rPr>
          <w:sz w:val="24"/>
          <w:szCs w:val="24"/>
        </w:rPr>
        <w:t>,</w:t>
      </w:r>
      <w:r w:rsidRPr="008B5472">
        <w:rPr>
          <w:sz w:val="24"/>
          <w:szCs w:val="24"/>
        </w:rPr>
        <w:t xml:space="preserve"> </w:t>
      </w:r>
      <w:r w:rsidR="00304EB3" w:rsidRPr="008B5472">
        <w:rPr>
          <w:sz w:val="24"/>
          <w:szCs w:val="24"/>
        </w:rPr>
        <w:t>banky a iné úverové inštitúcie vrátane pobočiek a platobné inštitúcie vrátane pobočiek, ktoré vedú účty identifikované číslom IBAN. (v súčasnosti je 23 bánk a jedna platobná inštitúcia, na ktoré by sa mali povinnosti v zmysle vyššie uvedeného zákona vzťahovať)</w:t>
      </w:r>
      <w:r w:rsidR="00171B99" w:rsidRPr="008B5472">
        <w:rPr>
          <w:sz w:val="24"/>
          <w:szCs w:val="24"/>
        </w:rPr>
        <w:t>.</w:t>
      </w: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2.2.2. Charakteristika návrhu: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b/>
          <w:sz w:val="24"/>
          <w:szCs w:val="24"/>
          <w:bdr w:val="single" w:sz="4" w:space="0" w:color="auto"/>
        </w:rPr>
        <w:t xml:space="preserve">     </w:t>
      </w:r>
      <w:r w:rsidRPr="008B5472">
        <w:rPr>
          <w:b/>
          <w:sz w:val="24"/>
          <w:szCs w:val="24"/>
        </w:rPr>
        <w:t xml:space="preserve">  </w:t>
      </w:r>
      <w:r w:rsidRPr="008B5472">
        <w:rPr>
          <w:sz w:val="24"/>
          <w:szCs w:val="24"/>
        </w:rPr>
        <w:t>zmena sadzby</w:t>
      </w: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sz w:val="24"/>
          <w:szCs w:val="24"/>
          <w:bdr w:val="single" w:sz="4" w:space="0" w:color="auto"/>
        </w:rPr>
        <w:t xml:space="preserve">     </w:t>
      </w:r>
      <w:r w:rsidRPr="008B5472">
        <w:rPr>
          <w:sz w:val="24"/>
          <w:szCs w:val="24"/>
        </w:rPr>
        <w:t xml:space="preserve">  zmena v nároku</w:t>
      </w: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sz w:val="24"/>
          <w:szCs w:val="24"/>
          <w:bdr w:val="single" w:sz="4" w:space="0" w:color="auto"/>
        </w:rPr>
        <w:t xml:space="preserve">     </w:t>
      </w:r>
      <w:r w:rsidRPr="008B5472">
        <w:rPr>
          <w:sz w:val="24"/>
          <w:szCs w:val="24"/>
        </w:rPr>
        <w:t xml:space="preserve">  nová služba alebo nariadenie (alebo ich zrušenie)</w:t>
      </w: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sz w:val="24"/>
          <w:szCs w:val="24"/>
          <w:bdr w:val="single" w:sz="4" w:space="0" w:color="auto"/>
        </w:rPr>
        <w:t xml:space="preserve"> </w:t>
      </w:r>
      <w:r w:rsidR="00EB6084" w:rsidRPr="008B5472">
        <w:rPr>
          <w:sz w:val="24"/>
          <w:szCs w:val="24"/>
          <w:bdr w:val="single" w:sz="4" w:space="0" w:color="auto"/>
        </w:rPr>
        <w:t>X</w:t>
      </w:r>
      <w:r w:rsidRPr="008B5472">
        <w:rPr>
          <w:sz w:val="24"/>
          <w:szCs w:val="24"/>
          <w:bdr w:val="single" w:sz="4" w:space="0" w:color="auto"/>
        </w:rPr>
        <w:t xml:space="preserve"> </w:t>
      </w:r>
      <w:r w:rsidRPr="008B5472">
        <w:rPr>
          <w:sz w:val="24"/>
          <w:szCs w:val="24"/>
        </w:rPr>
        <w:t xml:space="preserve">  kombinovaný návrh</w:t>
      </w: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sz w:val="24"/>
          <w:szCs w:val="24"/>
          <w:bdr w:val="single" w:sz="4" w:space="0" w:color="auto"/>
        </w:rPr>
        <w:t xml:space="preserve">     </w:t>
      </w:r>
      <w:r w:rsidRPr="008B5472">
        <w:rPr>
          <w:sz w:val="24"/>
          <w:szCs w:val="24"/>
        </w:rPr>
        <w:t xml:space="preserve">  iné 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rPr>
          <w:sz w:val="24"/>
          <w:szCs w:val="24"/>
        </w:rPr>
      </w:pPr>
      <w:r w:rsidRPr="008B5472">
        <w:rPr>
          <w:b/>
          <w:bCs/>
          <w:sz w:val="24"/>
          <w:szCs w:val="24"/>
        </w:rPr>
        <w:t>2.2.3. Predpoklady vývoja objemu aktivít: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0C1B74" w:rsidRPr="008B5472" w:rsidRDefault="000C1B74" w:rsidP="000C1B74">
      <w:pPr>
        <w:jc w:val="right"/>
      </w:pPr>
      <w:r w:rsidRPr="008B5472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27496" w:rsidRPr="008B5472" w:rsidTr="008F6C4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927496" w:rsidRPr="008B5472" w:rsidTr="008F6C4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927496" w:rsidRPr="008B5472" w:rsidTr="008F6C42">
        <w:trPr>
          <w:trHeight w:val="70"/>
        </w:trPr>
        <w:tc>
          <w:tcPr>
            <w:tcW w:w="4530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70"/>
        </w:trPr>
        <w:tc>
          <w:tcPr>
            <w:tcW w:w="4530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0C1B74" w:rsidRPr="008B5472" w:rsidTr="008F6C42">
        <w:trPr>
          <w:trHeight w:val="70"/>
        </w:trPr>
        <w:tc>
          <w:tcPr>
            <w:tcW w:w="4530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lastRenderedPageBreak/>
              <w:t>Indikátor XYZ</w:t>
            </w: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B74" w:rsidRPr="008B5472" w:rsidRDefault="000C1B74" w:rsidP="008F6C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rPr>
          <w:b/>
          <w:bCs/>
          <w:sz w:val="24"/>
          <w:szCs w:val="24"/>
        </w:rPr>
      </w:pPr>
      <w:r w:rsidRPr="008B5472">
        <w:rPr>
          <w:b/>
          <w:bCs/>
          <w:sz w:val="24"/>
          <w:szCs w:val="24"/>
        </w:rPr>
        <w:t>2.2.4. Výpočty vplyvov na verejné financie</w:t>
      </w:r>
    </w:p>
    <w:p w:rsidR="000C1B74" w:rsidRPr="008B5472" w:rsidRDefault="000C1B74" w:rsidP="000C1B74">
      <w:pPr>
        <w:rPr>
          <w:sz w:val="24"/>
          <w:szCs w:val="24"/>
        </w:rPr>
      </w:pPr>
    </w:p>
    <w:p w:rsidR="000C1B74" w:rsidRPr="008B5472" w:rsidRDefault="000C1B74" w:rsidP="000C1B74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C1B74" w:rsidRPr="008B5472" w:rsidRDefault="000C1B74" w:rsidP="000C1B74">
      <w:pPr>
        <w:jc w:val="both"/>
        <w:rPr>
          <w:sz w:val="24"/>
          <w:szCs w:val="24"/>
        </w:rPr>
      </w:pPr>
    </w:p>
    <w:p w:rsidR="000C1B74" w:rsidRPr="008B5472" w:rsidRDefault="000C1B74" w:rsidP="00793072">
      <w:pPr>
        <w:pStyle w:val="Odsekzoznamu"/>
        <w:numPr>
          <w:ilvl w:val="0"/>
          <w:numId w:val="18"/>
        </w:numPr>
        <w:jc w:val="both"/>
        <w:rPr>
          <w:bCs/>
          <w:sz w:val="24"/>
          <w:szCs w:val="24"/>
        </w:rPr>
      </w:pPr>
    </w:p>
    <w:p w:rsidR="000C1B74" w:rsidRPr="008B5472" w:rsidRDefault="00C42F48" w:rsidP="00793072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ŠÚ SR</w:t>
      </w:r>
      <w:r w:rsidR="000C1B74"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v </w:t>
      </w:r>
      <w:r w:rsidR="000C1B74"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rok</w:t>
      </w:r>
      <w:r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u</w:t>
      </w:r>
      <w:r w:rsidR="000C1B74" w:rsidRPr="008B54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2019</w:t>
      </w:r>
      <w:r w:rsidR="00793072" w:rsidRPr="008B54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súvislosti s úpravou RPO</w:t>
      </w:r>
    </w:p>
    <w:p w:rsidR="00E54513" w:rsidRPr="008B5472" w:rsidRDefault="00B947D6" w:rsidP="00E5451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>z pohľadu členenia výdavkov ide o výdavky na tovary a služby spojené s nevyhnutnými úpravami softvérového diela v hodnote  8 400 eur.</w:t>
      </w:r>
      <w:r w:rsidR="00050271" w:rsidRPr="008B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95" w:rsidRPr="008B5472" w:rsidRDefault="001C3395" w:rsidP="00E5451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72" w:rsidRPr="008B5472" w:rsidRDefault="00793072" w:rsidP="001C3395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72" w:rsidRPr="008B5472" w:rsidRDefault="00793072" w:rsidP="00E5451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72" w:rsidRPr="008B5472" w:rsidRDefault="00C42F48" w:rsidP="0058129C">
      <w:pPr>
        <w:ind w:firstLine="708"/>
        <w:jc w:val="both"/>
        <w:rPr>
          <w:sz w:val="24"/>
          <w:szCs w:val="24"/>
        </w:rPr>
      </w:pPr>
      <w:r w:rsidRPr="008B5472">
        <w:rPr>
          <w:sz w:val="24"/>
          <w:szCs w:val="24"/>
          <w:u w:val="single"/>
        </w:rPr>
        <w:t>MV SR</w:t>
      </w:r>
      <w:r w:rsidR="00304EB3" w:rsidRPr="008B5472">
        <w:rPr>
          <w:sz w:val="24"/>
          <w:szCs w:val="24"/>
        </w:rPr>
        <w:t xml:space="preserve"> v súvislosti  </w:t>
      </w:r>
      <w:r w:rsidR="0058129C" w:rsidRPr="008B5472">
        <w:rPr>
          <w:sz w:val="24"/>
          <w:szCs w:val="24"/>
        </w:rPr>
        <w:t xml:space="preserve">rozšírením technického riešenia existujúceho </w:t>
      </w:r>
      <w:r w:rsidR="00304EB3" w:rsidRPr="008B5472">
        <w:rPr>
          <w:sz w:val="24"/>
          <w:szCs w:val="24"/>
        </w:rPr>
        <w:t xml:space="preserve">  </w:t>
      </w:r>
      <w:r w:rsidR="0058129C" w:rsidRPr="008B5472">
        <w:rPr>
          <w:sz w:val="24"/>
          <w:szCs w:val="24"/>
        </w:rPr>
        <w:t>centrálneho elektronického systému</w:t>
      </w:r>
      <w:r w:rsidR="00B57662" w:rsidRPr="008B5472">
        <w:rPr>
          <w:sz w:val="24"/>
          <w:szCs w:val="24"/>
        </w:rPr>
        <w:t>:</w:t>
      </w:r>
      <w:r w:rsidR="00304EB3" w:rsidRPr="008B5472">
        <w:rPr>
          <w:sz w:val="24"/>
          <w:szCs w:val="24"/>
        </w:rPr>
        <w:t xml:space="preserve">     </w:t>
      </w:r>
    </w:p>
    <w:p w:rsidR="00B57662" w:rsidRPr="008B5472" w:rsidRDefault="00B57662" w:rsidP="0058129C">
      <w:pPr>
        <w:ind w:firstLine="708"/>
        <w:jc w:val="both"/>
        <w:rPr>
          <w:sz w:val="24"/>
          <w:szCs w:val="24"/>
        </w:rPr>
      </w:pPr>
    </w:p>
    <w:p w:rsidR="00B57662" w:rsidRPr="008B5472" w:rsidRDefault="00077931" w:rsidP="00B5766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>v</w:t>
      </w:r>
      <w:r w:rsidR="00B57662" w:rsidRPr="008B5472">
        <w:rPr>
          <w:rFonts w:ascii="Times New Roman" w:hAnsi="Times New Roman" w:cs="Times New Roman"/>
          <w:sz w:val="24"/>
          <w:szCs w:val="24"/>
        </w:rPr>
        <w:t> roku 20</w:t>
      </w:r>
      <w:r w:rsidR="00CF6DFA" w:rsidRPr="008B5472">
        <w:rPr>
          <w:rFonts w:ascii="Times New Roman" w:hAnsi="Times New Roman" w:cs="Times New Roman"/>
          <w:sz w:val="24"/>
          <w:szCs w:val="24"/>
        </w:rPr>
        <w:t>20</w:t>
      </w:r>
    </w:p>
    <w:p w:rsidR="00B57662" w:rsidRPr="008B5472" w:rsidRDefault="00B57662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rozšírenie existujúceho technického riešenia v zmysle požiadaviek V. AML Smernice (čl. 32a ods.  3) </w:t>
      </w:r>
      <w:r w:rsidR="00077931" w:rsidRPr="008B5472">
        <w:rPr>
          <w:sz w:val="24"/>
          <w:szCs w:val="24"/>
        </w:rPr>
        <w:t>predpokladá</w:t>
      </w:r>
      <w:r w:rsidRPr="008B5472">
        <w:rPr>
          <w:sz w:val="24"/>
          <w:szCs w:val="24"/>
        </w:rPr>
        <w:t xml:space="preserve"> náklady na vývoj a prevádzku technického riešenia, vrátane nákladov na implementáciu do vnútorného systému</w:t>
      </w:r>
      <w:r w:rsidRPr="008B5472">
        <w:rPr>
          <w:b/>
          <w:sz w:val="24"/>
          <w:szCs w:val="24"/>
        </w:rPr>
        <w:t xml:space="preserve"> </w:t>
      </w:r>
      <w:r w:rsidRPr="008B5472">
        <w:rPr>
          <w:sz w:val="24"/>
          <w:szCs w:val="24"/>
        </w:rPr>
        <w:t xml:space="preserve">- hrubý odhad </w:t>
      </w:r>
      <w:r w:rsidRPr="008B5472">
        <w:rPr>
          <w:sz w:val="24"/>
          <w:szCs w:val="24"/>
          <w:u w:val="single"/>
        </w:rPr>
        <w:t>celkových jednorazových  nákladov</w:t>
      </w:r>
      <w:r w:rsidRPr="008B5472">
        <w:rPr>
          <w:sz w:val="24"/>
          <w:szCs w:val="24"/>
        </w:rPr>
        <w:t xml:space="preserve"> predstavuje sumu </w:t>
      </w:r>
      <w:r w:rsidR="00310A93" w:rsidRPr="008B5472">
        <w:rPr>
          <w:b/>
          <w:sz w:val="24"/>
          <w:szCs w:val="24"/>
          <w:u w:val="single"/>
        </w:rPr>
        <w:t>499 5</w:t>
      </w:r>
      <w:r w:rsidRPr="008B5472">
        <w:rPr>
          <w:b/>
          <w:sz w:val="24"/>
          <w:szCs w:val="24"/>
          <w:u w:val="single"/>
        </w:rPr>
        <w:t>00 eur</w:t>
      </w:r>
      <w:r w:rsidR="0091033B" w:rsidRPr="008B5472">
        <w:rPr>
          <w:sz w:val="24"/>
          <w:szCs w:val="24"/>
        </w:rPr>
        <w:t xml:space="preserve"> z toho</w:t>
      </w:r>
      <w:r w:rsidRPr="008B5472">
        <w:rPr>
          <w:sz w:val="24"/>
          <w:szCs w:val="24"/>
        </w:rPr>
        <w:t xml:space="preserve"> :</w:t>
      </w:r>
    </w:p>
    <w:p w:rsidR="00B57662" w:rsidRPr="008B5472" w:rsidRDefault="00B57662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-  </w:t>
      </w:r>
      <w:r w:rsidRPr="008B5472">
        <w:rPr>
          <w:b/>
          <w:sz w:val="24"/>
          <w:szCs w:val="24"/>
        </w:rPr>
        <w:t>46</w:t>
      </w:r>
      <w:r w:rsidR="00310A93" w:rsidRPr="008B5472">
        <w:rPr>
          <w:b/>
          <w:sz w:val="24"/>
          <w:szCs w:val="24"/>
        </w:rPr>
        <w:t>3 5</w:t>
      </w:r>
      <w:r w:rsidRPr="008B5472">
        <w:rPr>
          <w:b/>
          <w:sz w:val="24"/>
          <w:szCs w:val="24"/>
        </w:rPr>
        <w:t xml:space="preserve">00 </w:t>
      </w:r>
      <w:r w:rsidR="00E25C46" w:rsidRPr="008B5472">
        <w:rPr>
          <w:b/>
          <w:sz w:val="24"/>
          <w:szCs w:val="24"/>
        </w:rPr>
        <w:t>eur</w:t>
      </w:r>
      <w:r w:rsidRPr="008B5472">
        <w:rPr>
          <w:sz w:val="24"/>
          <w:szCs w:val="24"/>
        </w:rPr>
        <w:t xml:space="preserve"> jednorazová úhrada  na zabezpečenie vývoja technického riešenia (analýza a implementácia zmien, IT riešenie, právna podpora, zmluvné zabezpečenie, licencie a</w:t>
      </w:r>
      <w:r w:rsidR="00CC242D" w:rsidRPr="008B5472">
        <w:rPr>
          <w:sz w:val="24"/>
          <w:szCs w:val="24"/>
        </w:rPr>
        <w:t> </w:t>
      </w:r>
      <w:r w:rsidRPr="008B5472">
        <w:rPr>
          <w:sz w:val="24"/>
          <w:szCs w:val="24"/>
        </w:rPr>
        <w:t>pod</w:t>
      </w:r>
      <w:r w:rsidR="00CC242D" w:rsidRPr="008B5472">
        <w:rPr>
          <w:sz w:val="24"/>
          <w:szCs w:val="24"/>
        </w:rPr>
        <w:t>.</w:t>
      </w:r>
    </w:p>
    <w:p w:rsidR="00CC242D" w:rsidRPr="008B5472" w:rsidRDefault="00CC242D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633 013 integrácia – </w:t>
      </w:r>
      <w:proofErr w:type="spellStart"/>
      <w:r w:rsidRPr="008B5472">
        <w:rPr>
          <w:sz w:val="24"/>
          <w:szCs w:val="24"/>
        </w:rPr>
        <w:t>customizácia</w:t>
      </w:r>
      <w:proofErr w:type="spellEnd"/>
      <w:r w:rsidRPr="008B5472">
        <w:rPr>
          <w:sz w:val="24"/>
          <w:szCs w:val="24"/>
        </w:rPr>
        <w:t xml:space="preserve"> 61 000 eur</w:t>
      </w:r>
      <w:r w:rsidR="00E25C46" w:rsidRPr="008B5472">
        <w:rPr>
          <w:sz w:val="24"/>
          <w:szCs w:val="24"/>
        </w:rPr>
        <w:t>,</w:t>
      </w:r>
    </w:p>
    <w:p w:rsidR="00CC242D" w:rsidRPr="008B5472" w:rsidRDefault="00CC242D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>633 013 vytvorenie osobitného kanálu 200 000 eur</w:t>
      </w:r>
      <w:r w:rsidR="00E25C46" w:rsidRPr="008B5472">
        <w:rPr>
          <w:sz w:val="24"/>
          <w:szCs w:val="24"/>
        </w:rPr>
        <w:t>,</w:t>
      </w:r>
    </w:p>
    <w:p w:rsidR="00CC242D" w:rsidRPr="008B5472" w:rsidRDefault="00CC242D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633 013 </w:t>
      </w:r>
      <w:proofErr w:type="spellStart"/>
      <w:r w:rsidRPr="008B5472">
        <w:rPr>
          <w:sz w:val="24"/>
          <w:szCs w:val="24"/>
        </w:rPr>
        <w:t>bezp</w:t>
      </w:r>
      <w:proofErr w:type="spellEnd"/>
      <w:r w:rsidRPr="008B5472">
        <w:rPr>
          <w:sz w:val="24"/>
          <w:szCs w:val="24"/>
        </w:rPr>
        <w:t>, dohľad 19 500 eur</w:t>
      </w:r>
      <w:r w:rsidR="00E25C46" w:rsidRPr="008B5472">
        <w:rPr>
          <w:sz w:val="24"/>
          <w:szCs w:val="24"/>
        </w:rPr>
        <w:t>,</w:t>
      </w:r>
    </w:p>
    <w:p w:rsidR="00CC242D" w:rsidRPr="008B5472" w:rsidRDefault="00CC242D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637 005 </w:t>
      </w:r>
      <w:proofErr w:type="spellStart"/>
      <w:r w:rsidR="00E25C46" w:rsidRPr="008B5472">
        <w:rPr>
          <w:sz w:val="24"/>
          <w:szCs w:val="24"/>
        </w:rPr>
        <w:t>help</w:t>
      </w:r>
      <w:proofErr w:type="spellEnd"/>
      <w:r w:rsidR="00E25C46" w:rsidRPr="008B5472">
        <w:rPr>
          <w:sz w:val="24"/>
          <w:szCs w:val="24"/>
        </w:rPr>
        <w:t xml:space="preserve"> </w:t>
      </w:r>
      <w:proofErr w:type="spellStart"/>
      <w:r w:rsidR="00E25C46" w:rsidRPr="008B5472">
        <w:rPr>
          <w:sz w:val="24"/>
          <w:szCs w:val="24"/>
        </w:rPr>
        <w:t>desk</w:t>
      </w:r>
      <w:proofErr w:type="spellEnd"/>
      <w:r w:rsidR="00E25C46" w:rsidRPr="008B5472">
        <w:rPr>
          <w:sz w:val="24"/>
          <w:szCs w:val="24"/>
        </w:rPr>
        <w:t>, podpora 50 000 eur,</w:t>
      </w:r>
    </w:p>
    <w:p w:rsidR="00E25C46" w:rsidRPr="008B5472" w:rsidRDefault="00E25C46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>637 005 vypracovanie dokumentu (právna a technická dokumentácia k p</w:t>
      </w:r>
      <w:r w:rsidR="00301394" w:rsidRPr="008B5472">
        <w:rPr>
          <w:sz w:val="24"/>
          <w:szCs w:val="24"/>
        </w:rPr>
        <w:t>r</w:t>
      </w:r>
      <w:r w:rsidRPr="008B5472">
        <w:rPr>
          <w:sz w:val="24"/>
          <w:szCs w:val="24"/>
        </w:rPr>
        <w:t>ojektu 50 000 eur,</w:t>
      </w:r>
    </w:p>
    <w:p w:rsidR="00E25C46" w:rsidRPr="008B5472" w:rsidRDefault="00E25C46" w:rsidP="00B57662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>711 004 licencia CNAV 83 000 eur,</w:t>
      </w:r>
    </w:p>
    <w:p w:rsidR="00E25C46" w:rsidRPr="008B5472" w:rsidRDefault="00E25C46" w:rsidP="00B57662">
      <w:pPr>
        <w:jc w:val="both"/>
        <w:rPr>
          <w:sz w:val="24"/>
          <w:szCs w:val="24"/>
        </w:rPr>
      </w:pPr>
    </w:p>
    <w:p w:rsidR="00E25C46" w:rsidRPr="008B5472" w:rsidRDefault="00B57662" w:rsidP="0091033B">
      <w:pPr>
        <w:jc w:val="both"/>
        <w:rPr>
          <w:sz w:val="24"/>
          <w:szCs w:val="24"/>
        </w:rPr>
      </w:pPr>
      <w:r w:rsidRPr="008B5472">
        <w:rPr>
          <w:sz w:val="24"/>
          <w:szCs w:val="24"/>
        </w:rPr>
        <w:t xml:space="preserve">- </w:t>
      </w:r>
      <w:r w:rsidR="00077931" w:rsidRPr="008B5472">
        <w:rPr>
          <w:sz w:val="24"/>
          <w:szCs w:val="24"/>
        </w:rPr>
        <w:t xml:space="preserve">  </w:t>
      </w:r>
      <w:r w:rsidRPr="008B5472">
        <w:rPr>
          <w:b/>
          <w:sz w:val="24"/>
          <w:szCs w:val="24"/>
        </w:rPr>
        <w:t xml:space="preserve">36 000 </w:t>
      </w:r>
      <w:r w:rsidR="00E25C46" w:rsidRPr="008B5472">
        <w:rPr>
          <w:b/>
          <w:sz w:val="24"/>
          <w:szCs w:val="24"/>
        </w:rPr>
        <w:t>eur</w:t>
      </w:r>
      <w:r w:rsidR="00E25C46" w:rsidRPr="008B5472">
        <w:rPr>
          <w:sz w:val="24"/>
          <w:szCs w:val="24"/>
        </w:rPr>
        <w:t xml:space="preserve"> poplatok</w:t>
      </w:r>
      <w:r w:rsidRPr="008B5472">
        <w:rPr>
          <w:sz w:val="24"/>
          <w:szCs w:val="24"/>
        </w:rPr>
        <w:t xml:space="preserve"> na pripojenie jedného uzla/ integrácia technického riešenia po uzol konkrétneho subjektu</w:t>
      </w:r>
      <w:r w:rsidR="00077931" w:rsidRPr="008B5472">
        <w:rPr>
          <w:sz w:val="24"/>
          <w:szCs w:val="24"/>
        </w:rPr>
        <w:t xml:space="preserve"> – </w:t>
      </w:r>
      <w:r w:rsidR="0091033B" w:rsidRPr="008B5472">
        <w:rPr>
          <w:sz w:val="24"/>
          <w:szCs w:val="24"/>
        </w:rPr>
        <w:t xml:space="preserve">MV </w:t>
      </w:r>
      <w:r w:rsidR="00077931" w:rsidRPr="008B5472">
        <w:rPr>
          <w:sz w:val="24"/>
          <w:szCs w:val="24"/>
        </w:rPr>
        <w:t>SR</w:t>
      </w:r>
      <w:r w:rsidR="0091033B" w:rsidRPr="008B5472">
        <w:rPr>
          <w:sz w:val="24"/>
          <w:szCs w:val="24"/>
        </w:rPr>
        <w:t>. P</w:t>
      </w:r>
      <w:r w:rsidRPr="008B5472">
        <w:rPr>
          <w:sz w:val="24"/>
          <w:szCs w:val="24"/>
        </w:rPr>
        <w:t>oplatok zahŕňa náklady na údržbu pripojenia (vrátane pevnej linky). Ide o údržbu komunikačnej a technickej infraštruktúry a zabezpečenie privátnej dátovej linky pot</w:t>
      </w:r>
      <w:r w:rsidR="00077931" w:rsidRPr="008B5472">
        <w:rPr>
          <w:sz w:val="24"/>
          <w:szCs w:val="24"/>
        </w:rPr>
        <w:t>rebnej pre pripojenie k</w:t>
      </w:r>
      <w:r w:rsidR="00E25C46" w:rsidRPr="008B5472">
        <w:rPr>
          <w:sz w:val="24"/>
          <w:szCs w:val="24"/>
        </w:rPr>
        <w:t> </w:t>
      </w:r>
      <w:r w:rsidR="00077931" w:rsidRPr="008B5472">
        <w:rPr>
          <w:sz w:val="24"/>
          <w:szCs w:val="24"/>
        </w:rPr>
        <w:t>systému</w:t>
      </w:r>
    </w:p>
    <w:p w:rsidR="00B57662" w:rsidRPr="008B5472" w:rsidRDefault="00E25C46" w:rsidP="00077931">
      <w:pPr>
        <w:rPr>
          <w:sz w:val="24"/>
          <w:szCs w:val="24"/>
        </w:rPr>
      </w:pPr>
      <w:r w:rsidRPr="008B5472">
        <w:rPr>
          <w:sz w:val="24"/>
          <w:szCs w:val="24"/>
        </w:rPr>
        <w:t xml:space="preserve">637 005 IT </w:t>
      </w:r>
      <w:proofErr w:type="spellStart"/>
      <w:r w:rsidRPr="008B5472">
        <w:rPr>
          <w:sz w:val="24"/>
          <w:szCs w:val="24"/>
        </w:rPr>
        <w:t>Suppor</w:t>
      </w:r>
      <w:proofErr w:type="spellEnd"/>
      <w:r w:rsidRPr="008B5472">
        <w:rPr>
          <w:sz w:val="24"/>
          <w:szCs w:val="24"/>
        </w:rPr>
        <w:t xml:space="preserve"> monitoring 31 200 eur,</w:t>
      </w:r>
    </w:p>
    <w:p w:rsidR="00E25C46" w:rsidRPr="008B5472" w:rsidRDefault="00E25C46" w:rsidP="00077931">
      <w:pPr>
        <w:rPr>
          <w:sz w:val="24"/>
          <w:szCs w:val="24"/>
        </w:rPr>
      </w:pPr>
      <w:r w:rsidRPr="008B5472">
        <w:rPr>
          <w:sz w:val="24"/>
          <w:szCs w:val="24"/>
        </w:rPr>
        <w:t>635 003 prenájom pevnej linky 4 800 eur;</w:t>
      </w:r>
    </w:p>
    <w:p w:rsidR="00077931" w:rsidRPr="008B5472" w:rsidRDefault="00077931" w:rsidP="00077931">
      <w:pPr>
        <w:rPr>
          <w:sz w:val="24"/>
          <w:szCs w:val="24"/>
        </w:rPr>
      </w:pPr>
    </w:p>
    <w:p w:rsidR="00077931" w:rsidRPr="008B5472" w:rsidRDefault="00077931" w:rsidP="00077931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>v rokoch 2021, 2022</w:t>
      </w:r>
    </w:p>
    <w:p w:rsidR="00077931" w:rsidRPr="008B5472" w:rsidRDefault="00077931" w:rsidP="00077931">
      <w:pPr>
        <w:pStyle w:val="Odsekzoznamu"/>
        <w:ind w:left="1428"/>
        <w:rPr>
          <w:rFonts w:ascii="Times New Roman" w:hAnsi="Times New Roman" w:cs="Times New Roman"/>
          <w:sz w:val="24"/>
          <w:szCs w:val="24"/>
        </w:rPr>
      </w:pPr>
    </w:p>
    <w:p w:rsidR="00077931" w:rsidRPr="008B5472" w:rsidRDefault="00077931" w:rsidP="00077931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 xml:space="preserve">v každom  uvedených rokov identicky úhrad nákladov v celkovej výške </w:t>
      </w:r>
      <w:r w:rsidRPr="008B5472">
        <w:rPr>
          <w:rFonts w:ascii="Times New Roman" w:hAnsi="Times New Roman" w:cs="Times New Roman"/>
          <w:b/>
          <w:sz w:val="24"/>
          <w:szCs w:val="24"/>
          <w:u w:val="single"/>
        </w:rPr>
        <w:t>86 000 eur</w:t>
      </w:r>
      <w:r w:rsidRPr="008B54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931" w:rsidRPr="008B5472" w:rsidRDefault="00077931" w:rsidP="00077931">
      <w:pPr>
        <w:pStyle w:val="Odsekzoznamu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>ročný poplatok – prevádzkové náklady 36 000 eur,</w:t>
      </w:r>
    </w:p>
    <w:p w:rsidR="00077931" w:rsidRPr="008B5472" w:rsidRDefault="00077931" w:rsidP="00557F4A">
      <w:pPr>
        <w:pStyle w:val="Odsekzoznamu"/>
        <w:numPr>
          <w:ilvl w:val="0"/>
          <w:numId w:val="4"/>
        </w:numPr>
        <w:ind w:left="426"/>
        <w:rPr>
          <w:sz w:val="24"/>
          <w:szCs w:val="24"/>
        </w:rPr>
      </w:pPr>
      <w:r w:rsidRPr="008B5472">
        <w:rPr>
          <w:rFonts w:ascii="Times New Roman" w:hAnsi="Times New Roman" w:cs="Times New Roman"/>
          <w:sz w:val="24"/>
          <w:szCs w:val="24"/>
        </w:rPr>
        <w:t>r</w:t>
      </w:r>
      <w:r w:rsidRPr="008B5472">
        <w:rPr>
          <w:rFonts w:ascii="Times New Roman" w:hAnsi="Times New Roman" w:cs="Times New Roman"/>
          <w:bCs/>
          <w:sz w:val="24"/>
          <w:szCs w:val="24"/>
        </w:rPr>
        <w:t xml:space="preserve">očný poplatok </w:t>
      </w:r>
      <w:r w:rsidRPr="008B5472">
        <w:rPr>
          <w:rFonts w:ascii="Times New Roman" w:hAnsi="Times New Roman" w:cs="Times New Roman"/>
          <w:sz w:val="24"/>
          <w:szCs w:val="24"/>
        </w:rPr>
        <w:t>50 000</w:t>
      </w:r>
      <w:r w:rsidRPr="008B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72">
        <w:rPr>
          <w:rFonts w:ascii="Times New Roman" w:hAnsi="Times New Roman" w:cs="Times New Roman"/>
          <w:bCs/>
          <w:sz w:val="24"/>
          <w:szCs w:val="24"/>
        </w:rPr>
        <w:t>eur za IT podporu a </w:t>
      </w:r>
      <w:proofErr w:type="spellStart"/>
      <w:r w:rsidRPr="008B5472"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 w:rsidRPr="008B5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5472">
        <w:rPr>
          <w:rFonts w:ascii="Times New Roman" w:hAnsi="Times New Roman" w:cs="Times New Roman"/>
          <w:bCs/>
          <w:sz w:val="24"/>
          <w:szCs w:val="24"/>
        </w:rPr>
        <w:t>desk</w:t>
      </w:r>
      <w:proofErr w:type="spellEnd"/>
      <w:r w:rsidR="00301394" w:rsidRPr="008B547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7931" w:rsidRPr="008B5472" w:rsidRDefault="00077931" w:rsidP="00077931">
      <w:pPr>
        <w:rPr>
          <w:sz w:val="24"/>
          <w:szCs w:val="24"/>
        </w:rPr>
        <w:sectPr w:rsidR="00077931" w:rsidRPr="008B5472" w:rsidSect="00050271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0271" w:rsidRPr="008B5472" w:rsidRDefault="00050271" w:rsidP="00E54513">
      <w:pPr>
        <w:pStyle w:val="Odsekzoznamu"/>
        <w:spacing w:after="0" w:line="240" w:lineRule="auto"/>
        <w:jc w:val="both"/>
        <w:rPr>
          <w:bCs/>
          <w:sz w:val="24"/>
          <w:szCs w:val="24"/>
        </w:rPr>
      </w:pPr>
    </w:p>
    <w:p w:rsidR="00050271" w:rsidRPr="008B5472" w:rsidRDefault="00050271" w:rsidP="00050271">
      <w:pPr>
        <w:rPr>
          <w:sz w:val="24"/>
          <w:szCs w:val="24"/>
        </w:rPr>
      </w:pPr>
    </w:p>
    <w:p w:rsidR="000C1B74" w:rsidRPr="008B5472" w:rsidRDefault="00050271" w:rsidP="00050271">
      <w:pPr>
        <w:tabs>
          <w:tab w:val="left" w:pos="1590"/>
        </w:tabs>
        <w:spacing w:after="200" w:line="276" w:lineRule="auto"/>
        <w:rPr>
          <w:bCs/>
          <w:sz w:val="24"/>
          <w:szCs w:val="24"/>
        </w:rPr>
      </w:pPr>
      <w:r w:rsidRPr="008B5472">
        <w:rPr>
          <w:sz w:val="24"/>
          <w:szCs w:val="24"/>
        </w:rPr>
        <w:tab/>
        <w:t>T</w:t>
      </w:r>
      <w:r w:rsidRPr="008B5472">
        <w:rPr>
          <w:bCs/>
          <w:sz w:val="24"/>
          <w:szCs w:val="24"/>
        </w:rPr>
        <w:t>a</w:t>
      </w:r>
      <w:r w:rsidR="000C1B74" w:rsidRPr="008B5472">
        <w:rPr>
          <w:bCs/>
          <w:sz w:val="24"/>
          <w:szCs w:val="24"/>
        </w:rPr>
        <w:t xml:space="preserve">buľka č. 4 </w:t>
      </w:r>
    </w:p>
    <w:p w:rsidR="000C1B74" w:rsidRPr="008B5472" w:rsidRDefault="000C1B74" w:rsidP="000C1B74">
      <w:pPr>
        <w:framePr w:hSpace="141" w:wrap="around" w:vAnchor="text" w:hAnchor="page" w:x="629" w:y="2"/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27496" w:rsidRPr="008B5472" w:rsidTr="008F6C4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 xml:space="preserve">Výdavky (v eurách) </w:t>
            </w:r>
            <w:r w:rsidRPr="008B5472">
              <w:rPr>
                <w:b/>
                <w:bCs/>
                <w:u w:val="single"/>
              </w:rPr>
              <w:t>ŠÚ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927496" w:rsidRPr="008B5472" w:rsidTr="008F6C4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B74" w:rsidRPr="008B5472" w:rsidRDefault="000C1B74" w:rsidP="008F6C42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74" w:rsidRPr="008B5472" w:rsidRDefault="000C1B74" w:rsidP="008F6C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8 400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r w:rsidRPr="008B5472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vertAlign w:val="superscript"/>
              </w:rPr>
            </w:pPr>
            <w:r w:rsidRPr="008B5472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vertAlign w:val="superscript"/>
              </w:rPr>
            </w:pPr>
            <w:r w:rsidRPr="008B5472">
              <w:t xml:space="preserve">  Tovary a služby (630)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  <w:r w:rsidRPr="008B5472">
              <w:t>8 400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746323" w:rsidP="008F6C42">
            <w:pPr>
              <w:jc w:val="center"/>
            </w:pPr>
            <w:r w:rsidRPr="008B547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746323" w:rsidP="008F6C42">
            <w:pPr>
              <w:jc w:val="center"/>
            </w:pPr>
            <w:r w:rsidRPr="008B547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746323" w:rsidP="008F6C42">
            <w:pPr>
              <w:jc w:val="center"/>
            </w:pPr>
            <w:r w:rsidRPr="008B5472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r w:rsidRPr="008B5472">
              <w:t xml:space="preserve">  Bežné transfery (640)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74" w:rsidRPr="008B5472" w:rsidRDefault="000C1B74" w:rsidP="008F6C42">
            <w:r w:rsidRPr="008B5472">
              <w:t xml:space="preserve">  Splácanie úrokov a ostatné platby súvisiace s  úverom, pôžičkou, návratnou finančnou výpomocou a finančným prenájmom (650)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r w:rsidRPr="008B5472">
              <w:t xml:space="preserve">  Obstarávanie kapitálových aktív (710)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r w:rsidRPr="008B5472">
              <w:t xml:space="preserve">  Kapitálové transfery (720)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4" w:rsidRPr="008B5472" w:rsidRDefault="000C1B74" w:rsidP="008F6C42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8F6C4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8 400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</w:tbl>
    <w:p w:rsidR="00EB6084" w:rsidRPr="008B5472" w:rsidRDefault="00EB6084" w:rsidP="00EB6084">
      <w:pPr>
        <w:tabs>
          <w:tab w:val="num" w:pos="1080"/>
        </w:tabs>
        <w:ind w:left="-900"/>
        <w:jc w:val="both"/>
        <w:rPr>
          <w:bCs/>
        </w:rPr>
      </w:pPr>
      <w:r w:rsidRPr="008B5472">
        <w:rPr>
          <w:bCs/>
        </w:rPr>
        <w:t>2 –  výdavky rozpísať až do položiek platnej ekonomickej klasifikácie</w:t>
      </w:r>
    </w:p>
    <w:p w:rsidR="00EB6084" w:rsidRPr="008B5472" w:rsidRDefault="00EB6084" w:rsidP="00EB6084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EB6084" w:rsidRPr="008B5472" w:rsidRDefault="00EB6084" w:rsidP="00EB6084">
      <w:pPr>
        <w:tabs>
          <w:tab w:val="num" w:pos="1080"/>
        </w:tabs>
        <w:ind w:left="-900"/>
        <w:jc w:val="both"/>
        <w:rPr>
          <w:b/>
          <w:bCs/>
        </w:rPr>
      </w:pPr>
      <w:r w:rsidRPr="008B5472">
        <w:rPr>
          <w:b/>
          <w:bCs/>
          <w:sz w:val="24"/>
        </w:rPr>
        <w:t>Poznámka:</w:t>
      </w:r>
    </w:p>
    <w:p w:rsidR="00EB6084" w:rsidRPr="008B5472" w:rsidRDefault="00EB6084" w:rsidP="00EB6084">
      <w:pPr>
        <w:tabs>
          <w:tab w:val="num" w:pos="1080"/>
        </w:tabs>
        <w:ind w:left="-900"/>
        <w:jc w:val="both"/>
        <w:rPr>
          <w:bCs/>
        </w:rPr>
      </w:pPr>
      <w:r w:rsidRPr="008B5472">
        <w:rPr>
          <w:bCs/>
          <w:sz w:val="24"/>
        </w:rPr>
        <w:t>Ak sa vplyv týka viacerých subjektov verejnej správy, vypĺňa sa samostatná tabuľka za každý subjekt.</w:t>
      </w:r>
    </w:p>
    <w:p w:rsidR="000C1B74" w:rsidRPr="008B5472" w:rsidRDefault="000C1B74" w:rsidP="00EB6084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0C1B74" w:rsidRPr="008B5472" w:rsidRDefault="000C1B74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0C1B74" w:rsidRPr="008B5472" w:rsidRDefault="000C1B74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CC242D" w:rsidRPr="008B5472" w:rsidRDefault="00CC242D" w:rsidP="00CC242D">
      <w:pPr>
        <w:pStyle w:val="Odsekzoznamu"/>
        <w:spacing w:after="0" w:line="240" w:lineRule="auto"/>
        <w:jc w:val="both"/>
        <w:rPr>
          <w:bCs/>
          <w:sz w:val="24"/>
          <w:szCs w:val="24"/>
        </w:rPr>
      </w:pPr>
    </w:p>
    <w:p w:rsidR="00CC242D" w:rsidRPr="008B5472" w:rsidRDefault="00CC242D" w:rsidP="00CC242D">
      <w:pPr>
        <w:rPr>
          <w:sz w:val="24"/>
          <w:szCs w:val="24"/>
        </w:rPr>
      </w:pPr>
    </w:p>
    <w:p w:rsidR="00CC242D" w:rsidRPr="008B5472" w:rsidRDefault="00CC242D" w:rsidP="00CC242D">
      <w:pPr>
        <w:tabs>
          <w:tab w:val="left" w:pos="1590"/>
        </w:tabs>
        <w:spacing w:after="200" w:line="276" w:lineRule="auto"/>
        <w:rPr>
          <w:bCs/>
          <w:sz w:val="24"/>
          <w:szCs w:val="24"/>
        </w:rPr>
      </w:pPr>
      <w:r w:rsidRPr="008B5472">
        <w:rPr>
          <w:sz w:val="24"/>
          <w:szCs w:val="24"/>
        </w:rPr>
        <w:tab/>
        <w:t>T</w:t>
      </w:r>
      <w:r w:rsidRPr="008B5472">
        <w:rPr>
          <w:bCs/>
          <w:sz w:val="24"/>
          <w:szCs w:val="24"/>
        </w:rPr>
        <w:t xml:space="preserve">abuľka č. 4 </w:t>
      </w:r>
    </w:p>
    <w:p w:rsidR="00CC242D" w:rsidRPr="008B5472" w:rsidRDefault="00CC242D" w:rsidP="00CC242D">
      <w:pPr>
        <w:framePr w:hSpace="141" w:wrap="around" w:vAnchor="text" w:hAnchor="page" w:x="629" w:y="2"/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27496" w:rsidRPr="008B5472" w:rsidTr="00557F4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42D" w:rsidRPr="008B5472" w:rsidRDefault="00CC242D" w:rsidP="00CC242D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 xml:space="preserve">Výdavky (v eurách) </w:t>
            </w:r>
            <w:r w:rsidRPr="008B5472">
              <w:rPr>
                <w:b/>
                <w:bCs/>
                <w:u w:val="single"/>
              </w:rPr>
              <w:t>MV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2D" w:rsidRPr="008B5472" w:rsidRDefault="00CC242D" w:rsidP="00557F4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C242D" w:rsidRPr="008B5472" w:rsidRDefault="00CC242D" w:rsidP="00557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927496" w:rsidRPr="008B5472" w:rsidTr="00557F4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2D" w:rsidRPr="008B5472" w:rsidRDefault="00CC242D" w:rsidP="00557F4A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2D" w:rsidRPr="008B5472" w:rsidRDefault="00CC242D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</w:t>
            </w:r>
            <w:r w:rsidR="00CF6DFA" w:rsidRPr="008B5472">
              <w:rPr>
                <w:b/>
                <w:bCs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2D" w:rsidRPr="008B5472" w:rsidRDefault="00CC242D" w:rsidP="00557F4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2D" w:rsidRPr="008B5472" w:rsidRDefault="00CC242D" w:rsidP="00557F4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42D" w:rsidRPr="008B5472" w:rsidRDefault="00CC242D" w:rsidP="00557F4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8B5472" w:rsidRDefault="00CC242D" w:rsidP="00557F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416 500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</w:rPr>
              <w:t>86 000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</w:rPr>
              <w:t>86 000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r w:rsidRPr="008B5472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rPr>
                <w:vertAlign w:val="superscript"/>
              </w:rPr>
            </w:pPr>
            <w:r w:rsidRPr="008B5472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r w:rsidRPr="008B5472">
              <w:t xml:space="preserve">  Tovary a služby (630)</w:t>
            </w:r>
            <w:r w:rsidRPr="008B5472">
              <w:rPr>
                <w:vertAlign w:val="superscript"/>
              </w:rPr>
              <w:t>2</w:t>
            </w:r>
            <w:r w:rsidRPr="008B5472">
              <w:t xml:space="preserve"> 633013, 635 003, 637 005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  <w:r w:rsidRPr="008B547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  <w:r w:rsidRPr="008B5472">
              <w:t>416 500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  <w:r w:rsidRPr="008B5472">
              <w:t>86 000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  <w:r w:rsidRPr="008B5472">
              <w:t>86 000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r w:rsidRPr="008B5472">
              <w:t xml:space="preserve">  Bežné transfery (640)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FA" w:rsidRPr="008B5472" w:rsidRDefault="00CF6DFA" w:rsidP="00CF6DFA">
            <w:r w:rsidRPr="008B5472">
              <w:t xml:space="preserve">  Splácanie úrokov a ostatné platby súvisiace s  úverom, pôžičkou, návratnou finančnou výpomocou a finančným prenájmom (650)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026762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83 0</w:t>
            </w:r>
            <w:r w:rsidR="00CF6DFA" w:rsidRPr="008B5472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r w:rsidRPr="008B5472">
              <w:t xml:space="preserve">  Obstarávanie kapitálových aktív (710)</w:t>
            </w:r>
            <w:r w:rsidRPr="008B5472">
              <w:rPr>
                <w:vertAlign w:val="superscript"/>
              </w:rPr>
              <w:t>2 </w:t>
            </w:r>
            <w:r w:rsidRPr="008B5472">
              <w:t>711 004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  <w:r w:rsidRPr="008B547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026762" w:rsidP="00CF6DFA">
            <w:pPr>
              <w:jc w:val="center"/>
            </w:pPr>
            <w:r w:rsidRPr="008B5472">
              <w:t>83 0</w:t>
            </w:r>
            <w:r w:rsidR="00CF6DFA" w:rsidRPr="008B5472"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746323" w:rsidP="00CF6DFA">
            <w:pPr>
              <w:jc w:val="center"/>
            </w:pPr>
            <w:r w:rsidRPr="008B547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746323" w:rsidP="00CF6DFA">
            <w:pPr>
              <w:jc w:val="center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r w:rsidRPr="008B5472">
              <w:t xml:space="preserve">  Kapitálové transfery (720)</w:t>
            </w:r>
            <w:r w:rsidRPr="008B5472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A" w:rsidRPr="008B5472" w:rsidRDefault="00CF6DFA" w:rsidP="00CF6DFA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6DFA" w:rsidRPr="008B5472" w:rsidRDefault="00CF6DFA" w:rsidP="00CF6DFA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  <w:tr w:rsidR="00927496" w:rsidRPr="008B5472" w:rsidTr="00557F4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DFA" w:rsidRPr="008B5472" w:rsidRDefault="00CF6DFA" w:rsidP="00CF6DFA">
            <w:pPr>
              <w:rPr>
                <w:b/>
                <w:bCs/>
              </w:rPr>
            </w:pPr>
            <w:r w:rsidRPr="008B5472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DFA" w:rsidRPr="008B5472" w:rsidRDefault="00026762" w:rsidP="00026762">
            <w:pPr>
              <w:jc w:val="center"/>
              <w:rPr>
                <w:b/>
                <w:bCs/>
              </w:rPr>
            </w:pPr>
            <w:r w:rsidRPr="008B5472">
              <w:rPr>
                <w:b/>
                <w:bCs/>
              </w:rPr>
              <w:t>499</w:t>
            </w:r>
            <w:r w:rsidR="00CF6DFA" w:rsidRPr="008B5472">
              <w:rPr>
                <w:b/>
                <w:bCs/>
              </w:rPr>
              <w:t xml:space="preserve">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DFA" w:rsidRPr="008B5472" w:rsidRDefault="00CF6DFA" w:rsidP="00CF6DFA">
            <w:pPr>
              <w:jc w:val="center"/>
              <w:rPr>
                <w:b/>
                <w:bCs/>
              </w:rPr>
            </w:pPr>
            <w:r w:rsidRPr="008B5472">
              <w:rPr>
                <w:b/>
              </w:rPr>
              <w:t>86 000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DFA" w:rsidRPr="008B5472" w:rsidRDefault="00CF6DFA" w:rsidP="00CF6DFA">
            <w:pPr>
              <w:jc w:val="center"/>
              <w:rPr>
                <w:b/>
                <w:bCs/>
                <w:sz w:val="24"/>
                <w:szCs w:val="24"/>
              </w:rPr>
            </w:pPr>
            <w:r w:rsidRPr="008B5472">
              <w:rPr>
                <w:b/>
              </w:rPr>
              <w:t>86 000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F6DFA" w:rsidRPr="008B5472" w:rsidRDefault="00CF6DFA" w:rsidP="00CF6DFA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 </w:t>
            </w:r>
          </w:p>
        </w:tc>
      </w:tr>
    </w:tbl>
    <w:p w:rsidR="00CC242D" w:rsidRPr="008B5472" w:rsidRDefault="00CC242D" w:rsidP="00CC242D">
      <w:pPr>
        <w:tabs>
          <w:tab w:val="num" w:pos="1080"/>
        </w:tabs>
        <w:ind w:left="-900"/>
        <w:jc w:val="both"/>
        <w:rPr>
          <w:bCs/>
        </w:rPr>
      </w:pPr>
      <w:r w:rsidRPr="008B5472">
        <w:rPr>
          <w:bCs/>
        </w:rPr>
        <w:t>2 –  výdavky rozpísať až do položiek platnej ekonomickej klasifikácie</w:t>
      </w:r>
    </w:p>
    <w:p w:rsidR="00CC242D" w:rsidRPr="008B5472" w:rsidRDefault="00CC242D" w:rsidP="00CC242D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CC242D" w:rsidRPr="008B5472" w:rsidRDefault="00CC242D" w:rsidP="00CC242D">
      <w:pPr>
        <w:tabs>
          <w:tab w:val="num" w:pos="1080"/>
        </w:tabs>
        <w:ind w:left="-900"/>
        <w:jc w:val="both"/>
        <w:rPr>
          <w:b/>
          <w:bCs/>
        </w:rPr>
      </w:pPr>
      <w:r w:rsidRPr="008B5472">
        <w:rPr>
          <w:b/>
          <w:bCs/>
          <w:sz w:val="24"/>
        </w:rPr>
        <w:t>Poznámka:</w:t>
      </w:r>
    </w:p>
    <w:p w:rsidR="00CC242D" w:rsidRPr="008B5472" w:rsidRDefault="00CC242D" w:rsidP="00CC242D">
      <w:pPr>
        <w:tabs>
          <w:tab w:val="num" w:pos="1080"/>
        </w:tabs>
        <w:ind w:left="-900"/>
        <w:jc w:val="both"/>
        <w:rPr>
          <w:bCs/>
        </w:rPr>
      </w:pPr>
      <w:r w:rsidRPr="008B5472">
        <w:rPr>
          <w:bCs/>
          <w:sz w:val="24"/>
        </w:rPr>
        <w:t>Ak sa vplyv týka viacerých subjektov verejnej správy, vypĺňa sa samostatná tabuľka za každý subjekt.</w:t>
      </w:r>
    </w:p>
    <w:p w:rsidR="00CC242D" w:rsidRPr="008B5472" w:rsidRDefault="00CC242D" w:rsidP="000C1B74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E54513" w:rsidRPr="008B5472" w:rsidRDefault="00E54513">
      <w:pPr>
        <w:spacing w:after="200" w:line="276" w:lineRule="auto"/>
        <w:rPr>
          <w:bCs/>
          <w:sz w:val="24"/>
          <w:szCs w:val="24"/>
        </w:rPr>
        <w:sectPr w:rsidR="00E54513" w:rsidRPr="008B5472" w:rsidSect="00E545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0271" w:rsidRPr="008B5472" w:rsidRDefault="00050271" w:rsidP="000C1B74">
      <w:pPr>
        <w:jc w:val="center"/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496" w:rsidRPr="008B5472" w:rsidTr="008F6C4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jc w:val="center"/>
              <w:rPr>
                <w:b/>
                <w:sz w:val="24"/>
              </w:rPr>
            </w:pPr>
            <w:r w:rsidRPr="008B5472">
              <w:rPr>
                <w:b/>
                <w:sz w:val="28"/>
              </w:rPr>
              <w:t xml:space="preserve">Analýza vplyvov na podnikateľské prostredie </w:t>
            </w:r>
          </w:p>
          <w:p w:rsidR="000C1B74" w:rsidRPr="008B5472" w:rsidRDefault="000C1B74" w:rsidP="008F6C42">
            <w:pPr>
              <w:jc w:val="center"/>
              <w:rPr>
                <w:b/>
              </w:rPr>
            </w:pPr>
            <w:r w:rsidRPr="008B5472">
              <w:rPr>
                <w:b/>
                <w:sz w:val="24"/>
              </w:rPr>
              <w:t>(vrátane testu MSP)</w:t>
            </w:r>
          </w:p>
        </w:tc>
      </w:tr>
      <w:tr w:rsidR="00927496" w:rsidRPr="008B5472" w:rsidTr="008F6C4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27496" w:rsidRPr="008B5472" w:rsidTr="008F6C42">
        <w:trPr>
          <w:trHeight w:val="567"/>
        </w:trPr>
        <w:tc>
          <w:tcPr>
            <w:tcW w:w="9212" w:type="dxa"/>
          </w:tcPr>
          <w:tbl>
            <w:tblPr>
              <w:tblStyle w:val="Mriekatabuky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7496" w:rsidRPr="008B5472" w:rsidTr="008F6C4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pPr>
                    <w:jc w:val="center"/>
                  </w:pPr>
                  <w:r w:rsidRPr="008B5472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pPr>
                    <w:rPr>
                      <w:b/>
                    </w:rPr>
                  </w:pPr>
                  <w:r w:rsidRPr="008B5472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27496" w:rsidRPr="008B5472" w:rsidTr="008F6C4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pPr>
                    <w:jc w:val="center"/>
                  </w:pPr>
                  <w:r w:rsidRPr="008B5472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pPr>
                    <w:rPr>
                      <w:b/>
                    </w:rPr>
                  </w:pPr>
                  <w:r w:rsidRPr="008B5472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27496" w:rsidRPr="008B5472" w:rsidTr="008F6C42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pPr>
                    <w:jc w:val="center"/>
                  </w:pPr>
                  <w:r w:rsidRPr="008B5472">
                    <w:rPr>
                      <w:rFonts w:ascii="MS Mincho" w:eastAsia="MS Mincho" w:hAnsi="MS Mincho" w:cs="MS Mincho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74" w:rsidRPr="008B5472" w:rsidRDefault="000C1B74" w:rsidP="008F6C42">
                  <w:r w:rsidRPr="008B5472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0C1B74" w:rsidRPr="008B5472" w:rsidRDefault="000C1B74" w:rsidP="008F6C42">
            <w:pPr>
              <w:rPr>
                <w:b/>
              </w:rPr>
            </w:pPr>
          </w:p>
        </w:tc>
      </w:tr>
      <w:tr w:rsidR="00927496" w:rsidRPr="008B5472" w:rsidTr="008F6C42"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t>3.1 Dotknuté podnikateľské subjekty</w:t>
            </w:r>
          </w:p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sz w:val="24"/>
              </w:rPr>
              <w:t xml:space="preserve"> - </w:t>
            </w:r>
            <w:r w:rsidRPr="008B5472">
              <w:rPr>
                <w:b/>
                <w:sz w:val="24"/>
              </w:rPr>
              <w:t>z toho MSP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Uveďte, aké podnikateľské subjekty budú predkladaným návrhom ovplyvnené.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Aký je ich počet?</w:t>
            </w:r>
          </w:p>
        </w:tc>
      </w:tr>
      <w:tr w:rsidR="00927496" w:rsidRPr="008B5472" w:rsidTr="008F6C42">
        <w:trPr>
          <w:trHeight w:val="1440"/>
        </w:trPr>
        <w:tc>
          <w:tcPr>
            <w:tcW w:w="9212" w:type="dxa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- povinné osoby podľa § 5 zákona č. 297/2008 Z. z., </w:t>
            </w:r>
          </w:p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právnické osoby okrem orgánov verejnej správy a účelové združenia majetku bez právnej subjektivity v súvislosti s identifikáciou a aktualizáciou identifikačných údajov konečného užívateľa výhod,</w:t>
            </w:r>
          </w:p>
          <w:p w:rsidR="000C1B74" w:rsidRPr="008B5472" w:rsidRDefault="00C83276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- banky a iné úverové inštitúcie vrátane pobočiek a platobné inštitúcie vrátane pobočiek, ktoré vedú účty identifikované číslom IBAN (aktuálne je to 23 bánk a 1 platobná inštitúcia</w:t>
            </w:r>
            <w:r w:rsidRPr="008B5472">
              <w:t>).</w:t>
            </w:r>
          </w:p>
        </w:tc>
      </w:tr>
      <w:tr w:rsidR="00927496" w:rsidRPr="008B5472" w:rsidTr="008F6C42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t>3.2 Vyhodnotenie konzultácií</w:t>
            </w:r>
          </w:p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sz w:val="24"/>
              </w:rPr>
              <w:t xml:space="preserve">       - </w:t>
            </w:r>
            <w:r w:rsidRPr="008B5472">
              <w:rPr>
                <w:b/>
                <w:sz w:val="24"/>
              </w:rPr>
              <w:t>z toho MSP</w:t>
            </w:r>
          </w:p>
        </w:tc>
      </w:tr>
      <w:tr w:rsidR="00927496" w:rsidRPr="008B5472" w:rsidTr="008F6C42">
        <w:trPr>
          <w:trHeight w:val="557"/>
        </w:trPr>
        <w:tc>
          <w:tcPr>
            <w:tcW w:w="9212" w:type="dxa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Uveďte, akou formou (verejné alebo cielené konzultácie a prečo) a s kým bol návrh konzultovaný.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Ako dlho trvali konzultácie?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 xml:space="preserve">Uveďte hlavné body konzultácií a výsledky konzultácií. </w:t>
            </w:r>
          </w:p>
        </w:tc>
      </w:tr>
      <w:tr w:rsidR="00927496" w:rsidRPr="008B5472" w:rsidTr="008F6C42">
        <w:trPr>
          <w:trHeight w:val="1440"/>
        </w:trPr>
        <w:tc>
          <w:tcPr>
            <w:tcW w:w="9212" w:type="dxa"/>
          </w:tcPr>
          <w:p w:rsidR="000C1B74" w:rsidRPr="008B5472" w:rsidRDefault="000C1B74" w:rsidP="008F6C42">
            <w:pPr>
              <w:rPr>
                <w:b/>
                <w:i/>
              </w:rPr>
            </w:pPr>
            <w:r w:rsidRPr="008B5472">
              <w:rPr>
                <w:b/>
                <w:i/>
              </w:rPr>
              <w:t>Hlavné body</w:t>
            </w:r>
            <w:r w:rsidRPr="008B5472">
              <w:rPr>
                <w:i/>
              </w:rPr>
              <w:t xml:space="preserve"> </w:t>
            </w:r>
            <w:r w:rsidRPr="008B5472">
              <w:rPr>
                <w:b/>
                <w:i/>
              </w:rPr>
              <w:t>Konzultácie s podnikateľskými subjektmi k novele zákona č. 297/2008 Z</w:t>
            </w:r>
            <w:r w:rsidRPr="008B5472">
              <w:rPr>
                <w:b/>
              </w:rPr>
              <w:t xml:space="preserve">. </w:t>
            </w:r>
            <w:r w:rsidRPr="008B5472">
              <w:rPr>
                <w:b/>
                <w:i/>
              </w:rPr>
              <w:t>z</w:t>
            </w:r>
            <w:r w:rsidRPr="008B5472">
              <w:rPr>
                <w:b/>
              </w:rPr>
              <w:t>.</w:t>
            </w:r>
            <w:r w:rsidRPr="008B5472">
              <w:rPr>
                <w:b/>
                <w:i/>
              </w:rPr>
              <w:t xml:space="preserve"> o ochrane pred legalizáciou príjmov z trestnej činnosti a o ochrane pred financovaním terorizmu a o zmene a doplnení niektorých zákonov v znení neskorších predpisov</w:t>
            </w:r>
          </w:p>
          <w:p w:rsidR="000C1B74" w:rsidRPr="008B5472" w:rsidRDefault="000C1B74" w:rsidP="008F6C42">
            <w:pPr>
              <w:pStyle w:val="Normlnywebov"/>
              <w:jc w:val="both"/>
            </w:pPr>
            <w:r w:rsidRPr="008B5472">
              <w:t xml:space="preserve">Problematika týkajúca sa predkladaného návrhu bola konzultovaná so zástupcami profesijných združení a to </w:t>
            </w:r>
            <w:r w:rsidR="00746323" w:rsidRPr="008B5472">
              <w:t>SBA</w:t>
            </w:r>
            <w:r w:rsidRPr="008B5472">
              <w:t xml:space="preserve">. Verejnosť bola o príprave návrhu informovaná prostredníctvom predbežnej informácie v informačnom systéme verejnej správy </w:t>
            </w:r>
            <w:proofErr w:type="spellStart"/>
            <w:r w:rsidRPr="008B5472">
              <w:t>Slov-Lex</w:t>
            </w:r>
            <w:proofErr w:type="spellEnd"/>
            <w:r w:rsidRPr="008B5472">
              <w:t xml:space="preserve"> (PI/2019/14). Lehota na vyjadrenie sa k hlavným bodom konzultácií bola určená do</w:t>
            </w:r>
            <w:r w:rsidR="00746323" w:rsidRPr="008B5472">
              <w:t> </w:t>
            </w:r>
            <w:r w:rsidRPr="008B5472">
              <w:t>15.</w:t>
            </w:r>
            <w:r w:rsidR="00746323" w:rsidRPr="008B5472">
              <w:t> </w:t>
            </w:r>
            <w:r w:rsidRPr="008B5472">
              <w:t xml:space="preserve">februára 2019. V lehote na podanie podnetov a návrhov zo strany verejnosti bolo navrhovateľovi doručených päť podnetov, a to od </w:t>
            </w:r>
            <w:r w:rsidR="00746323" w:rsidRPr="008B5472">
              <w:t>SBA</w:t>
            </w:r>
            <w:r w:rsidRPr="008B5472">
              <w:t xml:space="preserve">, Notárskej komory SR, Asociácie obchodníkov s cennými papiermi, Centra lepšej regulácie – Slovak </w:t>
            </w:r>
            <w:proofErr w:type="spellStart"/>
            <w:r w:rsidRPr="008B5472">
              <w:t>Business</w:t>
            </w:r>
            <w:proofErr w:type="spellEnd"/>
            <w:r w:rsidRPr="008B5472">
              <w:t xml:space="preserve"> </w:t>
            </w:r>
            <w:proofErr w:type="spellStart"/>
            <w:r w:rsidRPr="008B5472">
              <w:t>Agency</w:t>
            </w:r>
            <w:proofErr w:type="spellEnd"/>
            <w:r w:rsidRPr="008B5472">
              <w:t xml:space="preserve">, resp. od občana. Pred začatím konzultácií prebiehali stretnutia a rokovania v súvislosti s prípravou novely zákona č. 297/2008 Z. z. s </w:t>
            </w:r>
            <w:r w:rsidR="00746323" w:rsidRPr="008B5472">
              <w:t>NBS</w:t>
            </w:r>
            <w:r w:rsidRPr="008B5472">
              <w:t>, ktorá je orgánom dohľadu pre väčšinu povinných osôb z finančného sektora, Ministerstvom financií Slovenskej republiky, Ministerstvom spravodlivosti Slovenskej republiky, ako aj so</w:t>
            </w:r>
            <w:r w:rsidR="00746323" w:rsidRPr="008B5472">
              <w:t xml:space="preserve"> </w:t>
            </w:r>
            <w:r w:rsidRPr="008B5472">
              <w:t xml:space="preserve"> </w:t>
            </w:r>
            <w:r w:rsidR="00746323" w:rsidRPr="008B5472">
              <w:t>SBA</w:t>
            </w:r>
            <w:r w:rsidRPr="008B5472">
              <w:t>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Verejnosť bola informovaná o základných cieľoch právnej úpravy, ktorým je transpozícia V.</w:t>
            </w:r>
            <w:r w:rsidR="00EB6084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AML Smernic</w:t>
            </w:r>
            <w:r w:rsidR="00EB6084" w:rsidRPr="008B5472">
              <w:rPr>
                <w:sz w:val="24"/>
                <w:szCs w:val="24"/>
              </w:rPr>
              <w:t>e</w:t>
            </w:r>
            <w:r w:rsidRPr="008B5472">
              <w:rPr>
                <w:sz w:val="24"/>
                <w:szCs w:val="24"/>
              </w:rPr>
              <w:t xml:space="preserve"> a reakcia na požiadavky vyplývajúce z aplikačnej praxe.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Navrhované systémové zmeny boli stručne zhrnuté do nasledovných bodov: </w:t>
            </w:r>
          </w:p>
          <w:p w:rsidR="000C1B74" w:rsidRPr="008B5472" w:rsidRDefault="000C1B74" w:rsidP="000C1B74">
            <w:pPr>
              <w:pStyle w:val="Normlnywebov"/>
              <w:numPr>
                <w:ilvl w:val="0"/>
                <w:numId w:val="5"/>
              </w:numPr>
              <w:jc w:val="both"/>
            </w:pPr>
            <w:r w:rsidRPr="008B5472">
              <w:t xml:space="preserve">revízia </w:t>
            </w:r>
            <w:r w:rsidRPr="008B5472">
              <w:rPr>
                <w:bCs/>
              </w:rPr>
              <w:t>existujúcich pravidiel zameraných na predchádzanie legalizáci</w:t>
            </w:r>
            <w:r w:rsidR="00EB6084" w:rsidRPr="008B5472">
              <w:rPr>
                <w:bCs/>
              </w:rPr>
              <w:t>e</w:t>
            </w:r>
            <w:r w:rsidRPr="008B5472">
              <w:rPr>
                <w:bCs/>
              </w:rPr>
              <w:t xml:space="preserve"> a financovania terorizmu, 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zaradenie subjektov poskytujúcich služby spojené s virtuálnou </w:t>
            </w:r>
            <w:proofErr w:type="spellStart"/>
            <w:r w:rsidR="00026762" w:rsidRPr="008B5472">
              <w:rPr>
                <w:rFonts w:ascii="Times New Roman" w:hAnsi="Times New Roman" w:cs="Times New Roman"/>
                <w:sz w:val="24"/>
                <w:szCs w:val="24"/>
              </w:rPr>
              <w:t>kryptomenou</w:t>
            </w:r>
            <w:proofErr w:type="spellEnd"/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medzi povinné osoby,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zlepšenie prístupnosti a prepojenie vnútroštátnych registrov konečných užívateľov výhod v rámci EÚ,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posilnenie a harmonizácia pravidiel zvýšenej starostlivosti vo vzťahu ku klientom z vysokorizikových krajín, 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prijatie prísnejších opatrení na zníženie rizík legalizácie a financovania terorizmu spojených s anonymnými predplatenými nástrojmi, 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zabezpečenie prístupu k informáciám o totožnosti majiteľov bankových a platobných účtov zriadením </w:t>
            </w:r>
            <w:r w:rsidR="00B57662" w:rsidRPr="008B5472">
              <w:rPr>
                <w:rFonts w:ascii="Times New Roman" w:hAnsi="Times New Roman" w:cs="Times New Roman"/>
                <w:sz w:val="24"/>
                <w:szCs w:val="24"/>
              </w:rPr>
              <w:t>centrálneho automatizovaného mechanizmu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aktualizácia zoznamu politicky exponovaných osôb, 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posilnenie spolupráce príslušných orgánov členských štátov v rámci výmeny informácií a</w:t>
            </w:r>
          </w:p>
          <w:p w:rsidR="000C1B74" w:rsidRPr="008B5472" w:rsidRDefault="000C1B74" w:rsidP="000C1B74">
            <w:pPr>
              <w:pStyle w:val="Odsekzoznamu"/>
              <w:numPr>
                <w:ilvl w:val="0"/>
                <w:numId w:val="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reagovanie na požiadavky vyplývajúce z praktického uplatňovania zákona.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both"/>
              <w:rPr>
                <w:i/>
              </w:rPr>
            </w:pPr>
            <w:r w:rsidRPr="008B5472">
              <w:rPr>
                <w:sz w:val="24"/>
                <w:szCs w:val="24"/>
              </w:rPr>
              <w:t>Relevantné návrhy vznesené v rámci konzultácií boli premietnuté priamo do predloženého návrhu novely zákona.</w:t>
            </w:r>
            <w:r w:rsidRPr="008B547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27496" w:rsidRPr="008B5472" w:rsidTr="008F6C42"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lastRenderedPageBreak/>
              <w:t>3.3 Náklady regulácie</w:t>
            </w:r>
          </w:p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sz w:val="24"/>
              </w:rPr>
              <w:t xml:space="preserve">      - </w:t>
            </w:r>
            <w:r w:rsidRPr="008B5472">
              <w:rPr>
                <w:b/>
                <w:sz w:val="24"/>
              </w:rPr>
              <w:t>z toho MSP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b/>
                <w:i/>
              </w:rPr>
            </w:pPr>
            <w:r w:rsidRPr="008B5472">
              <w:rPr>
                <w:b/>
                <w:i/>
              </w:rPr>
              <w:t>3.3.1 Priame finančné náklady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b/>
                <w:i/>
              </w:rPr>
            </w:pPr>
          </w:p>
          <w:p w:rsidR="00C83276" w:rsidRPr="008B5472" w:rsidRDefault="00C83276" w:rsidP="00C83276">
            <w:pPr>
              <w:jc w:val="both"/>
              <w:rPr>
                <w:bCs/>
                <w:iCs/>
                <w:sz w:val="22"/>
                <w:szCs w:val="22"/>
              </w:rPr>
            </w:pPr>
            <w:r w:rsidRPr="008B5472">
              <w:rPr>
                <w:b/>
                <w:iCs/>
                <w:sz w:val="22"/>
                <w:szCs w:val="22"/>
              </w:rPr>
              <w:t>Dopad na bankový sektor -</w:t>
            </w:r>
            <w:r w:rsidRPr="008B5472">
              <w:rPr>
                <w:bCs/>
                <w:iCs/>
                <w:sz w:val="22"/>
                <w:szCs w:val="22"/>
              </w:rPr>
              <w:t xml:space="preserve"> dobudovanie technického riešenia v bankách o rozsah údajov v zmysle čl. 32a  AML Smernice -  hrubý odhad </w:t>
            </w:r>
            <w:r w:rsidR="00D96C17" w:rsidRPr="008B5472">
              <w:rPr>
                <w:bCs/>
                <w:iCs/>
                <w:sz w:val="22"/>
                <w:szCs w:val="22"/>
              </w:rPr>
              <w:t>jednorazovej</w:t>
            </w:r>
            <w:r w:rsidRPr="008B5472">
              <w:rPr>
                <w:bCs/>
                <w:iCs/>
                <w:sz w:val="22"/>
                <w:szCs w:val="22"/>
              </w:rPr>
              <w:t xml:space="preserve"> úhrady je cca </w:t>
            </w:r>
            <w:r w:rsidRPr="008B5472">
              <w:rPr>
                <w:b/>
                <w:bCs/>
                <w:iCs/>
                <w:sz w:val="22"/>
                <w:szCs w:val="22"/>
                <w:u w:val="single"/>
              </w:rPr>
              <w:t>565 800 eur</w:t>
            </w:r>
            <w:r w:rsidRPr="008B5472">
              <w:rPr>
                <w:bCs/>
                <w:iCs/>
                <w:sz w:val="22"/>
                <w:szCs w:val="22"/>
              </w:rPr>
              <w:t xml:space="preserve"> (zahŕňa náklady na externého dodávateľa technického riešenia a na interný vývoj, čo je odhadom cca 41 MD/ cca 24 600 eur na banku, ak je 1 MD je cca 600 eur v priemere; zapojených do elektronickej komunikácie je v súčasnosti 23 bánk). Tento náklad by sa už nemal meniť v závislosti od počtu zapojených subjektov, keďže technický dodávateľ by vyvinul jednu sadu formulárov pre komunikáciu so skupinou subjektov/oprávnených využívať funkcionalitu centrálneho elektronického systému vyhľadávania údajov, ktorí budú fungovať pod jedným ID.</w:t>
            </w:r>
          </w:p>
          <w:p w:rsidR="00C83276" w:rsidRPr="008B5472" w:rsidRDefault="00C83276" w:rsidP="00C83276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C83276" w:rsidRPr="008B5472" w:rsidRDefault="00C83276" w:rsidP="00C83276">
            <w:pPr>
              <w:jc w:val="both"/>
              <w:rPr>
                <w:bCs/>
                <w:iCs/>
                <w:sz w:val="22"/>
                <w:szCs w:val="22"/>
              </w:rPr>
            </w:pPr>
            <w:r w:rsidRPr="008B5472">
              <w:rPr>
                <w:bCs/>
                <w:iCs/>
                <w:sz w:val="22"/>
                <w:szCs w:val="22"/>
              </w:rPr>
              <w:t xml:space="preserve">Od nasledujúceho roka po spustení elektronickej komunikácie bude rozrátaný ročný poplatok vo výške cca </w:t>
            </w:r>
            <w:r w:rsidRPr="008B5472">
              <w:rPr>
                <w:b/>
                <w:bCs/>
                <w:iCs/>
                <w:sz w:val="22"/>
                <w:szCs w:val="22"/>
              </w:rPr>
              <w:t>50 000 eur</w:t>
            </w:r>
            <w:r w:rsidRPr="008B5472">
              <w:rPr>
                <w:bCs/>
                <w:iCs/>
                <w:sz w:val="22"/>
                <w:szCs w:val="22"/>
              </w:rPr>
              <w:t xml:space="preserve"> za IT podporu a </w:t>
            </w:r>
            <w:proofErr w:type="spellStart"/>
            <w:r w:rsidRPr="008B5472">
              <w:rPr>
                <w:bCs/>
                <w:iCs/>
                <w:sz w:val="22"/>
                <w:szCs w:val="22"/>
              </w:rPr>
              <w:t>Help</w:t>
            </w:r>
            <w:proofErr w:type="spellEnd"/>
            <w:r w:rsidRPr="008B54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B5472">
              <w:rPr>
                <w:bCs/>
                <w:iCs/>
                <w:sz w:val="22"/>
                <w:szCs w:val="22"/>
              </w:rPr>
              <w:t>desk</w:t>
            </w:r>
            <w:proofErr w:type="spellEnd"/>
            <w:r w:rsidRPr="008B5472">
              <w:rPr>
                <w:bCs/>
                <w:iCs/>
                <w:sz w:val="22"/>
                <w:szCs w:val="22"/>
              </w:rPr>
              <w:t xml:space="preserve"> medzi všetky zapojené banky (rovnaký poplatok ako na strane štátu) t.j. </w:t>
            </w:r>
            <w:r w:rsidRPr="008B5472">
              <w:rPr>
                <w:b/>
                <w:bCs/>
                <w:iCs/>
                <w:sz w:val="22"/>
                <w:szCs w:val="22"/>
              </w:rPr>
              <w:t>2 174 eur/1banka/rok</w:t>
            </w:r>
            <w:r w:rsidRPr="008B5472">
              <w:rPr>
                <w:bCs/>
                <w:iCs/>
                <w:sz w:val="22"/>
                <w:szCs w:val="22"/>
              </w:rPr>
              <w:t>.</w:t>
            </w:r>
          </w:p>
          <w:p w:rsidR="00C83276" w:rsidRPr="008B5472" w:rsidRDefault="00C83276" w:rsidP="00C83276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C83276" w:rsidRPr="008B5472" w:rsidRDefault="00C83276" w:rsidP="00C83276">
            <w:pPr>
              <w:jc w:val="both"/>
              <w:rPr>
                <w:bCs/>
                <w:iCs/>
                <w:sz w:val="22"/>
                <w:szCs w:val="22"/>
              </w:rPr>
            </w:pPr>
            <w:r w:rsidRPr="008B5472">
              <w:rPr>
                <w:b/>
                <w:iCs/>
                <w:sz w:val="22"/>
                <w:szCs w:val="22"/>
              </w:rPr>
              <w:t xml:space="preserve">Dopad na jednu platobnú inštitúciu poskytujúcu platobné účty identifikované IBAN - </w:t>
            </w:r>
            <w:r w:rsidRPr="008B5472">
              <w:rPr>
                <w:bCs/>
                <w:iCs/>
                <w:sz w:val="22"/>
                <w:szCs w:val="22"/>
              </w:rPr>
              <w:t xml:space="preserve">pripojenie do elektronickej komunikácie odhadujeme na cca </w:t>
            </w:r>
            <w:r w:rsidRPr="008B5472">
              <w:rPr>
                <w:b/>
                <w:bCs/>
                <w:iCs/>
                <w:sz w:val="22"/>
                <w:szCs w:val="22"/>
              </w:rPr>
              <w:t xml:space="preserve">25 000 </w:t>
            </w:r>
            <w:r w:rsidR="00E5732F" w:rsidRPr="008B5472">
              <w:rPr>
                <w:b/>
                <w:bCs/>
                <w:iCs/>
                <w:sz w:val="22"/>
                <w:szCs w:val="22"/>
              </w:rPr>
              <w:t>eur</w:t>
            </w:r>
            <w:r w:rsidRPr="008B5472">
              <w:rPr>
                <w:bCs/>
                <w:iCs/>
                <w:sz w:val="22"/>
                <w:szCs w:val="22"/>
              </w:rPr>
              <w:t xml:space="preserve"> </w:t>
            </w:r>
            <w:r w:rsidR="00D96C17" w:rsidRPr="008B5472">
              <w:rPr>
                <w:bCs/>
                <w:iCs/>
                <w:sz w:val="22"/>
                <w:szCs w:val="22"/>
              </w:rPr>
              <w:t>jednorazová</w:t>
            </w:r>
            <w:r w:rsidRPr="008B5472">
              <w:rPr>
                <w:bCs/>
                <w:iCs/>
                <w:sz w:val="22"/>
                <w:szCs w:val="22"/>
              </w:rPr>
              <w:t xml:space="preserve"> investícia jedného subjektu (potreba vývoja celého riešenia plus do vývoja požadovaného aj na strane bankového sektora) a poplatok </w:t>
            </w:r>
            <w:r w:rsidRPr="008B5472">
              <w:rPr>
                <w:b/>
                <w:bCs/>
                <w:iCs/>
                <w:sz w:val="22"/>
                <w:szCs w:val="22"/>
              </w:rPr>
              <w:t xml:space="preserve">36 000 </w:t>
            </w:r>
            <w:r w:rsidR="00E5732F" w:rsidRPr="008B5472">
              <w:rPr>
                <w:b/>
                <w:bCs/>
                <w:iCs/>
                <w:sz w:val="22"/>
                <w:szCs w:val="22"/>
              </w:rPr>
              <w:t>eur</w:t>
            </w:r>
            <w:r w:rsidRPr="008B5472">
              <w:rPr>
                <w:bCs/>
                <w:iCs/>
                <w:sz w:val="22"/>
                <w:szCs w:val="22"/>
              </w:rPr>
              <w:t xml:space="preserve"> na pripojenie jedného uzla/ integrácia technického riešenia po uzol konkrétnej platobnej inštitúcie, poplatok zahŕňa náklady na údržbu pripojenia (vrátane pevnej linky). Ide o údržbu komunikačnej a technickej infraštruktúry a zabezpečenie privátnej dátovej linky potrebnej pre pripojenie k systému. </w:t>
            </w:r>
            <w:r w:rsidRPr="008B5472">
              <w:rPr>
                <w:b/>
                <w:bCs/>
                <w:iCs/>
                <w:sz w:val="22"/>
                <w:szCs w:val="22"/>
              </w:rPr>
              <w:t>Spolu</w:t>
            </w:r>
            <w:r w:rsidRPr="008B5472">
              <w:rPr>
                <w:bCs/>
                <w:iCs/>
                <w:sz w:val="22"/>
                <w:szCs w:val="22"/>
              </w:rPr>
              <w:t xml:space="preserve"> predpokladané vstupné náklady </w:t>
            </w:r>
            <w:r w:rsidRPr="008B5472">
              <w:rPr>
                <w:b/>
                <w:bCs/>
                <w:iCs/>
                <w:sz w:val="22"/>
                <w:szCs w:val="22"/>
                <w:u w:val="single"/>
              </w:rPr>
              <w:t xml:space="preserve">61 000 </w:t>
            </w:r>
            <w:r w:rsidR="00E5732F" w:rsidRPr="008B5472">
              <w:rPr>
                <w:b/>
                <w:bCs/>
                <w:iCs/>
                <w:sz w:val="22"/>
                <w:szCs w:val="22"/>
                <w:u w:val="single"/>
              </w:rPr>
              <w:t>eur</w:t>
            </w:r>
            <w:r w:rsidRPr="008B5472">
              <w:rPr>
                <w:bCs/>
                <w:iCs/>
                <w:sz w:val="22"/>
                <w:szCs w:val="22"/>
              </w:rPr>
              <w:t>.</w:t>
            </w:r>
          </w:p>
          <w:p w:rsidR="00C83276" w:rsidRPr="008B5472" w:rsidRDefault="00C83276" w:rsidP="00C83276">
            <w:pPr>
              <w:rPr>
                <w:bCs/>
                <w:iCs/>
                <w:sz w:val="22"/>
                <w:szCs w:val="22"/>
              </w:rPr>
            </w:pPr>
            <w:r w:rsidRPr="008B5472">
              <w:rPr>
                <w:bCs/>
                <w:iCs/>
                <w:sz w:val="22"/>
                <w:szCs w:val="22"/>
              </w:rPr>
              <w:t>Od nasledujúceho roka po spustení elektronickej komunikácie ročný poplatok za IT podporu a </w:t>
            </w:r>
            <w:proofErr w:type="spellStart"/>
            <w:r w:rsidRPr="008B5472">
              <w:rPr>
                <w:bCs/>
                <w:iCs/>
                <w:sz w:val="22"/>
                <w:szCs w:val="22"/>
              </w:rPr>
              <w:t>Hepl</w:t>
            </w:r>
            <w:proofErr w:type="spellEnd"/>
            <w:r w:rsidRPr="008B54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B5472">
              <w:rPr>
                <w:bCs/>
                <w:iCs/>
                <w:sz w:val="22"/>
                <w:szCs w:val="22"/>
              </w:rPr>
              <w:t>desk</w:t>
            </w:r>
            <w:proofErr w:type="spellEnd"/>
            <w:r w:rsidRPr="008B5472">
              <w:rPr>
                <w:bCs/>
                <w:iCs/>
                <w:sz w:val="22"/>
                <w:szCs w:val="22"/>
              </w:rPr>
              <w:t xml:space="preserve"> pre platobnú inštitúciu sa predpokladá na cca </w:t>
            </w:r>
            <w:r w:rsidRPr="008B5472">
              <w:rPr>
                <w:b/>
                <w:bCs/>
                <w:iCs/>
                <w:sz w:val="22"/>
                <w:szCs w:val="22"/>
              </w:rPr>
              <w:t>2</w:t>
            </w:r>
            <w:r w:rsidR="00E5732F" w:rsidRPr="008B547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B5472">
              <w:rPr>
                <w:b/>
                <w:bCs/>
                <w:iCs/>
                <w:sz w:val="22"/>
                <w:szCs w:val="22"/>
              </w:rPr>
              <w:t xml:space="preserve">500 </w:t>
            </w:r>
            <w:r w:rsidR="00E5732F" w:rsidRPr="008B5472">
              <w:rPr>
                <w:b/>
                <w:bCs/>
                <w:iCs/>
                <w:sz w:val="22"/>
                <w:szCs w:val="22"/>
              </w:rPr>
              <w:t>eur</w:t>
            </w:r>
            <w:r w:rsidRPr="008B5472">
              <w:rPr>
                <w:bCs/>
                <w:iCs/>
                <w:sz w:val="22"/>
                <w:szCs w:val="22"/>
              </w:rPr>
              <w:t>.</w:t>
            </w:r>
          </w:p>
          <w:p w:rsidR="000C1B74" w:rsidRPr="008B5472" w:rsidRDefault="000C1B74" w:rsidP="008F6C42">
            <w:pPr>
              <w:rPr>
                <w:b/>
                <w:i/>
              </w:rPr>
            </w:pPr>
          </w:p>
          <w:p w:rsidR="000C1B74" w:rsidRPr="008B5472" w:rsidRDefault="000C1B74" w:rsidP="00C83276">
            <w:pPr>
              <w:rPr>
                <w:b/>
                <w:i/>
              </w:rPr>
            </w:pP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b/>
                <w:i/>
              </w:rPr>
            </w:pPr>
            <w:r w:rsidRPr="008B5472">
              <w:rPr>
                <w:b/>
                <w:i/>
              </w:rPr>
              <w:t>3.3.2 Nepriame finančné náklady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Nevznikajú</w:t>
            </w:r>
          </w:p>
          <w:p w:rsidR="000C1B74" w:rsidRPr="008B5472" w:rsidRDefault="000C1B74" w:rsidP="008F6C42">
            <w:pPr>
              <w:rPr>
                <w:b/>
                <w:i/>
              </w:rPr>
            </w:pPr>
          </w:p>
          <w:p w:rsidR="000C1B74" w:rsidRPr="008B5472" w:rsidRDefault="000C1B74" w:rsidP="008F6C42">
            <w:pPr>
              <w:rPr>
                <w:b/>
                <w:i/>
              </w:rPr>
            </w:pP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b/>
                <w:i/>
              </w:rPr>
            </w:pPr>
            <w:r w:rsidRPr="008B5472">
              <w:rPr>
                <w:b/>
                <w:i/>
              </w:rPr>
              <w:t>3.3.3 Administratívne náklady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27496" w:rsidRPr="008B5472" w:rsidTr="003214C6">
        <w:trPr>
          <w:trHeight w:val="552"/>
        </w:trPr>
        <w:tc>
          <w:tcPr>
            <w:tcW w:w="9212" w:type="dxa"/>
          </w:tcPr>
          <w:p w:rsidR="00E5732F" w:rsidRPr="008B5472" w:rsidRDefault="00E5732F" w:rsidP="008F6C42">
            <w:pPr>
              <w:pStyle w:val="Odsekzoznamu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5732F" w:rsidRPr="008B5472" w:rsidRDefault="00862942" w:rsidP="008F6C42">
            <w:pPr>
              <w:pStyle w:val="Odsekzoznamu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Administratívne náklady povinných osôb</w:t>
            </w:r>
          </w:p>
          <w:p w:rsidR="00862942" w:rsidRPr="008B5472" w:rsidRDefault="00862942" w:rsidP="008F6C42">
            <w:pPr>
              <w:pStyle w:val="Odsekzoznamu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Pozitívne vplyvy </w:t>
            </w:r>
          </w:p>
          <w:p w:rsidR="000C1B74" w:rsidRPr="008B5472" w:rsidRDefault="000C1B74" w:rsidP="008F6C42">
            <w:pPr>
              <w:pStyle w:val="Odsekzoznamu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§ 5 ods. 1 písm. i) navrhovanej novely zákona č. 297/2008 Z. z.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zúženie okruhu povinných osôb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o právnické a fyzické osoby oprávnené sprostredkovať predaj, prenájom a kúpu nehnuteľností prenájom nehnuteľností a to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v súvislosti s prenájmom nehnuteľností, ak je hodnota mesačného prenájmu nižšia ako 10 000 eur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1B74" w:rsidRPr="008B5472" w:rsidRDefault="002917EF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74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         Tieto osoby nebudú povinné plniť povinnosti vyplývajúce zo zákona č. 297/2008 Z. z. najmä jeho druhej časti upravujúcej starostlivosť povinnej osoby vo vzťahu ku klientovi (§ 10 – § 13), povinnosti povinnej osoby vyplývajúce z tretej časti (§ 14 – § 21) a povinnosti uložené povinnej osobe v súvislosti s výkonom kontroly FSJ. Jedná sa o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B74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odbúranie informačných povinností, ktoré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sú</w:t>
            </w:r>
            <w:r w:rsidR="000C1B74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spojené s administratívnymi nákladmi, pričom ich vyčíslene nie je možné, nakoľko sa nejedná o úkony exaktne vyplývajúce z jednotlivých ustanovení. Ich vykonanie, časová náročnosť závisí od existencie množstva okolností, ktoré je povinná osoba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povinná </w:t>
            </w:r>
            <w:r w:rsidR="000C1B74" w:rsidRPr="008B5472">
              <w:rPr>
                <w:rFonts w:ascii="Times New Roman" w:hAnsi="Times New Roman" w:cs="Times New Roman"/>
                <w:sz w:val="24"/>
                <w:szCs w:val="24"/>
              </w:rPr>
              <w:t>posudz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ovať.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§ 5 ods. 1 písm. m) navrhovanej novely zákona č. 297/2008 Z. z.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zúženie okruhu povinných osôb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o právnické a fyzické osoby oprávnené prevádzkovať aukčnú sieň, oprávnené obchodovať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alebo sprostredkovať obchody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s umeleckými dielami, zberateľskými predmetmi, starožitnosťami, kultúrnymi pamiatkami, kultúrnymi predmetmi, drahými kovmi alebo drahými kameňmi, oprávnené uvádzať na trh výrobky z drahých kovov alebo drahých kameňov, alebo oprávnené prevádzkovať záložňu,</w:t>
            </w:r>
            <w:hyperlink r:id="rId15" w:anchor="poznamky.poznamka-17" w:tooltip="Odkaz na predpis alebo ustanovenie" w:history="1">
              <w:r w:rsidRPr="008B5472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17</w:t>
              </w:r>
              <w:r w:rsidRPr="008B547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)</w:t>
              </w:r>
            </w:hyperlink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 hodnota obchodu je najmenej 10 000 eur, pričom nezáleží na tom, či je obchod vykonaný jednotlivo alebo ako viaceré na seba nadväzujúce obchody, ktoré sú alebo môžu byť prepojené. 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          Tieto osoby nebudú povinné plniť povinnosti vyplývajúce zo zákona č. 297/2008 Z.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z. najmä jeho druhej časti upravujúcej starostlivosť povinnej osoby vo vzťahu ku klientovi (§ 10 – § 13), povinnosti povinnej osoby vyplývajúce z tretej časti (§ 14 – § 21) a povinnosti uložené povinnej osobe v súvislosti s výkonom kontroly FSJ. Jedná sa o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odbúranie informačných povinností, ktoré 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sú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spojené s administratívnymi nákladmi, pričom ich vyčíslene nie je možné, nakoľko sa nejedná o úkony exaktne vyplývajúce z jednotlivých ustanovení. Ich vykonanie závisí od existencie množstva okolností, ktoré je povinná osoba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povinná posudzovať.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2917EF">
            <w:pPr>
              <w:pStyle w:val="Odsekzoznamu"/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§ 7 ods. 3 navrhovanej novely zákona č. 297/2008 Z. z.  </w:t>
            </w: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úprava existujúcich informačných povinností – identifikácia </w:t>
            </w:r>
            <w:r w:rsidR="003214C6"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konečného užívateľa výhod</w:t>
            </w:r>
            <w:r w:rsidR="00EC708F"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1B74" w:rsidRPr="008B5472" w:rsidRDefault="000C1B74" w:rsidP="008F6C42">
            <w:pPr>
              <w:jc w:val="both"/>
              <w:rPr>
                <w:b/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Pre právnické osoby okrem orgánov verejnej správy a účelové združenia majetku bez právnej subjektivity (ďalej len „dotknuté subjekty“)</w:t>
            </w:r>
            <w:r w:rsidRPr="008B5472">
              <w:rPr>
                <w:i/>
                <w:sz w:val="24"/>
                <w:szCs w:val="24"/>
              </w:rPr>
              <w:softHyphen/>
              <w:t xml:space="preserve"> – </w:t>
            </w:r>
            <w:r w:rsidRPr="008B5472">
              <w:rPr>
                <w:sz w:val="24"/>
                <w:szCs w:val="24"/>
              </w:rPr>
              <w:t>zúženie súboru identifikačných údajov ku  konečnému užívateľovi výhod (nie je potrebné viesť údaje o čísle dokladu a druhu dokladu) – pozitívny marginálny vplyv.</w:t>
            </w:r>
          </w:p>
          <w:p w:rsidR="003E49FC" w:rsidRPr="008B5472" w:rsidRDefault="003E49FC" w:rsidP="008F6C42">
            <w:pPr>
              <w:jc w:val="both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B5472">
              <w:rPr>
                <w:sz w:val="24"/>
                <w:szCs w:val="24"/>
              </w:rPr>
              <w:t xml:space="preserve">     </w:t>
            </w:r>
            <w:r w:rsidRPr="008B5472">
              <w:rPr>
                <w:b/>
                <w:i/>
                <w:sz w:val="24"/>
                <w:szCs w:val="24"/>
                <w:u w:val="single"/>
              </w:rPr>
              <w:t>Negatívne vplyvy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Rozšírenie okruhu povinných osôb: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 ods. 1 písm. h)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navrhovanej novely zákona č. 297/2008 Z. z. rozšírenie okruhu povinných osôb o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„ostatné osoby, ktoré poskytujú pomoc pri daňovom poradenstve“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 ods. 1 písm. o)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navrhovanej novely zákona č. 297/2008 Z. z. rozšírenie okruhu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povinných osôb o 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„poskytovateľa služieb peňaženky“;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6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 ods. 1 písm. p)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navrhovanej novely zákona č. 297/2008 Z. z. rozšírenie okruhu povinných osôb o 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„poskytovateľa služieb zmenárne virtuálnych </w:t>
            </w:r>
            <w:proofErr w:type="spellStart"/>
            <w:r w:rsidR="00C3694F"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kry</w:t>
            </w:r>
            <w:r w:rsidR="00E65117"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pto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mien</w:t>
            </w:r>
            <w:proofErr w:type="spellEnd"/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“;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         Subjekty  (fyzická osoba, právnická osoba), ktoré budú oprávnené vykonávať činnosti uvedené v označených ustanoveniach</w:t>
            </w:r>
            <w:r w:rsidR="00EC708F" w:rsidRPr="008B5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sa stanú povinnou osobou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udú 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preto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povinné plniť všetky povinnosti vyplývajúce zo zákona č. 297/2008 Z.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z., najmä jeho druhej časti upravujúcej starostlivosť povinnej osoby vo vzťahu ku klientovi (§ 10 – § 13), povinnosti povinnej osoby vyplývajúce z tretej časti (§ 14 - § 21) a povinnosti uložené povinnej osobe v</w:t>
            </w:r>
            <w:r w:rsidR="002917EF"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súvislosti s výkonom kontroly FSJ. Jedná sa o informačné povinnosti, pri ktorých vzhľadom na ich charakter sa predpokladajú administratívne náklady. 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Nákladové vyjadrenie plnenia povinností nie je možné, nakoľko: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nie je možné stanoviť časovú náročnosť plnenia (všetkých) povinností vyplývajúcich z právnej úpravy, plnenie povinností povinnou osobou nie je paušálne, závisí od množstva  okolností, ktoré nie je možné zovšeobecniť a</w:t>
            </w:r>
            <w:r w:rsidR="00EC708F" w:rsidRPr="008B5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predpokladať</w:t>
            </w:r>
            <w:r w:rsidR="00EC708F" w:rsidRPr="008B5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napr. vo väzbe na počet a druh klientov, počet a druh obchodov a pod.,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nie je možné určiť počet dotknutých subjektov, a ani</w:t>
            </w: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stanoviť frekvenciu plnenia  povinností, pretože plnenie jednotlivých povinností je opäť viazané na množstvo okolností a v závislosti od ich prípadnej existencie je povinná osoba povinná vykonať konkrétne úkony, ktoré nie je možné zovšeobecniť a predvídať (paušalizovať). </w:t>
            </w:r>
          </w:p>
          <w:p w:rsidR="003214C6" w:rsidRPr="008B5472" w:rsidRDefault="003214C6" w:rsidP="008F6C42">
            <w:pPr>
              <w:jc w:val="both"/>
              <w:rPr>
                <w:sz w:val="24"/>
                <w:szCs w:val="24"/>
              </w:rPr>
            </w:pP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          Jedinou povinnosťou, ktorú je možné jednoznačne identifikovať vo vzťahu ku všetkým subjektom, ktoré sa stanú povinnou osobou na základe vyššie označených ustanovení navrhovanej novely zákona č. 297/2008 Z. z.</w:t>
            </w:r>
            <w:r w:rsidR="00EC708F" w:rsidRPr="008B5472">
              <w:rPr>
                <w:sz w:val="24"/>
                <w:szCs w:val="24"/>
              </w:rPr>
              <w:t>,</w:t>
            </w:r>
            <w:r w:rsidRPr="008B5472">
              <w:rPr>
                <w:sz w:val="24"/>
                <w:szCs w:val="24"/>
              </w:rPr>
              <w:t xml:space="preserve"> je vypracovanie a </w:t>
            </w:r>
            <w:r w:rsidR="00EC708F" w:rsidRPr="008B5472">
              <w:rPr>
                <w:sz w:val="24"/>
                <w:szCs w:val="24"/>
              </w:rPr>
              <w:t>prípadné</w:t>
            </w:r>
            <w:r w:rsidRPr="008B5472">
              <w:rPr>
                <w:sz w:val="24"/>
                <w:szCs w:val="24"/>
              </w:rPr>
              <w:t xml:space="preserve"> aktualizovanie </w:t>
            </w:r>
            <w:r w:rsidRPr="008B5472">
              <w:rPr>
                <w:i/>
                <w:sz w:val="24"/>
                <w:szCs w:val="24"/>
              </w:rPr>
              <w:t>programu vlastnej činnosti</w:t>
            </w:r>
            <w:r w:rsidRPr="008B5472">
              <w:rPr>
                <w:sz w:val="24"/>
                <w:szCs w:val="24"/>
              </w:rPr>
              <w:t xml:space="preserve"> povinnej osoby podľa § 20 ods. 1 zákona č. 297/2008 Z.</w:t>
            </w:r>
            <w:r w:rsidR="002917EF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 xml:space="preserve">z. 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Vyčíslenie administratívnych nákladov na 1 podnikateľa, na vypracovanie programu vlastnej činnosti podľa vzorca spolu 96,38 eur.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(čas x tarifa x frekvencia): 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1. vypracovanie dokumentu – programu vlastnej činnosti (650 min.), frekvencia nepravidelne/jednorazovo – 62,02 eur;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2. evidencia, vedenie dokumentácie  (300 min.) nepravidelne/jednorazovo  – 28,63 eur;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3. archivácia (60 min.) nepravidelne/jednorazovo – 5,73 eur.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Výnimky zo starostlivosti vo vzťahu ku klientovi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§ 11a</w:t>
            </w: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navrhovanej novely zákona č. 297/2008 Z. z. zníženie limitu pre predplatené platobné prostriedky (z 250 eur na 150 eur; v prípade spätnej výmeny zo 100 eur na 50 eur) t.j. povinná osoba je povinná vo vzťahu ku klientovi pri predplatených platobných prostriedkoch nad uvedené limity vykonať starostlivosť podľa § 10, § 11, alebo § 12 zákona č. 297/2008 Z. z.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Jedná sa o plnenie povinností spojených s administratívnymi nákladmi, ktoré nie je možné vyčísliť preto, že nie je možné predpokladať rozsah starostlivosti, ktorú bude povinná osoba povinná vykonať v nadväznosti na obchod vykonávaný klientom. Podľa § 10 ods. 4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zákona č. 297/2008 Z. z. povinná osoba určí rozsah starostlivosti vo vzťahu ku klientovi primerane s ohľadom na riziko legalizácie alebo financovania terorizmu, zároveň pri posudzovaní rizika legalizácie alebo financovania terorizmu je povinná vyhodnotiť  a zohľadniť rizikové faktory uvedené v hodnotení rizík podľa § 20a ods. 1 zákona č.  297/2008 Z. z. Na základe určenia rozsahu starostlivosti vo vzťahu ku klientovi povinná osoba vykonáva príslušné úkony. 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B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Zvýšená starostlivosť</w:t>
            </w:r>
          </w:p>
          <w:p w:rsidR="000C1B74" w:rsidRPr="008B5472" w:rsidRDefault="000C1B74" w:rsidP="008F6C4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B74" w:rsidRPr="008B5472" w:rsidRDefault="000C1B74" w:rsidP="000C1B74">
            <w:pPr>
              <w:pStyle w:val="Odsekzoznamu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b/>
                <w:sz w:val="24"/>
                <w:szCs w:val="24"/>
              </w:rPr>
              <w:t>§ 12 ods. 2 písm. d)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navrhovanej novely zákona č. 297/2008 Z. z. označené ustanovenie určuje konkrétne úkony, ktoré je povinná osoba povinná vykonať pri obchode alebo obchodnom vzťahu s osobou usadenou v krajine, ktorú Európska komisia určila za vysokorizikovú.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 xml:space="preserve">           V rámci snahy o nákladové vyjadrenie plnenia povinností spojených s § 12 ods. 2 písm. d) navrhovanej novely zákona č. 297/2008 Z. z. boli identifikované administratívne náklady s určením časovej náročnosti pre kalkulačku na 1 klienta v súvislosti s jedným obchodom alebo uzatvoreným jedným obchodným vzťahom  (dovolím si upozorniť, že tieto náklady nemožno paušalizovať):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1. poskytnutie súčinnosti  (100 min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2. archivácia (60 min.);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3. evidencia (300 min.);</w:t>
            </w:r>
          </w:p>
          <w:p w:rsidR="000C1B74" w:rsidRPr="008B5472" w:rsidRDefault="000C1B74" w:rsidP="008F6C42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C708F" w:rsidRPr="008B5472">
              <w:rPr>
                <w:rFonts w:ascii="Times New Roman" w:hAnsi="Times New Roman" w:cs="Times New Roman"/>
                <w:sz w:val="24"/>
                <w:szCs w:val="24"/>
              </w:rPr>
              <w:t>preklad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 dokladu (50 min.).</w:t>
            </w:r>
          </w:p>
          <w:p w:rsidR="000C1B74" w:rsidRPr="008B5472" w:rsidRDefault="000C1B74" w:rsidP="003E49F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4" w:rsidRPr="008B5472" w:rsidRDefault="000C1B74" w:rsidP="003E49F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Koeficient frekvencie plnenia vyššie identifikovaných povinností nemožno určiť, </w:t>
            </w:r>
            <w:r w:rsidR="003214C6" w:rsidRPr="008B5472">
              <w:rPr>
                <w:rFonts w:ascii="Times New Roman" w:hAnsi="Times New Roman" w:cs="Times New Roman"/>
                <w:sz w:val="24"/>
                <w:szCs w:val="24"/>
              </w:rPr>
              <w:t xml:space="preserve">nakoľko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frekvencia ich plnenia je závislá od počtu vykonávaných obchodov a uzatváraných obchodných vzťahov s osobou</w:t>
            </w:r>
            <w:r w:rsidRPr="008B5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472">
              <w:rPr>
                <w:rFonts w:ascii="Times New Roman" w:hAnsi="Times New Roman" w:cs="Times New Roman"/>
                <w:sz w:val="24"/>
                <w:szCs w:val="24"/>
              </w:rPr>
              <w:t>usadenou v krajine, ktorú Európska komisia určila za vysokorizikovú a tento počet nemožno predpokladať.</w:t>
            </w:r>
          </w:p>
          <w:p w:rsidR="000C1B74" w:rsidRPr="008B5472" w:rsidRDefault="000C1B74" w:rsidP="008F6C42">
            <w:pPr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Určenie počtu povinných osôb:</w:t>
            </w:r>
          </w:p>
          <w:p w:rsidR="000C1B74" w:rsidRPr="008B5472" w:rsidRDefault="000C1B74" w:rsidP="008F6C42">
            <w:pPr>
              <w:jc w:val="both"/>
              <w:rPr>
                <w:sz w:val="24"/>
                <w:szCs w:val="24"/>
              </w:rPr>
            </w:pPr>
            <w:r w:rsidRPr="008B5472">
              <w:rPr>
                <w:sz w:val="24"/>
                <w:szCs w:val="24"/>
              </w:rPr>
              <w:t>Počet nie je možné komplexne ustáliť z dôvodu, že počet povinných osôb nefinančného sektora, ktoré sú zaradené medzi povinné osoby na základe predmetu svojej činnosti a</w:t>
            </w:r>
            <w:r w:rsidR="00BC02C4" w:rsidRPr="008B5472">
              <w:rPr>
                <w:sz w:val="24"/>
                <w:szCs w:val="24"/>
              </w:rPr>
              <w:t> </w:t>
            </w:r>
            <w:r w:rsidRPr="008B5472">
              <w:rPr>
                <w:sz w:val="24"/>
                <w:szCs w:val="24"/>
              </w:rPr>
              <w:t>niektoré subjekty</w:t>
            </w:r>
            <w:r w:rsidR="00EC708F" w:rsidRPr="008B5472">
              <w:rPr>
                <w:sz w:val="24"/>
                <w:szCs w:val="24"/>
              </w:rPr>
              <w:t>,</w:t>
            </w:r>
            <w:r w:rsidRPr="008B5472">
              <w:rPr>
                <w:sz w:val="24"/>
                <w:szCs w:val="24"/>
              </w:rPr>
              <w:t xml:space="preserve"> môžu byť zaradené medzi povinné osoby na základe viacerých predmetov činnosti.</w:t>
            </w:r>
          </w:p>
          <w:p w:rsidR="00E5732F" w:rsidRPr="008B5472" w:rsidRDefault="00E5732F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  <w:p w:rsidR="004C0D00" w:rsidRPr="008B5472" w:rsidRDefault="004C0D00" w:rsidP="008F6C42">
            <w:pPr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496" w:rsidRPr="008B5472" w:rsidTr="003E49FC">
        <w:trPr>
          <w:trHeight w:val="141"/>
        </w:trPr>
        <w:tc>
          <w:tcPr>
            <w:tcW w:w="9212" w:type="dxa"/>
            <w:tcBorders>
              <w:bottom w:val="single" w:sz="4" w:space="0" w:color="auto"/>
            </w:tcBorders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b/>
                <w:i/>
              </w:rPr>
              <w:lastRenderedPageBreak/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61"/>
              <w:gridCol w:w="2018"/>
              <w:gridCol w:w="2307"/>
            </w:tblGrid>
            <w:tr w:rsidR="00927496" w:rsidRPr="008B5472" w:rsidTr="003E49FC">
              <w:trPr>
                <w:trHeight w:val="444"/>
              </w:trPr>
              <w:tc>
                <w:tcPr>
                  <w:tcW w:w="0" w:type="auto"/>
                  <w:vMerge w:val="restart"/>
                </w:tcPr>
                <w:p w:rsidR="000C1B74" w:rsidRPr="008B5472" w:rsidRDefault="000C1B74" w:rsidP="008F6C42">
                  <w:pPr>
                    <w:rPr>
                      <w:i/>
                    </w:rPr>
                  </w:pPr>
                </w:p>
              </w:tc>
              <w:tc>
                <w:tcPr>
                  <w:tcW w:w="0" w:type="auto"/>
                </w:tcPr>
                <w:p w:rsidR="000C1B74" w:rsidRPr="008B5472" w:rsidRDefault="000C1B74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0" w:type="auto"/>
                </w:tcPr>
                <w:p w:rsidR="000C1B74" w:rsidRPr="008B5472" w:rsidRDefault="000C1B74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27496" w:rsidRPr="008B5472" w:rsidTr="003E49FC">
              <w:trPr>
                <w:trHeight w:val="252"/>
              </w:trPr>
              <w:tc>
                <w:tcPr>
                  <w:tcW w:w="0" w:type="auto"/>
                  <w:vMerge/>
                </w:tcPr>
                <w:p w:rsidR="00AA1A17" w:rsidRPr="008B5472" w:rsidRDefault="00AA1A17" w:rsidP="008F6C42">
                  <w:pPr>
                    <w:rPr>
                      <w:i/>
                    </w:rPr>
                  </w:pP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 xml:space="preserve">povinná </w:t>
                  </w:r>
                </w:p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osoba</w:t>
                  </w: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 xml:space="preserve">povinné </w:t>
                  </w:r>
                </w:p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osoby</w:t>
                  </w:r>
                </w:p>
              </w:tc>
            </w:tr>
            <w:tr w:rsidR="00927496" w:rsidRPr="008B5472" w:rsidTr="003E49FC">
              <w:trPr>
                <w:trHeight w:val="398"/>
              </w:trPr>
              <w:tc>
                <w:tcPr>
                  <w:tcW w:w="0" w:type="auto"/>
                </w:tcPr>
                <w:p w:rsidR="00AA1A17" w:rsidRPr="008B5472" w:rsidRDefault="00AA1A17" w:rsidP="008F6C42">
                  <w:pPr>
                    <w:rPr>
                      <w:i/>
                    </w:rPr>
                  </w:pPr>
                  <w:r w:rsidRPr="008B5472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0" w:type="auto"/>
                </w:tcPr>
                <w:p w:rsidR="00AA1A17" w:rsidRPr="008B5472" w:rsidRDefault="00862942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24 600 eur/banka</w:t>
                  </w:r>
                </w:p>
                <w:p w:rsidR="00862942" w:rsidRPr="008B5472" w:rsidRDefault="00862942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61 000 eur/ platobná inštitúcia</w:t>
                  </w:r>
                </w:p>
              </w:tc>
              <w:tc>
                <w:tcPr>
                  <w:tcW w:w="0" w:type="auto"/>
                </w:tcPr>
                <w:p w:rsidR="00764717" w:rsidRPr="008B5472" w:rsidRDefault="007647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24 600 x 23 + 61 000 =</w:t>
                  </w:r>
                </w:p>
                <w:p w:rsidR="00AA1A17" w:rsidRPr="008B5472" w:rsidRDefault="007647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626 800 eur</w:t>
                  </w:r>
                </w:p>
                <w:p w:rsidR="00764717" w:rsidRPr="008B5472" w:rsidRDefault="00764717" w:rsidP="008F6C4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27496" w:rsidRPr="008B5472" w:rsidTr="003E49FC">
              <w:trPr>
                <w:trHeight w:val="398"/>
              </w:trPr>
              <w:tc>
                <w:tcPr>
                  <w:tcW w:w="0" w:type="auto"/>
                </w:tcPr>
                <w:p w:rsidR="00764717" w:rsidRPr="008B5472" w:rsidRDefault="00764717" w:rsidP="008F6C42">
                  <w:pPr>
                    <w:rPr>
                      <w:i/>
                    </w:rPr>
                  </w:pPr>
                  <w:r w:rsidRPr="008B5472">
                    <w:rPr>
                      <w:i/>
                    </w:rPr>
                    <w:t>Priame finančné náklady ročný poplatok</w:t>
                  </w:r>
                </w:p>
              </w:tc>
              <w:tc>
                <w:tcPr>
                  <w:tcW w:w="0" w:type="auto"/>
                </w:tcPr>
                <w:p w:rsidR="00764717" w:rsidRPr="008B5472" w:rsidRDefault="007647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2 174 eur/banka/rok</w:t>
                  </w:r>
                </w:p>
                <w:p w:rsidR="00764717" w:rsidRPr="008B5472" w:rsidRDefault="00764717" w:rsidP="00764717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2 500 eur/platobná inštitúcia/rok</w:t>
                  </w:r>
                </w:p>
              </w:tc>
              <w:tc>
                <w:tcPr>
                  <w:tcW w:w="0" w:type="auto"/>
                </w:tcPr>
                <w:p w:rsidR="00764717" w:rsidRPr="008B5472" w:rsidRDefault="007647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2 174 x 23 + 2 500 =</w:t>
                  </w:r>
                </w:p>
                <w:p w:rsidR="00764717" w:rsidRPr="008B5472" w:rsidRDefault="007647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52 502 eur</w:t>
                  </w:r>
                </w:p>
              </w:tc>
            </w:tr>
            <w:tr w:rsidR="00927496" w:rsidRPr="008B5472" w:rsidTr="003E49FC">
              <w:trPr>
                <w:trHeight w:val="50"/>
              </w:trPr>
              <w:tc>
                <w:tcPr>
                  <w:tcW w:w="0" w:type="auto"/>
                </w:tcPr>
                <w:p w:rsidR="00AA1A17" w:rsidRPr="008B5472" w:rsidRDefault="00AA1A17" w:rsidP="008F6C42">
                  <w:pPr>
                    <w:rPr>
                      <w:i/>
                    </w:rPr>
                  </w:pPr>
                  <w:r w:rsidRPr="008B5472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0</w:t>
                  </w:r>
                </w:p>
              </w:tc>
            </w:tr>
            <w:tr w:rsidR="00927496" w:rsidRPr="008B5472" w:rsidTr="003E49FC">
              <w:tc>
                <w:tcPr>
                  <w:tcW w:w="0" w:type="auto"/>
                </w:tcPr>
                <w:p w:rsidR="00AA1A17" w:rsidRPr="008B5472" w:rsidRDefault="00AA1A17" w:rsidP="008F6C42">
                  <w:pPr>
                    <w:rPr>
                      <w:i/>
                    </w:rPr>
                  </w:pPr>
                  <w:r w:rsidRPr="008B5472">
                    <w:rPr>
                      <w:i/>
                    </w:rPr>
                    <w:t xml:space="preserve">Administratívne náklady </w:t>
                  </w:r>
                </w:p>
                <w:p w:rsidR="003E49FC" w:rsidRPr="008B5472" w:rsidRDefault="00AA1A17" w:rsidP="003E49FC">
                  <w:pPr>
                    <w:rPr>
                      <w:i/>
                      <w:sz w:val="18"/>
                      <w:szCs w:val="18"/>
                    </w:rPr>
                  </w:pPr>
                  <w:r w:rsidRPr="008B5472">
                    <w:rPr>
                      <w:i/>
                      <w:sz w:val="18"/>
                      <w:szCs w:val="18"/>
                    </w:rPr>
                    <w:t>kvantifikované iba v súvislosti s vypracovaním programu vlastnej činnosti (nie je zohľadnená aktualizácia programu)</w:t>
                  </w: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96, 38 eur</w:t>
                  </w:r>
                </w:p>
              </w:tc>
              <w:tc>
                <w:tcPr>
                  <w:tcW w:w="0" w:type="auto"/>
                </w:tcPr>
                <w:p w:rsidR="00AA1A17" w:rsidRPr="008B5472" w:rsidRDefault="00AA1A17" w:rsidP="008F6C42">
                  <w:pPr>
                    <w:jc w:val="center"/>
                    <w:rPr>
                      <w:i/>
                    </w:rPr>
                  </w:pPr>
                  <w:r w:rsidRPr="008B5472">
                    <w:rPr>
                      <w:i/>
                    </w:rPr>
                    <w:t>nie je možné vyčísliť</w:t>
                  </w:r>
                </w:p>
              </w:tc>
            </w:tr>
            <w:tr w:rsidR="00927496" w:rsidRPr="008B5472" w:rsidTr="003E49FC">
              <w:trPr>
                <w:trHeight w:val="50"/>
              </w:trPr>
              <w:tc>
                <w:tcPr>
                  <w:tcW w:w="0" w:type="auto"/>
                </w:tcPr>
                <w:p w:rsidR="000C1B74" w:rsidRPr="008B5472" w:rsidRDefault="000C1B74" w:rsidP="008F6C42">
                  <w:pPr>
                    <w:rPr>
                      <w:b/>
                      <w:i/>
                    </w:rPr>
                  </w:pPr>
                  <w:r w:rsidRPr="008B5472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0" w:type="auto"/>
                </w:tcPr>
                <w:p w:rsidR="000C1B74" w:rsidRPr="008B5472" w:rsidRDefault="000C1B74" w:rsidP="008F6C42">
                  <w:pPr>
                    <w:jc w:val="center"/>
                    <w:rPr>
                      <w:b/>
                      <w:i/>
                    </w:rPr>
                  </w:pPr>
                  <w:r w:rsidRPr="008B5472">
                    <w:rPr>
                      <w:i/>
                    </w:rPr>
                    <w:t>nie je možné vyčísliť</w:t>
                  </w:r>
                  <w:r w:rsidR="00AA1A17" w:rsidRPr="008B5472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C1B74" w:rsidRPr="008B5472" w:rsidRDefault="000C1B74" w:rsidP="008F6C42">
                  <w:pPr>
                    <w:jc w:val="center"/>
                    <w:rPr>
                      <w:b/>
                      <w:i/>
                    </w:rPr>
                  </w:pPr>
                  <w:r w:rsidRPr="008B5472">
                    <w:rPr>
                      <w:i/>
                    </w:rPr>
                    <w:t>nie je možné vyčísliť</w:t>
                  </w:r>
                </w:p>
              </w:tc>
            </w:tr>
          </w:tbl>
          <w:p w:rsidR="000C1B74" w:rsidRPr="008B5472" w:rsidRDefault="000C1B74" w:rsidP="008F6C42">
            <w:pPr>
              <w:rPr>
                <w:i/>
              </w:rPr>
            </w:pPr>
          </w:p>
          <w:p w:rsidR="00AA1A17" w:rsidRPr="008B5472" w:rsidRDefault="00AA1A17" w:rsidP="008F6C42">
            <w:pPr>
              <w:rPr>
                <w:i/>
              </w:rPr>
            </w:pP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496" w:rsidRPr="008B5472" w:rsidTr="008F6C42"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t>3.4 Konkurencieschopnosť a správanie sa podnikov na trhu</w:t>
            </w:r>
          </w:p>
          <w:p w:rsidR="000C1B74" w:rsidRPr="008B5472" w:rsidRDefault="000C1B74" w:rsidP="008F6C42">
            <w:r w:rsidRPr="008B5472">
              <w:rPr>
                <w:b/>
                <w:sz w:val="24"/>
              </w:rPr>
              <w:t xml:space="preserve">       </w:t>
            </w:r>
            <w:r w:rsidRPr="008B5472">
              <w:rPr>
                <w:sz w:val="24"/>
              </w:rPr>
              <w:t xml:space="preserve">- </w:t>
            </w:r>
            <w:r w:rsidRPr="008B5472">
              <w:rPr>
                <w:b/>
                <w:sz w:val="24"/>
              </w:rPr>
              <w:t>z toho MSP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B5472">
              <w:rPr>
                <w:i/>
              </w:rPr>
              <w:t>mikro</w:t>
            </w:r>
            <w:proofErr w:type="spellEnd"/>
            <w:r w:rsidRPr="008B5472">
              <w:rPr>
                <w:i/>
              </w:rPr>
              <w:t>, malé a stredné podniky tzv. MSP)? Ak áno, popíšte.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Ako ovplyvní cenu alebo dostupnosť základných zdrojov (suroviny, mechanizmy, pracovná sila, energie atď.)?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Ovplyvňuje prístup k financiám? Ak áno, ako?</w:t>
            </w:r>
          </w:p>
        </w:tc>
      </w:tr>
      <w:tr w:rsidR="00927496" w:rsidRPr="008B5472" w:rsidTr="008F6C42">
        <w:trPr>
          <w:trHeight w:val="1282"/>
        </w:trPr>
        <w:tc>
          <w:tcPr>
            <w:tcW w:w="9212" w:type="dxa"/>
          </w:tcPr>
          <w:p w:rsidR="000C1B74" w:rsidRPr="008B5472" w:rsidRDefault="000C1B74" w:rsidP="00BC02C4">
            <w:pPr>
              <w:jc w:val="both"/>
              <w:rPr>
                <w:sz w:val="24"/>
                <w:szCs w:val="24"/>
              </w:rPr>
            </w:pPr>
          </w:p>
          <w:p w:rsidR="000C1B74" w:rsidRPr="008B5472" w:rsidRDefault="000C1B74" w:rsidP="00BC02C4">
            <w:pPr>
              <w:jc w:val="both"/>
            </w:pPr>
            <w:r w:rsidRPr="008B5472">
              <w:rPr>
                <w:sz w:val="24"/>
                <w:szCs w:val="24"/>
              </w:rPr>
              <w:t>Nepredpokladá sa vplyv navrhovanej zmeny na konkurencieschopnosť a správanie sa podnikov na trhu.</w:t>
            </w:r>
          </w:p>
        </w:tc>
      </w:tr>
      <w:tr w:rsidR="00927496" w:rsidRPr="008B5472" w:rsidTr="008F6C42">
        <w:tc>
          <w:tcPr>
            <w:tcW w:w="9212" w:type="dxa"/>
            <w:shd w:val="clear" w:color="auto" w:fill="D9D9D9" w:themeFill="background1" w:themeFillShade="D9"/>
          </w:tcPr>
          <w:p w:rsidR="000C1B74" w:rsidRPr="008B5472" w:rsidRDefault="000C1B74" w:rsidP="008F6C42">
            <w:pPr>
              <w:rPr>
                <w:b/>
                <w:sz w:val="24"/>
              </w:rPr>
            </w:pPr>
            <w:r w:rsidRPr="008B5472">
              <w:rPr>
                <w:b/>
                <w:sz w:val="24"/>
              </w:rPr>
              <w:t xml:space="preserve">3.5 Inovácie </w:t>
            </w:r>
          </w:p>
          <w:p w:rsidR="000C1B74" w:rsidRPr="008B5472" w:rsidRDefault="000C1B74" w:rsidP="008F6C42">
            <w:pPr>
              <w:rPr>
                <w:b/>
              </w:rPr>
            </w:pPr>
            <w:r w:rsidRPr="008B5472">
              <w:rPr>
                <w:sz w:val="24"/>
              </w:rPr>
              <w:t xml:space="preserve">       - </w:t>
            </w:r>
            <w:r w:rsidRPr="008B5472">
              <w:rPr>
                <w:b/>
                <w:sz w:val="24"/>
              </w:rPr>
              <w:t>z toho MSP</w:t>
            </w:r>
          </w:p>
        </w:tc>
      </w:tr>
      <w:tr w:rsidR="00927496" w:rsidRPr="008B5472" w:rsidTr="008F6C42">
        <w:tc>
          <w:tcPr>
            <w:tcW w:w="9212" w:type="dxa"/>
          </w:tcPr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Uveďte, ako podporuje navrhovaná zmena inovácie.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Zjednodušuje uvedenie alebo rozšírenie nových výrobných metód, technológií a výrobkov na trh?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8B5472">
              <w:rPr>
                <w:i/>
              </w:rPr>
              <w:t>know-how</w:t>
            </w:r>
            <w:proofErr w:type="spellEnd"/>
            <w:r w:rsidRPr="008B5472">
              <w:rPr>
                <w:i/>
              </w:rPr>
              <w:t>).</w:t>
            </w:r>
          </w:p>
          <w:p w:rsidR="000C1B74" w:rsidRPr="008B5472" w:rsidRDefault="000C1B74" w:rsidP="008F6C42">
            <w:pPr>
              <w:rPr>
                <w:i/>
              </w:rPr>
            </w:pPr>
            <w:r w:rsidRPr="008B5472">
              <w:rPr>
                <w:i/>
              </w:rPr>
              <w:t>Podporuje vyššiu efektivitu výroby/využívania zdrojov? Ak áno, ako?</w:t>
            </w:r>
          </w:p>
          <w:p w:rsidR="000C1B74" w:rsidRPr="008B5472" w:rsidRDefault="000C1B74" w:rsidP="008F6C42">
            <w:r w:rsidRPr="008B5472">
              <w:rPr>
                <w:i/>
              </w:rPr>
              <w:t>Vytvorí zmena nové pracovné miesta pre zamestnancov výskumu a vývoja v SR?</w:t>
            </w:r>
          </w:p>
        </w:tc>
      </w:tr>
      <w:tr w:rsidR="000C1B74" w:rsidRPr="008B5472" w:rsidTr="008F6C42">
        <w:trPr>
          <w:trHeight w:val="1747"/>
        </w:trPr>
        <w:tc>
          <w:tcPr>
            <w:tcW w:w="9212" w:type="dxa"/>
          </w:tcPr>
          <w:p w:rsidR="000C1B74" w:rsidRPr="008B5472" w:rsidRDefault="000C1B74" w:rsidP="008F6C42">
            <w:pPr>
              <w:rPr>
                <w:sz w:val="24"/>
                <w:szCs w:val="24"/>
              </w:rPr>
            </w:pPr>
          </w:p>
          <w:p w:rsidR="000C1B74" w:rsidRPr="008B5472" w:rsidRDefault="000C1B74" w:rsidP="008F6C42">
            <w:r w:rsidRPr="008B5472">
              <w:rPr>
                <w:sz w:val="24"/>
                <w:szCs w:val="24"/>
              </w:rPr>
              <w:t>Navrhovaná zmena nemá vplyv na inovácie.</w:t>
            </w:r>
            <w:r w:rsidRPr="008B5472">
              <w:t xml:space="preserve"> </w:t>
            </w:r>
          </w:p>
        </w:tc>
      </w:tr>
    </w:tbl>
    <w:p w:rsidR="000C1B74" w:rsidRPr="008B5472" w:rsidRDefault="000C1B74" w:rsidP="000C1B74"/>
    <w:p w:rsidR="000C1B74" w:rsidRPr="008B5472" w:rsidRDefault="000C1B74">
      <w:pPr>
        <w:sectPr w:rsidR="000C1B74" w:rsidRPr="008B5472" w:rsidSect="000502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843"/>
        <w:gridCol w:w="1418"/>
        <w:gridCol w:w="992"/>
      </w:tblGrid>
      <w:tr w:rsidR="00927496" w:rsidRPr="008B5472" w:rsidTr="008F6C42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bCs/>
                <w:sz w:val="28"/>
                <w:szCs w:val="28"/>
              </w:rPr>
            </w:pPr>
            <w:r w:rsidRPr="008B5472">
              <w:rPr>
                <w:b/>
                <w:bCs/>
                <w:sz w:val="28"/>
                <w:szCs w:val="28"/>
              </w:rPr>
              <w:lastRenderedPageBreak/>
              <w:t>Analýza vplyvov na informatizáciu spoločnosti</w:t>
            </w:r>
          </w:p>
          <w:p w:rsidR="000C1B74" w:rsidRPr="008B5472" w:rsidRDefault="000C1B74" w:rsidP="008F6C42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8B5472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927496" w:rsidRPr="008B5472" w:rsidTr="00280092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A – nová služba</w:t>
            </w:r>
          </w:p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0C1B74" w:rsidRPr="008B5472" w:rsidRDefault="000C1B74" w:rsidP="008F6C42">
            <w:pPr>
              <w:spacing w:after="200"/>
              <w:jc w:val="center"/>
              <w:rPr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Kód sl</w:t>
            </w:r>
            <w:bookmarkStart w:id="1" w:name="_GoBack"/>
            <w:bookmarkEnd w:id="1"/>
            <w:r w:rsidRPr="008B5472">
              <w:rPr>
                <w:b/>
                <w:sz w:val="24"/>
                <w:szCs w:val="22"/>
              </w:rPr>
              <w:t>užby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</w:p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Úroveň elektronizácie služby</w:t>
            </w:r>
          </w:p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(0 až 5)</w:t>
            </w:r>
          </w:p>
        </w:tc>
      </w:tr>
      <w:tr w:rsidR="00927496" w:rsidRPr="008B5472" w:rsidTr="00280092">
        <w:trPr>
          <w:trHeight w:val="20"/>
        </w:trPr>
        <w:tc>
          <w:tcPr>
            <w:tcW w:w="3956" w:type="dxa"/>
          </w:tcPr>
          <w:p w:rsidR="000C1B74" w:rsidRPr="008B5472" w:rsidRDefault="000C1B74" w:rsidP="008F6C42">
            <w:pPr>
              <w:jc w:val="both"/>
              <w:rPr>
                <w:szCs w:val="22"/>
              </w:rPr>
            </w:pPr>
            <w:r w:rsidRPr="008B5472">
              <w:rPr>
                <w:b/>
                <w:szCs w:val="22"/>
              </w:rPr>
              <w:t>6.1.</w:t>
            </w:r>
            <w:r w:rsidRPr="008B5472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0C1B74" w:rsidRPr="008B5472" w:rsidRDefault="000C1B74" w:rsidP="008F6C4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8B5472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8B5472">
              <w:rPr>
                <w:i/>
                <w:iCs/>
                <w:szCs w:val="22"/>
              </w:rPr>
              <w:t>eGovernment</w:t>
            </w:r>
            <w:proofErr w:type="spellEnd"/>
            <w:r w:rsidRPr="008B5472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8B5472">
              <w:rPr>
                <w:i/>
                <w:iCs/>
                <w:szCs w:val="22"/>
              </w:rPr>
              <w:t>metainformačnom</w:t>
            </w:r>
            <w:proofErr w:type="spellEnd"/>
            <w:r w:rsidRPr="008B5472">
              <w:rPr>
                <w:i/>
                <w:iCs/>
                <w:szCs w:val="22"/>
              </w:rPr>
              <w:t xml:space="preserve"> systéme verejnej správy.)</w:t>
            </w:r>
            <w:r w:rsidRPr="008B5472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ks_</w:t>
            </w:r>
            <w:r w:rsidR="00280092" w:rsidRPr="008B5472">
              <w:rPr>
                <w:bCs/>
                <w:i/>
              </w:rPr>
              <w:t>337299</w:t>
            </w:r>
          </w:p>
        </w:tc>
        <w:tc>
          <w:tcPr>
            <w:tcW w:w="1418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Poskytovanie údajov o konečných užívateľoch výhod verejnosti</w:t>
            </w:r>
          </w:p>
        </w:tc>
        <w:tc>
          <w:tcPr>
            <w:tcW w:w="99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4</w:t>
            </w:r>
          </w:p>
        </w:tc>
      </w:tr>
      <w:tr w:rsidR="00927496" w:rsidRPr="008B5472" w:rsidTr="00280092">
        <w:trPr>
          <w:trHeight w:val="20"/>
        </w:trPr>
        <w:tc>
          <w:tcPr>
            <w:tcW w:w="3956" w:type="dxa"/>
          </w:tcPr>
          <w:p w:rsidR="000C1B74" w:rsidRPr="008B5472" w:rsidRDefault="000C1B74" w:rsidP="008F6C42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1843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ks_337243</w:t>
            </w:r>
          </w:p>
        </w:tc>
        <w:tc>
          <w:tcPr>
            <w:tcW w:w="1418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Poskytnutie elektronického odpisu subjektu s konečnými užívateľmi výhod</w:t>
            </w:r>
          </w:p>
        </w:tc>
        <w:tc>
          <w:tcPr>
            <w:tcW w:w="99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sz w:val="22"/>
                <w:szCs w:val="22"/>
              </w:rPr>
            </w:pPr>
            <w:r w:rsidRPr="008B5472">
              <w:rPr>
                <w:i/>
                <w:sz w:val="22"/>
                <w:szCs w:val="22"/>
              </w:rPr>
              <w:t>4</w:t>
            </w:r>
          </w:p>
        </w:tc>
      </w:tr>
      <w:tr w:rsidR="00927496" w:rsidRPr="008B5472" w:rsidTr="00280092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A – nový systém</w:t>
            </w:r>
          </w:p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410" w:type="dxa"/>
            <w:gridSpan w:val="2"/>
            <w:shd w:val="clear" w:color="auto" w:fill="C0C0C0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sz w:val="24"/>
                <w:szCs w:val="24"/>
              </w:rPr>
            </w:pPr>
            <w:r w:rsidRPr="008B5472">
              <w:rPr>
                <w:b/>
                <w:sz w:val="24"/>
                <w:szCs w:val="22"/>
              </w:rPr>
              <w:t>Názov systému</w:t>
            </w:r>
          </w:p>
        </w:tc>
      </w:tr>
      <w:tr w:rsidR="00927496" w:rsidRPr="008B5472" w:rsidTr="00280092">
        <w:trPr>
          <w:trHeight w:val="20"/>
        </w:trPr>
        <w:tc>
          <w:tcPr>
            <w:tcW w:w="3956" w:type="dxa"/>
          </w:tcPr>
          <w:p w:rsidR="000C1B74" w:rsidRPr="008B5472" w:rsidRDefault="000C1B74" w:rsidP="008F6C42">
            <w:pPr>
              <w:jc w:val="both"/>
            </w:pPr>
            <w:r w:rsidRPr="008B5472">
              <w:rPr>
                <w:b/>
              </w:rPr>
              <w:t>6.2.</w:t>
            </w:r>
            <w:r w:rsidRPr="008B5472">
              <w:t xml:space="preserve"> Predpokladá predložený návrh zmenu existujúceho alebo vytvorenie nového informačného systému verejnej správy?</w:t>
            </w:r>
          </w:p>
          <w:p w:rsidR="000C1B74" w:rsidRPr="008B5472" w:rsidRDefault="000C1B74" w:rsidP="008F6C4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8B5472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8B5472">
              <w:rPr>
                <w:i/>
                <w:iCs/>
              </w:rPr>
              <w:t>metainformačného</w:t>
            </w:r>
            <w:proofErr w:type="spellEnd"/>
            <w:r w:rsidRPr="008B5472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isvs_420</w:t>
            </w:r>
          </w:p>
        </w:tc>
        <w:tc>
          <w:tcPr>
            <w:tcW w:w="2410" w:type="dxa"/>
            <w:gridSpan w:val="2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Register právnických osôb, podnikateľov a orgánov verejnej moci</w:t>
            </w:r>
          </w:p>
        </w:tc>
      </w:tr>
      <w:tr w:rsidR="00927496" w:rsidRPr="008B5472" w:rsidTr="0028009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0C1B74" w:rsidRPr="008B5472" w:rsidRDefault="000C1B74" w:rsidP="008F6C42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C1B74" w:rsidRPr="008B5472" w:rsidRDefault="000C1B74" w:rsidP="008F6C42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Nadrezortná úroveň</w:t>
            </w:r>
          </w:p>
          <w:p w:rsidR="000C1B74" w:rsidRPr="008B5472" w:rsidRDefault="000C1B74" w:rsidP="008F6C4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0C1B74" w:rsidRPr="008B5472" w:rsidRDefault="000C1B74" w:rsidP="008F6C42">
            <w:pPr>
              <w:rPr>
                <w:b/>
                <w:sz w:val="24"/>
                <w:szCs w:val="22"/>
              </w:rPr>
            </w:pPr>
            <w:r w:rsidRPr="008B5472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0C1B74" w:rsidRPr="00927496" w:rsidTr="00280092">
        <w:trPr>
          <w:trHeight w:val="20"/>
        </w:trPr>
        <w:tc>
          <w:tcPr>
            <w:tcW w:w="3956" w:type="dxa"/>
          </w:tcPr>
          <w:p w:rsidR="000C1B74" w:rsidRPr="008B5472" w:rsidRDefault="000C1B74" w:rsidP="008F6C42">
            <w:pPr>
              <w:jc w:val="both"/>
              <w:rPr>
                <w:szCs w:val="22"/>
              </w:rPr>
            </w:pPr>
            <w:r w:rsidRPr="008B5472">
              <w:rPr>
                <w:b/>
                <w:szCs w:val="22"/>
              </w:rPr>
              <w:t>6.3.</w:t>
            </w:r>
            <w:r w:rsidRPr="008B5472">
              <w:rPr>
                <w:szCs w:val="22"/>
              </w:rPr>
              <w:t xml:space="preserve"> Vyžaduje si proces informatizácie  finančné investície?</w:t>
            </w:r>
          </w:p>
          <w:p w:rsidR="000C1B74" w:rsidRPr="008B5472" w:rsidRDefault="000C1B74" w:rsidP="008F6C4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8B5472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áno</w:t>
            </w:r>
          </w:p>
        </w:tc>
        <w:tc>
          <w:tcPr>
            <w:tcW w:w="2410" w:type="dxa"/>
            <w:gridSpan w:val="2"/>
            <w:vAlign w:val="center"/>
          </w:tcPr>
          <w:p w:rsidR="000C1B74" w:rsidRPr="008B5472" w:rsidRDefault="000C1B74" w:rsidP="008F6C42">
            <w:pPr>
              <w:jc w:val="center"/>
              <w:rPr>
                <w:i/>
                <w:iCs/>
                <w:sz w:val="24"/>
                <w:szCs w:val="24"/>
              </w:rPr>
            </w:pPr>
            <w:r w:rsidRPr="008B5472">
              <w:rPr>
                <w:i/>
                <w:iCs/>
                <w:sz w:val="24"/>
                <w:szCs w:val="24"/>
              </w:rPr>
              <w:t>B</w:t>
            </w:r>
          </w:p>
        </w:tc>
      </w:tr>
    </w:tbl>
    <w:p w:rsidR="00086A8E" w:rsidRPr="00927496" w:rsidRDefault="00086A8E"/>
    <w:sectPr w:rsidR="00086A8E" w:rsidRPr="009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53" w:rsidRDefault="00441553">
      <w:r>
        <w:separator/>
      </w:r>
    </w:p>
  </w:endnote>
  <w:endnote w:type="continuationSeparator" w:id="0">
    <w:p w:rsidR="00441553" w:rsidRDefault="0044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96" w:rsidRDefault="009274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27496" w:rsidRDefault="0092749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96" w:rsidRDefault="0092749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927496" w:rsidRDefault="009274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53" w:rsidRDefault="00441553">
      <w:r>
        <w:separator/>
      </w:r>
    </w:p>
  </w:footnote>
  <w:footnote w:type="continuationSeparator" w:id="0">
    <w:p w:rsidR="00441553" w:rsidRDefault="0044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96" w:rsidRDefault="00927496" w:rsidP="008F6C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27496" w:rsidRPr="00EB59C8" w:rsidRDefault="00927496" w:rsidP="008F6C4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96" w:rsidRPr="0024067A" w:rsidRDefault="00927496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96" w:rsidRPr="000A15AE" w:rsidRDefault="00927496" w:rsidP="008F6C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8F2"/>
    <w:multiLevelType w:val="hybridMultilevel"/>
    <w:tmpl w:val="3C22422A"/>
    <w:lvl w:ilvl="0" w:tplc="AD122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DC6"/>
    <w:multiLevelType w:val="hybridMultilevel"/>
    <w:tmpl w:val="44A25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431"/>
    <w:multiLevelType w:val="hybridMultilevel"/>
    <w:tmpl w:val="56E64DC6"/>
    <w:lvl w:ilvl="0" w:tplc="F4AC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5900"/>
    <w:multiLevelType w:val="hybridMultilevel"/>
    <w:tmpl w:val="AF3AB7A0"/>
    <w:lvl w:ilvl="0" w:tplc="69147BD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DD3"/>
    <w:multiLevelType w:val="hybridMultilevel"/>
    <w:tmpl w:val="9CE0BE5E"/>
    <w:lvl w:ilvl="0" w:tplc="157ED4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B4A6327"/>
    <w:multiLevelType w:val="hybridMultilevel"/>
    <w:tmpl w:val="38BE1F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42B6"/>
    <w:multiLevelType w:val="hybridMultilevel"/>
    <w:tmpl w:val="04B288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20F4C"/>
    <w:multiLevelType w:val="hybridMultilevel"/>
    <w:tmpl w:val="144AB1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754C17"/>
    <w:multiLevelType w:val="hybridMultilevel"/>
    <w:tmpl w:val="37FC2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1B76"/>
    <w:multiLevelType w:val="hybridMultilevel"/>
    <w:tmpl w:val="EE363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C743F"/>
    <w:multiLevelType w:val="hybridMultilevel"/>
    <w:tmpl w:val="F5F679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9139CD"/>
    <w:multiLevelType w:val="hybridMultilevel"/>
    <w:tmpl w:val="FC609260"/>
    <w:lvl w:ilvl="0" w:tplc="11EA79C6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45359A"/>
    <w:multiLevelType w:val="hybridMultilevel"/>
    <w:tmpl w:val="C868E8AA"/>
    <w:lvl w:ilvl="0" w:tplc="824C45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4E0571"/>
    <w:multiLevelType w:val="hybridMultilevel"/>
    <w:tmpl w:val="C700FCD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9509EA"/>
    <w:multiLevelType w:val="hybridMultilevel"/>
    <w:tmpl w:val="147656A4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90E49"/>
    <w:multiLevelType w:val="hybridMultilevel"/>
    <w:tmpl w:val="34FC32F0"/>
    <w:lvl w:ilvl="0" w:tplc="F4AC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2F4269B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FCE66FF"/>
    <w:multiLevelType w:val="hybridMultilevel"/>
    <w:tmpl w:val="5B9E4D3E"/>
    <w:lvl w:ilvl="0" w:tplc="99EC8E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7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82"/>
    <w:rsid w:val="00005118"/>
    <w:rsid w:val="00026762"/>
    <w:rsid w:val="00036E74"/>
    <w:rsid w:val="00050271"/>
    <w:rsid w:val="00067672"/>
    <w:rsid w:val="0007105B"/>
    <w:rsid w:val="00077931"/>
    <w:rsid w:val="00086A8E"/>
    <w:rsid w:val="000B6FE7"/>
    <w:rsid w:val="000C1B74"/>
    <w:rsid w:val="000D7E56"/>
    <w:rsid w:val="000F5B4C"/>
    <w:rsid w:val="00120D0E"/>
    <w:rsid w:val="00120E5F"/>
    <w:rsid w:val="00161F3F"/>
    <w:rsid w:val="00171B99"/>
    <w:rsid w:val="0018656B"/>
    <w:rsid w:val="001C3395"/>
    <w:rsid w:val="001E5DC0"/>
    <w:rsid w:val="00241686"/>
    <w:rsid w:val="002448C6"/>
    <w:rsid w:val="00251B73"/>
    <w:rsid w:val="002623E1"/>
    <w:rsid w:val="00280092"/>
    <w:rsid w:val="00287D38"/>
    <w:rsid w:val="002917EF"/>
    <w:rsid w:val="00301394"/>
    <w:rsid w:val="00304EB3"/>
    <w:rsid w:val="00307932"/>
    <w:rsid w:val="00310A93"/>
    <w:rsid w:val="00315D56"/>
    <w:rsid w:val="003214C6"/>
    <w:rsid w:val="00333B03"/>
    <w:rsid w:val="003613FD"/>
    <w:rsid w:val="003E49FC"/>
    <w:rsid w:val="004206F6"/>
    <w:rsid w:val="004306FA"/>
    <w:rsid w:val="00441553"/>
    <w:rsid w:val="0046220E"/>
    <w:rsid w:val="004B322C"/>
    <w:rsid w:val="004C0D00"/>
    <w:rsid w:val="0054175E"/>
    <w:rsid w:val="00557F4A"/>
    <w:rsid w:val="0058129C"/>
    <w:rsid w:val="005B3DE6"/>
    <w:rsid w:val="005C0092"/>
    <w:rsid w:val="005C2316"/>
    <w:rsid w:val="005C2AC5"/>
    <w:rsid w:val="005C472D"/>
    <w:rsid w:val="005C61B8"/>
    <w:rsid w:val="006069B7"/>
    <w:rsid w:val="00622F8F"/>
    <w:rsid w:val="0065108B"/>
    <w:rsid w:val="006A19BD"/>
    <w:rsid w:val="006A672C"/>
    <w:rsid w:val="006C2C25"/>
    <w:rsid w:val="006E0264"/>
    <w:rsid w:val="006E59F0"/>
    <w:rsid w:val="006F5D69"/>
    <w:rsid w:val="00715CE7"/>
    <w:rsid w:val="0072462D"/>
    <w:rsid w:val="00746323"/>
    <w:rsid w:val="00764717"/>
    <w:rsid w:val="00793072"/>
    <w:rsid w:val="007A1987"/>
    <w:rsid w:val="007A208D"/>
    <w:rsid w:val="007C4AA3"/>
    <w:rsid w:val="007E4186"/>
    <w:rsid w:val="00817B42"/>
    <w:rsid w:val="00824BE6"/>
    <w:rsid w:val="00827409"/>
    <w:rsid w:val="00862942"/>
    <w:rsid w:val="0087030C"/>
    <w:rsid w:val="00876FB0"/>
    <w:rsid w:val="008B5472"/>
    <w:rsid w:val="008F6C42"/>
    <w:rsid w:val="0091033B"/>
    <w:rsid w:val="00923473"/>
    <w:rsid w:val="00927496"/>
    <w:rsid w:val="009300CF"/>
    <w:rsid w:val="00947F82"/>
    <w:rsid w:val="00957B01"/>
    <w:rsid w:val="00986260"/>
    <w:rsid w:val="00A37D48"/>
    <w:rsid w:val="00A712CF"/>
    <w:rsid w:val="00A842D6"/>
    <w:rsid w:val="00AA1A17"/>
    <w:rsid w:val="00AF2992"/>
    <w:rsid w:val="00B03FDF"/>
    <w:rsid w:val="00B12385"/>
    <w:rsid w:val="00B13C0A"/>
    <w:rsid w:val="00B1531E"/>
    <w:rsid w:val="00B530E3"/>
    <w:rsid w:val="00B57662"/>
    <w:rsid w:val="00B637FC"/>
    <w:rsid w:val="00B947D6"/>
    <w:rsid w:val="00B96E91"/>
    <w:rsid w:val="00BA2EF7"/>
    <w:rsid w:val="00BC02C4"/>
    <w:rsid w:val="00C064D5"/>
    <w:rsid w:val="00C23A5C"/>
    <w:rsid w:val="00C3694F"/>
    <w:rsid w:val="00C37FEC"/>
    <w:rsid w:val="00C42F48"/>
    <w:rsid w:val="00C46335"/>
    <w:rsid w:val="00C83276"/>
    <w:rsid w:val="00CC242D"/>
    <w:rsid w:val="00CD5137"/>
    <w:rsid w:val="00CE7212"/>
    <w:rsid w:val="00CF6DFA"/>
    <w:rsid w:val="00D029D3"/>
    <w:rsid w:val="00D264AF"/>
    <w:rsid w:val="00D4298D"/>
    <w:rsid w:val="00D4369D"/>
    <w:rsid w:val="00D46656"/>
    <w:rsid w:val="00D96C17"/>
    <w:rsid w:val="00DA2BFE"/>
    <w:rsid w:val="00DA35D4"/>
    <w:rsid w:val="00DC2598"/>
    <w:rsid w:val="00DC5AD3"/>
    <w:rsid w:val="00DF573D"/>
    <w:rsid w:val="00E068BF"/>
    <w:rsid w:val="00E25C46"/>
    <w:rsid w:val="00E54513"/>
    <w:rsid w:val="00E545F1"/>
    <w:rsid w:val="00E5732F"/>
    <w:rsid w:val="00E65117"/>
    <w:rsid w:val="00E703AA"/>
    <w:rsid w:val="00E760AE"/>
    <w:rsid w:val="00E85DBA"/>
    <w:rsid w:val="00EB6084"/>
    <w:rsid w:val="00EC708F"/>
    <w:rsid w:val="00ED44A4"/>
    <w:rsid w:val="00EE00C2"/>
    <w:rsid w:val="00F06303"/>
    <w:rsid w:val="00F06864"/>
    <w:rsid w:val="00F44F7B"/>
    <w:rsid w:val="00F85C99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1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1B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1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1B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C1B7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74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0C1B74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0C1B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C1B74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766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7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7662"/>
    <w:rPr>
      <w:vertAlign w:val="superscript"/>
    </w:rPr>
  </w:style>
  <w:style w:type="character" w:customStyle="1" w:styleId="fontstyle01">
    <w:name w:val="fontstyle01"/>
    <w:basedOn w:val="Predvolenpsmoodseku"/>
    <w:rsid w:val="00BA2EF7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4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1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1B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1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1B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C1B7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74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0C1B74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0C1B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C1B74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766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7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7662"/>
    <w:rPr>
      <w:vertAlign w:val="superscript"/>
    </w:rPr>
  </w:style>
  <w:style w:type="character" w:customStyle="1" w:styleId="fontstyle01">
    <w:name w:val="fontstyle01"/>
    <w:basedOn w:val="Predvolenpsmoodseku"/>
    <w:rsid w:val="00BA2EF7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4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8/297/20180315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vka.gregusova@min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81ED-27EF-4488-AC8E-F8448D1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Juraj Beník</cp:lastModifiedBy>
  <cp:revision>52</cp:revision>
  <cp:lastPrinted>2019-09-11T12:13:00Z</cp:lastPrinted>
  <dcterms:created xsi:type="dcterms:W3CDTF">2019-06-25T07:41:00Z</dcterms:created>
  <dcterms:modified xsi:type="dcterms:W3CDTF">2019-09-11T16:25:00Z</dcterms:modified>
</cp:coreProperties>
</file>