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59" w:rsidRPr="00264660" w:rsidRDefault="004D4959" w:rsidP="004D495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264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N Á V R H</w:t>
      </w:r>
    </w:p>
    <w:p w:rsidR="004D4959" w:rsidRPr="006C7D93" w:rsidRDefault="004D4959" w:rsidP="004D495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4D4959" w:rsidRPr="00264660" w:rsidRDefault="004D4959" w:rsidP="004D4959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264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Zákon</w:t>
      </w:r>
    </w:p>
    <w:p w:rsidR="004D4959" w:rsidRPr="00264660" w:rsidRDefault="004D4959" w:rsidP="004D4959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D4959" w:rsidRPr="00264660" w:rsidRDefault="004D4959" w:rsidP="004D4959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2646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... 2019,</w:t>
      </w:r>
    </w:p>
    <w:p w:rsidR="004D4959" w:rsidRPr="006C7D93" w:rsidRDefault="004D4959" w:rsidP="004D495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4D4959" w:rsidRPr="0044487A" w:rsidRDefault="004D4959" w:rsidP="004D4959">
      <w:pPr>
        <w:pStyle w:val="Zkladntext"/>
        <w:jc w:val="center"/>
        <w:rPr>
          <w:bCs/>
          <w:color w:val="auto"/>
        </w:rPr>
      </w:pPr>
      <w:r w:rsidRPr="00264660">
        <w:rPr>
          <w:b/>
          <w:bCs/>
          <w:color w:val="auto"/>
        </w:rPr>
        <w:t xml:space="preserve">ktorým sa mení a dopĺňa zákon č. </w:t>
      </w:r>
      <w:r>
        <w:rPr>
          <w:b/>
          <w:bCs/>
          <w:color w:val="auto"/>
        </w:rPr>
        <w:t>106/2004</w:t>
      </w:r>
      <w:r w:rsidRPr="00264660">
        <w:rPr>
          <w:b/>
          <w:bCs/>
          <w:color w:val="auto"/>
        </w:rPr>
        <w:t xml:space="preserve"> Z. z. o spotrebnej dani z</w:t>
      </w:r>
      <w:r>
        <w:rPr>
          <w:b/>
          <w:bCs/>
          <w:color w:val="auto"/>
        </w:rPr>
        <w:t> tabakových výrobkov</w:t>
      </w:r>
      <w:r w:rsidRPr="00AD5097">
        <w:rPr>
          <w:b/>
          <w:bCs/>
          <w:color w:val="auto"/>
        </w:rPr>
        <w:t xml:space="preserve"> v znení neskorších predpisov</w:t>
      </w:r>
      <w:r w:rsidRPr="00264660">
        <w:rPr>
          <w:b/>
          <w:bCs/>
          <w:color w:val="auto"/>
        </w:rPr>
        <w:br/>
      </w:r>
    </w:p>
    <w:p w:rsidR="004D4959" w:rsidRPr="0044487A" w:rsidRDefault="004D4959" w:rsidP="004D4959">
      <w:pPr>
        <w:pStyle w:val="Zkladntext"/>
        <w:jc w:val="center"/>
        <w:rPr>
          <w:bCs/>
          <w:color w:val="auto"/>
        </w:rPr>
      </w:pPr>
    </w:p>
    <w:p w:rsidR="004D4959" w:rsidRPr="00264660" w:rsidRDefault="004D4959" w:rsidP="004D4959">
      <w:pPr>
        <w:widowControl w:val="0"/>
        <w:autoSpaceDE w:val="0"/>
        <w:autoSpaceDN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26466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4D4959" w:rsidRPr="00264660" w:rsidRDefault="004D4959" w:rsidP="004D4959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64CBF" w:rsidRPr="00264660" w:rsidRDefault="00864CBF" w:rsidP="00864CB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64660">
        <w:rPr>
          <w:rFonts w:ascii="Times New Roman" w:eastAsia="Times New Roman" w:hAnsi="Times New Roman"/>
          <w:b/>
          <w:color w:val="000000"/>
          <w:sz w:val="24"/>
          <w:szCs w:val="24"/>
        </w:rPr>
        <w:t>Čl. I</w:t>
      </w:r>
    </w:p>
    <w:p w:rsidR="00864CBF" w:rsidRDefault="00864CBF" w:rsidP="00864CB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4CBF" w:rsidRPr="00F20A4C" w:rsidRDefault="00864CBF" w:rsidP="00864C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20A4C">
        <w:rPr>
          <w:rFonts w:ascii="Times New Roman" w:hAnsi="Times New Roman"/>
          <w:bCs/>
          <w:sz w:val="24"/>
          <w:szCs w:val="24"/>
        </w:rPr>
        <w:t xml:space="preserve">Zákon č. </w:t>
      </w:r>
      <w:hyperlink r:id="rId6" w:tooltip="Odkaz na predpis alebo ustanovenie" w:history="1">
        <w:r w:rsidRPr="00F20A4C">
          <w:rPr>
            <w:rFonts w:ascii="Times New Roman" w:hAnsi="Times New Roman"/>
            <w:bCs/>
            <w:sz w:val="24"/>
            <w:szCs w:val="24"/>
          </w:rPr>
          <w:t>106/2004 Z. z.</w:t>
        </w:r>
      </w:hyperlink>
      <w:r w:rsidRPr="00F20A4C">
        <w:rPr>
          <w:rFonts w:ascii="Times New Roman" w:hAnsi="Times New Roman"/>
          <w:bCs/>
          <w:sz w:val="24"/>
          <w:szCs w:val="24"/>
        </w:rPr>
        <w:t xml:space="preserve"> o spotrebnej dani z tabakových výrobkov v znení zákona č. 556/2004 Z. z., zákona č. 631/2004 Z. z., zákona č. 533/2005 Z. z., zákona č. 610/2005 Z. z., zákona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F20A4C">
        <w:rPr>
          <w:rFonts w:ascii="Times New Roman" w:hAnsi="Times New Roman"/>
          <w:bCs/>
          <w:sz w:val="24"/>
          <w:szCs w:val="24"/>
        </w:rPr>
        <w:t>č. 547/2007 Z. z., zákona č. 378/2008 Z. z., zákona č. 465/2008 Z. z., zákona č. 305/2009 Z. z., zákona č. 477/2009 Z. z., zákona č. 491/2010 Z. z., z</w:t>
      </w:r>
      <w:r>
        <w:rPr>
          <w:rFonts w:ascii="Times New Roman" w:hAnsi="Times New Roman"/>
          <w:bCs/>
          <w:sz w:val="24"/>
          <w:szCs w:val="24"/>
        </w:rPr>
        <w:t xml:space="preserve">ákona č. 546/2011 Z. z., zákona                                </w:t>
      </w:r>
      <w:r w:rsidRPr="00F20A4C">
        <w:rPr>
          <w:rFonts w:ascii="Times New Roman" w:hAnsi="Times New Roman"/>
          <w:bCs/>
          <w:sz w:val="24"/>
          <w:szCs w:val="24"/>
        </w:rPr>
        <w:t>č. 547/2011 Z. z., zákona č. 288/2012 Z. z., zákona č. 381/2013 Z. z., zákona č. 218/2014 Z. z., zákona č. 323/2014 Z. z., zákona č. 54/2015 Z. z., zákona č. 130/2015 Z. z., zákona č. 241/2015 Z. z. a zákona č. 360/2015 Z. z., zákona č. 296/2016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20A4C">
        <w:rPr>
          <w:rFonts w:ascii="Times New Roman" w:hAnsi="Times New Roman"/>
          <w:bCs/>
          <w:sz w:val="24"/>
          <w:szCs w:val="24"/>
        </w:rPr>
        <w:t>zákona č. 269/2017 Z. z.</w:t>
      </w:r>
      <w:r>
        <w:rPr>
          <w:rFonts w:ascii="Times New Roman" w:hAnsi="Times New Roman"/>
          <w:bCs/>
          <w:sz w:val="24"/>
          <w:szCs w:val="24"/>
        </w:rPr>
        <w:t xml:space="preserve">, zákona                   č. 92/2019 Z. z. a zákona č. 221/2019 Z. z. </w:t>
      </w:r>
      <w:r w:rsidRPr="00F20A4C">
        <w:rPr>
          <w:rFonts w:ascii="Times New Roman" w:hAnsi="Times New Roman"/>
          <w:bCs/>
          <w:sz w:val="24"/>
          <w:szCs w:val="24"/>
        </w:rPr>
        <w:t>sa mení a dopĺňa takto:</w:t>
      </w:r>
    </w:p>
    <w:p w:rsidR="00864CBF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Default="00864CBF" w:rsidP="00864CBF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5BBC">
        <w:rPr>
          <w:rFonts w:ascii="Times New Roman" w:hAnsi="Times New Roman"/>
          <w:color w:val="000000"/>
          <w:sz w:val="24"/>
          <w:szCs w:val="24"/>
        </w:rPr>
        <w:t>V § 2 ods. 1 písm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C5BBC">
        <w:rPr>
          <w:rFonts w:ascii="Times New Roman" w:hAnsi="Times New Roman"/>
          <w:color w:val="000000"/>
          <w:sz w:val="24"/>
          <w:szCs w:val="24"/>
        </w:rPr>
        <w:t xml:space="preserve"> b) sa </w:t>
      </w:r>
      <w:r>
        <w:rPr>
          <w:rFonts w:ascii="Times New Roman" w:hAnsi="Times New Roman"/>
          <w:color w:val="000000"/>
          <w:sz w:val="24"/>
          <w:szCs w:val="24"/>
        </w:rPr>
        <w:t>za slovom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Livigno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“ vypúšťa čiarka a s</w:t>
      </w:r>
      <w:r w:rsidRPr="00CC5BBC">
        <w:rPr>
          <w:rFonts w:ascii="Times New Roman" w:hAnsi="Times New Roman"/>
          <w:color w:val="000000"/>
          <w:sz w:val="24"/>
          <w:szCs w:val="24"/>
        </w:rPr>
        <w:t>lová „</w:t>
      </w:r>
      <w:proofErr w:type="spellStart"/>
      <w:r w:rsidRPr="00CC5BBC">
        <w:rPr>
          <w:rFonts w:ascii="Times New Roman" w:hAnsi="Times New Roman"/>
          <w:color w:val="000000"/>
          <w:sz w:val="24"/>
          <w:szCs w:val="24"/>
        </w:rPr>
        <w:t>Campione</w:t>
      </w:r>
      <w:proofErr w:type="spellEnd"/>
      <w:r w:rsidRPr="00CC5B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5BBC">
        <w:rPr>
          <w:rFonts w:ascii="Times New Roman" w:hAnsi="Times New Roman"/>
          <w:color w:val="000000"/>
          <w:sz w:val="24"/>
          <w:szCs w:val="24"/>
        </w:rPr>
        <w:t>d´Italia</w:t>
      </w:r>
      <w:proofErr w:type="spellEnd"/>
      <w:r w:rsidRPr="00CC5BBC">
        <w:rPr>
          <w:rFonts w:ascii="Times New Roman" w:hAnsi="Times New Roman"/>
          <w:color w:val="000000"/>
          <w:sz w:val="24"/>
          <w:szCs w:val="24"/>
        </w:rPr>
        <w:t xml:space="preserve"> a talianskych vnútrozemských vôd jazera </w:t>
      </w:r>
      <w:proofErr w:type="spellStart"/>
      <w:r w:rsidRPr="00CC5BBC">
        <w:rPr>
          <w:rFonts w:ascii="Times New Roman" w:hAnsi="Times New Roman"/>
          <w:color w:val="000000"/>
          <w:sz w:val="24"/>
          <w:szCs w:val="24"/>
        </w:rPr>
        <w:t>Lugano</w:t>
      </w:r>
      <w:proofErr w:type="spellEnd"/>
      <w:r w:rsidRPr="00CC5BBC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4CBF" w:rsidRPr="005F2990" w:rsidRDefault="00864CBF" w:rsidP="00864CBF">
      <w:pPr>
        <w:pStyle w:val="Odsekzoznamu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64CBF" w:rsidRDefault="00864CBF" w:rsidP="00864CBF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§ 6 odseky 1 až 3 znejú:</w:t>
      </w:r>
    </w:p>
    <w:p w:rsidR="00864CBF" w:rsidRDefault="00864CBF" w:rsidP="00864CBF">
      <w:pPr>
        <w:rPr>
          <w:rFonts w:ascii="Times New Roman" w:hAnsi="Times New Roman"/>
          <w:sz w:val="24"/>
          <w:szCs w:val="24"/>
        </w:rPr>
      </w:pPr>
    </w:p>
    <w:p w:rsidR="00864CBF" w:rsidRPr="00BF5558" w:rsidRDefault="00864CBF" w:rsidP="00864CBF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</w:t>
      </w:r>
      <w:r w:rsidRPr="00BF5558">
        <w:rPr>
          <w:rFonts w:ascii="Times New Roman" w:hAnsi="Times New Roman"/>
          <w:sz w:val="24"/>
          <w:szCs w:val="24"/>
        </w:rPr>
        <w:t>Sadzba dane z tabakových výrobkov okrem cigariet sa ustanovuje takto: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1881"/>
      </w:tblGrid>
      <w:tr w:rsidR="00864CBF" w:rsidRPr="001236F3" w:rsidTr="009412E4">
        <w:trPr>
          <w:tblCellSpacing w:w="15" w:type="dxa"/>
        </w:trPr>
        <w:tc>
          <w:tcPr>
            <w:tcW w:w="0" w:type="auto"/>
            <w:hideMark/>
          </w:tcPr>
          <w:p w:rsidR="00864CBF" w:rsidRPr="001236F3" w:rsidRDefault="00864CBF" w:rsidP="009412E4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236F3">
              <w:rPr>
                <w:rFonts w:ascii="Times New Roman" w:hAnsi="Times New Roman"/>
                <w:sz w:val="24"/>
                <w:szCs w:val="24"/>
              </w:rPr>
              <w:t>opis tovaru</w:t>
            </w:r>
          </w:p>
        </w:tc>
        <w:tc>
          <w:tcPr>
            <w:tcW w:w="0" w:type="auto"/>
            <w:hideMark/>
          </w:tcPr>
          <w:p w:rsidR="00864CBF" w:rsidRPr="001236F3" w:rsidRDefault="00864CBF" w:rsidP="009412E4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236F3">
              <w:rPr>
                <w:rFonts w:ascii="Times New Roman" w:hAnsi="Times New Roman"/>
                <w:sz w:val="24"/>
                <w:szCs w:val="24"/>
              </w:rPr>
              <w:t>sadzba dane</w:t>
            </w:r>
          </w:p>
        </w:tc>
      </w:tr>
      <w:tr w:rsidR="00864CBF" w:rsidRPr="00D07E26" w:rsidTr="009412E4">
        <w:trPr>
          <w:tblCellSpacing w:w="15" w:type="dxa"/>
        </w:trPr>
        <w:tc>
          <w:tcPr>
            <w:tcW w:w="0" w:type="auto"/>
            <w:hideMark/>
          </w:tcPr>
          <w:p w:rsidR="00864CBF" w:rsidRPr="00D07E26" w:rsidRDefault="00864CBF" w:rsidP="009412E4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07E26">
              <w:rPr>
                <w:rFonts w:ascii="Times New Roman" w:hAnsi="Times New Roman"/>
                <w:sz w:val="24"/>
                <w:szCs w:val="24"/>
              </w:rPr>
              <w:t xml:space="preserve">cigary, </w:t>
            </w:r>
            <w:proofErr w:type="spellStart"/>
            <w:r w:rsidRPr="00D07E26">
              <w:rPr>
                <w:rFonts w:ascii="Times New Roman" w:hAnsi="Times New Roman"/>
                <w:sz w:val="24"/>
                <w:szCs w:val="24"/>
              </w:rPr>
              <w:t>cigarky</w:t>
            </w:r>
            <w:proofErr w:type="spellEnd"/>
          </w:p>
        </w:tc>
        <w:tc>
          <w:tcPr>
            <w:tcW w:w="0" w:type="auto"/>
            <w:hideMark/>
          </w:tcPr>
          <w:p w:rsidR="00864CBF" w:rsidRPr="00D07E26" w:rsidRDefault="00864CBF" w:rsidP="009412E4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07E26">
              <w:rPr>
                <w:rFonts w:ascii="Times New Roman" w:hAnsi="Times New Roman"/>
                <w:sz w:val="24"/>
                <w:szCs w:val="24"/>
              </w:rPr>
              <w:t>76,70 eura/kg</w:t>
            </w:r>
          </w:p>
        </w:tc>
      </w:tr>
      <w:tr w:rsidR="00864CBF" w:rsidRPr="00D07E26" w:rsidTr="009412E4">
        <w:trPr>
          <w:tblCellSpacing w:w="15" w:type="dxa"/>
        </w:trPr>
        <w:tc>
          <w:tcPr>
            <w:tcW w:w="0" w:type="auto"/>
            <w:hideMark/>
          </w:tcPr>
          <w:p w:rsidR="00864CBF" w:rsidRPr="00D07E26" w:rsidRDefault="00864CBF" w:rsidP="009412E4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07E26">
              <w:rPr>
                <w:rFonts w:ascii="Times New Roman" w:hAnsi="Times New Roman"/>
                <w:sz w:val="24"/>
                <w:szCs w:val="24"/>
              </w:rPr>
              <w:t>tabak</w:t>
            </w:r>
          </w:p>
        </w:tc>
        <w:tc>
          <w:tcPr>
            <w:tcW w:w="0" w:type="auto"/>
            <w:hideMark/>
          </w:tcPr>
          <w:p w:rsidR="00864CBF" w:rsidRPr="00D07E26" w:rsidRDefault="00864CBF" w:rsidP="009412E4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07E26">
              <w:rPr>
                <w:rFonts w:ascii="Times New Roman" w:hAnsi="Times New Roman"/>
                <w:sz w:val="24"/>
                <w:szCs w:val="24"/>
              </w:rPr>
              <w:t>89,30 eura/kg.</w:t>
            </w:r>
          </w:p>
        </w:tc>
      </w:tr>
    </w:tbl>
    <w:p w:rsidR="00864CBF" w:rsidRDefault="00864CBF" w:rsidP="00864CBF">
      <w:pPr>
        <w:rPr>
          <w:rFonts w:ascii="Times New Roman" w:hAnsi="Times New Roman"/>
          <w:sz w:val="24"/>
          <w:szCs w:val="24"/>
        </w:rPr>
      </w:pPr>
    </w:p>
    <w:p w:rsidR="00864CBF" w:rsidRDefault="00864CBF" w:rsidP="00864CBF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803986">
        <w:rPr>
          <w:rFonts w:ascii="Times New Roman" w:hAnsi="Times New Roman"/>
          <w:sz w:val="24"/>
          <w:szCs w:val="24"/>
        </w:rPr>
        <w:t xml:space="preserve">Sadzba dane z cigariet </w:t>
      </w:r>
      <w:r>
        <w:rPr>
          <w:rFonts w:ascii="Times New Roman" w:hAnsi="Times New Roman"/>
          <w:sz w:val="24"/>
          <w:szCs w:val="24"/>
        </w:rPr>
        <w:t>okrem</w:t>
      </w:r>
      <w:r w:rsidRPr="00803986">
        <w:rPr>
          <w:rFonts w:ascii="Times New Roman" w:hAnsi="Times New Roman"/>
          <w:sz w:val="24"/>
          <w:szCs w:val="24"/>
        </w:rPr>
        <w:t xml:space="preserve"> odseku 3 </w:t>
      </w:r>
      <w:r>
        <w:rPr>
          <w:rFonts w:ascii="Times New Roman" w:hAnsi="Times New Roman"/>
          <w:sz w:val="24"/>
          <w:szCs w:val="24"/>
        </w:rPr>
        <w:t>sa ustanovuje takto:</w:t>
      </w:r>
    </w:p>
    <w:p w:rsidR="00864CBF" w:rsidRPr="00803986" w:rsidRDefault="00864CBF" w:rsidP="00864CB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49"/>
        <w:gridCol w:w="2830"/>
        <w:gridCol w:w="2578"/>
      </w:tblGrid>
      <w:tr w:rsidR="00864CBF" w:rsidRPr="001236F3" w:rsidTr="009412E4">
        <w:trPr>
          <w:tblCellSpacing w:w="0" w:type="dxa"/>
        </w:trPr>
        <w:tc>
          <w:tcPr>
            <w:tcW w:w="6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BF" w:rsidRPr="001236F3" w:rsidRDefault="00864CBF" w:rsidP="009412E4">
            <w:pPr>
              <w:ind w:left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236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kombinovaná sadzba dane</w:t>
            </w:r>
          </w:p>
        </w:tc>
      </w:tr>
      <w:tr w:rsidR="00864CBF" w:rsidRPr="001236F3" w:rsidTr="009412E4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BF" w:rsidRPr="001236F3" w:rsidRDefault="00864CBF" w:rsidP="009412E4">
            <w:pPr>
              <w:ind w:left="426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236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opis tovaru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BF" w:rsidRPr="001236F3" w:rsidRDefault="00864CBF" w:rsidP="009412E4">
            <w:pPr>
              <w:ind w:left="426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236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špecifická 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BF" w:rsidRPr="001236F3" w:rsidRDefault="00864CBF" w:rsidP="009412E4">
            <w:pPr>
              <w:ind w:left="426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236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percentuálna časť</w:t>
            </w:r>
          </w:p>
        </w:tc>
      </w:tr>
      <w:tr w:rsidR="00864CBF" w:rsidRPr="001236F3" w:rsidTr="009412E4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BF" w:rsidRPr="001236F3" w:rsidRDefault="00864CBF" w:rsidP="009412E4">
            <w:pPr>
              <w:ind w:left="426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236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cigarety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BF" w:rsidRPr="001236F3" w:rsidRDefault="00864CBF" w:rsidP="009412E4">
            <w:pPr>
              <w:ind w:left="426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74,60</w:t>
            </w:r>
            <w:r w:rsidRPr="001236F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eura/1 000 kusov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BF" w:rsidRPr="007E45D8" w:rsidRDefault="00864CBF" w:rsidP="009412E4">
            <w:pPr>
              <w:pStyle w:val="Odsekzoznamu"/>
              <w:numPr>
                <w:ilvl w:val="0"/>
                <w:numId w:val="14"/>
              </w:numPr>
              <w:ind w:left="426" w:firstLine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%</w:t>
            </w:r>
            <w:r w:rsidRPr="007E45D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 ceny cigariet.</w:t>
            </w:r>
          </w:p>
        </w:tc>
      </w:tr>
    </w:tbl>
    <w:p w:rsidR="00864CBF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803986" w:rsidRDefault="00864CBF" w:rsidP="00864CBF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03986">
        <w:rPr>
          <w:rFonts w:ascii="Times New Roman" w:hAnsi="Times New Roman"/>
          <w:sz w:val="24"/>
          <w:szCs w:val="24"/>
        </w:rPr>
        <w:t xml:space="preserve">Minimálna sadzba dane z cigariet je </w:t>
      </w:r>
      <w:r>
        <w:rPr>
          <w:rFonts w:ascii="Times New Roman" w:hAnsi="Times New Roman"/>
          <w:sz w:val="24"/>
          <w:szCs w:val="24"/>
        </w:rPr>
        <w:t>116,50</w:t>
      </w:r>
      <w:r w:rsidRPr="00803986">
        <w:rPr>
          <w:rFonts w:ascii="Times New Roman" w:hAnsi="Times New Roman"/>
          <w:sz w:val="24"/>
          <w:szCs w:val="24"/>
        </w:rPr>
        <w:t xml:space="preserve"> eura/1 000 kusov</w:t>
      </w:r>
      <w:r w:rsidRPr="00803986">
        <w:rPr>
          <w:rFonts w:ascii="Times New Roman" w:hAnsi="Times New Roman"/>
          <w:color w:val="000000"/>
          <w:sz w:val="24"/>
          <w:szCs w:val="24"/>
        </w:rPr>
        <w:t>.“.</w:t>
      </w:r>
    </w:p>
    <w:p w:rsidR="00864CBF" w:rsidRDefault="00864CBF" w:rsidP="00864CB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Default="00864CBF" w:rsidP="00864CBF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§ 19aa ods. 3 sa slová „</w:t>
      </w:r>
      <w:r w:rsidRPr="001236F3">
        <w:rPr>
          <w:rFonts w:ascii="Times New Roman" w:hAnsi="Times New Roman"/>
          <w:color w:val="000000"/>
          <w:sz w:val="24"/>
          <w:szCs w:val="24"/>
        </w:rPr>
        <w:t>sadzby dane na tabak</w:t>
      </w:r>
      <w:r>
        <w:rPr>
          <w:rFonts w:ascii="Times New Roman" w:hAnsi="Times New Roman"/>
          <w:color w:val="000000"/>
          <w:sz w:val="24"/>
          <w:szCs w:val="24"/>
        </w:rPr>
        <w:t xml:space="preserve">“ nahrádzajú slovami </w:t>
      </w:r>
      <w:r w:rsidRPr="00803986">
        <w:rPr>
          <w:rFonts w:ascii="Times New Roman" w:hAnsi="Times New Roman"/>
          <w:color w:val="000000"/>
          <w:sz w:val="24"/>
          <w:szCs w:val="24"/>
        </w:rPr>
        <w:t>„146,10 eura/kg</w:t>
      </w:r>
      <w:r>
        <w:rPr>
          <w:rFonts w:ascii="Times New Roman" w:hAnsi="Times New Roman"/>
          <w:color w:val="000000"/>
          <w:sz w:val="24"/>
          <w:szCs w:val="24"/>
        </w:rPr>
        <w:t>“.</w:t>
      </w:r>
    </w:p>
    <w:p w:rsidR="00864CBF" w:rsidRPr="005F2990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8C5E9A" w:rsidRDefault="00864CBF" w:rsidP="00864CBF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§ 19aa ods. 11 a  12 sa slová „</w:t>
      </w:r>
      <w:r w:rsidRPr="008C5E9A">
        <w:rPr>
          <w:rFonts w:ascii="Times New Roman" w:hAnsi="Times New Roman"/>
          <w:color w:val="000000"/>
          <w:sz w:val="24"/>
          <w:szCs w:val="24"/>
        </w:rPr>
        <w:t>prijať alebo doviesť“ nahrádzajú slovami „prijímať alebo dovážať“.</w:t>
      </w:r>
    </w:p>
    <w:p w:rsidR="00864CBF" w:rsidRDefault="00864CBF" w:rsidP="00864CBF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Default="00864CBF" w:rsidP="00864CBF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 § 19aa odsek 17 znie:</w:t>
      </w:r>
    </w:p>
    <w:p w:rsidR="00864CBF" w:rsidRDefault="00864CBF" w:rsidP="00864CBF">
      <w:p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„(17) Od dane je oslobodený neobchodný dovoz bezdymového tabakového výrobku                     v osobnej batožine cestujúceho z územia tretích štátov najviac v množstve </w:t>
      </w:r>
      <w:r w:rsidRPr="00D8198C">
        <w:rPr>
          <w:rFonts w:ascii="Times New Roman" w:hAnsi="Times New Roman"/>
          <w:color w:val="000000"/>
          <w:sz w:val="24"/>
          <w:szCs w:val="24"/>
        </w:rPr>
        <w:t>desať</w:t>
      </w:r>
      <w:r>
        <w:rPr>
          <w:rFonts w:ascii="Times New Roman" w:hAnsi="Times New Roman"/>
          <w:color w:val="000000"/>
          <w:sz w:val="24"/>
          <w:szCs w:val="24"/>
        </w:rPr>
        <w:t xml:space="preserve"> spotrebiteľských balení bezdymového tabakového výrobku, ak cestuje leteckou dopravou, a najviac v množstve dve spotrebiteľské balenia bezdymového tabakového výrobku, ak cestuje inak ako leteckou dopravou. Oslobodenie od dane sa neuplatní, ak cestujúcim je osoba mladšia ako 17 rokov.“.</w:t>
      </w:r>
    </w:p>
    <w:p w:rsidR="00864CBF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0B7EBB" w:rsidRDefault="00864CBF" w:rsidP="00864CBF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7EBB">
        <w:rPr>
          <w:rFonts w:ascii="Times New Roman" w:hAnsi="Times New Roman"/>
          <w:sz w:val="24"/>
          <w:szCs w:val="24"/>
        </w:rPr>
        <w:t>Za § 4</w:t>
      </w:r>
      <w:r>
        <w:rPr>
          <w:rFonts w:ascii="Times New Roman" w:hAnsi="Times New Roman"/>
          <w:sz w:val="24"/>
          <w:szCs w:val="24"/>
        </w:rPr>
        <w:t xml:space="preserve">4z sa vkladá </w:t>
      </w:r>
      <w:r w:rsidRPr="000B7EBB">
        <w:rPr>
          <w:rFonts w:ascii="Times New Roman" w:hAnsi="Times New Roman"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>4aa</w:t>
      </w:r>
      <w:r w:rsidRPr="000B7EBB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ý vrátane nadpisu znie</w:t>
      </w:r>
      <w:r w:rsidRPr="000B7EBB">
        <w:rPr>
          <w:rFonts w:ascii="Times New Roman" w:hAnsi="Times New Roman"/>
          <w:sz w:val="24"/>
          <w:szCs w:val="24"/>
        </w:rPr>
        <w:t>:</w:t>
      </w:r>
    </w:p>
    <w:p w:rsidR="00864CBF" w:rsidRPr="006463E5" w:rsidRDefault="00864CBF" w:rsidP="00864CBF">
      <w:pPr>
        <w:jc w:val="both"/>
        <w:rPr>
          <w:rFonts w:ascii="Times New Roman" w:hAnsi="Times New Roman"/>
          <w:sz w:val="24"/>
          <w:szCs w:val="24"/>
        </w:rPr>
      </w:pPr>
    </w:p>
    <w:p w:rsidR="00864CBF" w:rsidRPr="000B7EBB" w:rsidRDefault="00864CBF" w:rsidP="00864CBF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B7EBB">
        <w:rPr>
          <w:rFonts w:ascii="Times New Roman" w:hAnsi="Times New Roman"/>
          <w:sz w:val="24"/>
          <w:szCs w:val="24"/>
        </w:rPr>
        <w:t>„§ 4</w:t>
      </w:r>
      <w:r>
        <w:rPr>
          <w:rFonts w:ascii="Times New Roman" w:hAnsi="Times New Roman"/>
          <w:sz w:val="24"/>
          <w:szCs w:val="24"/>
        </w:rPr>
        <w:t>4aa</w:t>
      </w:r>
    </w:p>
    <w:p w:rsidR="00864CBF" w:rsidRPr="000B7EBB" w:rsidRDefault="00864CBF" w:rsidP="00864CBF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B7EBB">
        <w:rPr>
          <w:rFonts w:ascii="Times New Roman" w:hAnsi="Times New Roman"/>
          <w:sz w:val="24"/>
          <w:szCs w:val="24"/>
        </w:rPr>
        <w:t xml:space="preserve">Prechodné ustanovenia k úpravám účinným od 1. </w:t>
      </w:r>
      <w:r>
        <w:rPr>
          <w:rFonts w:ascii="Times New Roman" w:hAnsi="Times New Roman"/>
          <w:sz w:val="24"/>
          <w:szCs w:val="24"/>
        </w:rPr>
        <w:t>februára 2020</w:t>
      </w:r>
    </w:p>
    <w:p w:rsidR="00864CBF" w:rsidRPr="005F2990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1236F3" w:rsidRDefault="00864CBF" w:rsidP="00864CBF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36F3">
        <w:rPr>
          <w:rFonts w:ascii="Times New Roman" w:hAnsi="Times New Roman"/>
          <w:color w:val="000000"/>
          <w:sz w:val="24"/>
          <w:szCs w:val="24"/>
        </w:rPr>
        <w:t>Spotrebiteľské balenie cigariet uvedené do daňového voľného obehu od 1. februára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1236F3">
        <w:rPr>
          <w:rFonts w:ascii="Times New Roman" w:hAnsi="Times New Roman"/>
          <w:color w:val="000000"/>
          <w:sz w:val="24"/>
          <w:szCs w:val="24"/>
        </w:rPr>
        <w:t xml:space="preserve"> musí byť označené kontrolnou známkou, na ktorej </w:t>
      </w:r>
      <w:r w:rsidRPr="00D8198C">
        <w:rPr>
          <w:rFonts w:ascii="Times New Roman" w:hAnsi="Times New Roman"/>
          <w:color w:val="000000"/>
          <w:sz w:val="24"/>
          <w:szCs w:val="24"/>
        </w:rPr>
        <w:t>je u</w:t>
      </w:r>
      <w:r w:rsidRPr="001236F3">
        <w:rPr>
          <w:rFonts w:ascii="Times New Roman" w:hAnsi="Times New Roman"/>
          <w:color w:val="000000"/>
          <w:sz w:val="24"/>
          <w:szCs w:val="24"/>
        </w:rPr>
        <w:t xml:space="preserve">vedený znak, ktorým je veľké </w:t>
      </w:r>
      <w:r w:rsidRPr="00427EF7">
        <w:rPr>
          <w:rFonts w:ascii="Times New Roman" w:hAnsi="Times New Roman"/>
          <w:color w:val="000000"/>
          <w:sz w:val="24"/>
          <w:szCs w:val="24"/>
        </w:rPr>
        <w:t>písmeno „H“,</w:t>
      </w:r>
      <w:r w:rsidRPr="001236F3">
        <w:rPr>
          <w:rFonts w:ascii="Times New Roman" w:hAnsi="Times New Roman"/>
          <w:color w:val="000000"/>
          <w:sz w:val="24"/>
          <w:szCs w:val="24"/>
        </w:rPr>
        <w:t xml:space="preserve"> označujúci platnosť sadzby dane z cigariet účinnú od 1. februára 20</w:t>
      </w:r>
      <w:r>
        <w:rPr>
          <w:rFonts w:ascii="Times New Roman" w:hAnsi="Times New Roman"/>
          <w:color w:val="000000"/>
          <w:sz w:val="24"/>
          <w:szCs w:val="24"/>
        </w:rPr>
        <w:t>20.</w:t>
      </w:r>
    </w:p>
    <w:p w:rsidR="00864CBF" w:rsidRPr="00BF5558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1236F3" w:rsidRDefault="00864CBF" w:rsidP="00864CBF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36F3">
        <w:rPr>
          <w:rFonts w:ascii="Times New Roman" w:hAnsi="Times New Roman"/>
          <w:color w:val="000000"/>
          <w:sz w:val="24"/>
          <w:szCs w:val="24"/>
        </w:rPr>
        <w:t>Spotrebiteľské balenie cigariet označené kontrolnou známkou podľa predpisu účinného do 31. januára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1236F3">
        <w:rPr>
          <w:rFonts w:ascii="Times New Roman" w:hAnsi="Times New Roman"/>
          <w:color w:val="000000"/>
          <w:sz w:val="24"/>
          <w:szCs w:val="24"/>
        </w:rPr>
        <w:t xml:space="preserve"> je zakázané uvádzať do daňového voľného obehu po 31. januári 20</w:t>
      </w:r>
      <w:r>
        <w:rPr>
          <w:rFonts w:ascii="Times New Roman" w:hAnsi="Times New Roman"/>
          <w:color w:val="000000"/>
          <w:sz w:val="24"/>
          <w:szCs w:val="24"/>
        </w:rPr>
        <w:t>20.</w:t>
      </w:r>
    </w:p>
    <w:p w:rsidR="00864CBF" w:rsidRPr="00BF5558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1236F3" w:rsidRDefault="00864CBF" w:rsidP="00864CBF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36F3">
        <w:rPr>
          <w:rFonts w:ascii="Times New Roman" w:hAnsi="Times New Roman"/>
          <w:color w:val="000000"/>
          <w:sz w:val="24"/>
          <w:szCs w:val="24"/>
        </w:rPr>
        <w:t>Spotrebiteľské balenie cigariet označené kontrolnou známkou podľa predpisu účinného do 31. januára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1236F3">
        <w:rPr>
          <w:rFonts w:ascii="Times New Roman" w:hAnsi="Times New Roman"/>
          <w:color w:val="000000"/>
          <w:sz w:val="24"/>
          <w:szCs w:val="24"/>
        </w:rPr>
        <w:t xml:space="preserve"> možno predávať, ponúkať na predaj alebo skladovať najneskôr </w:t>
      </w:r>
      <w:r w:rsidRPr="00427EF7">
        <w:rPr>
          <w:rFonts w:ascii="Times New Roman" w:hAnsi="Times New Roman"/>
          <w:color w:val="000000"/>
          <w:sz w:val="24"/>
          <w:szCs w:val="24"/>
        </w:rPr>
        <w:t>do 31. marca 2020</w:t>
      </w:r>
      <w:r w:rsidR="000A187E" w:rsidRPr="000A187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A187E">
        <w:rPr>
          <w:rFonts w:ascii="Times New Roman" w:hAnsi="Times New Roman"/>
          <w:color w:val="000000"/>
          <w:sz w:val="24"/>
          <w:szCs w:val="24"/>
        </w:rPr>
        <w:t>p</w:t>
      </w:r>
      <w:r w:rsidR="000A187E" w:rsidRPr="001236F3">
        <w:rPr>
          <w:rFonts w:ascii="Times New Roman" w:hAnsi="Times New Roman"/>
          <w:color w:val="000000"/>
          <w:sz w:val="24"/>
          <w:szCs w:val="24"/>
        </w:rPr>
        <w:t>o tomto dátume sa takto označené spotrebiteľské balenie cigariet po</w:t>
      </w:r>
      <w:r w:rsidR="000A187E">
        <w:rPr>
          <w:rFonts w:ascii="Times New Roman" w:hAnsi="Times New Roman"/>
          <w:color w:val="000000"/>
          <w:sz w:val="24"/>
          <w:szCs w:val="24"/>
        </w:rPr>
        <w:t>važuje za neoznačené</w:t>
      </w:r>
      <w:r w:rsidR="000A187E">
        <w:rPr>
          <w:rFonts w:ascii="Times New Roman" w:hAnsi="Times New Roman"/>
          <w:color w:val="000000"/>
          <w:sz w:val="24"/>
          <w:szCs w:val="24"/>
        </w:rPr>
        <w:t>.</w:t>
      </w:r>
    </w:p>
    <w:p w:rsidR="00864CBF" w:rsidRPr="00BF5558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1236F3" w:rsidRDefault="00864CBF" w:rsidP="00864CBF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36F3">
        <w:rPr>
          <w:rFonts w:ascii="Times New Roman" w:hAnsi="Times New Roman"/>
          <w:color w:val="000000"/>
          <w:sz w:val="24"/>
          <w:szCs w:val="24"/>
        </w:rPr>
        <w:t xml:space="preserve">Osoba, ktorá je oprávnená v rámci podnikania predávať spotrebiteľské balenia cigariet a ktorá skladuje spotrebiteľské balenia cigariet uvedené v odseku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236F3">
        <w:rPr>
          <w:rFonts w:ascii="Times New Roman" w:hAnsi="Times New Roman"/>
          <w:color w:val="000000"/>
          <w:sz w:val="24"/>
          <w:szCs w:val="24"/>
        </w:rPr>
        <w:t xml:space="preserve">, ktoré </w:t>
      </w:r>
      <w:r w:rsidRPr="00427EF7">
        <w:rPr>
          <w:rFonts w:ascii="Times New Roman" w:hAnsi="Times New Roman"/>
          <w:color w:val="000000"/>
          <w:sz w:val="24"/>
          <w:szCs w:val="24"/>
        </w:rPr>
        <w:t>nepredala do 31. marca 2020, je povinná do 15. apríla 2020 oznámiť miestne príslušnému colnému</w:t>
      </w:r>
      <w:r w:rsidRPr="001236F3">
        <w:rPr>
          <w:rFonts w:ascii="Times New Roman" w:hAnsi="Times New Roman"/>
          <w:color w:val="000000"/>
          <w:sz w:val="24"/>
          <w:szCs w:val="24"/>
        </w:rPr>
        <w:t xml:space="preserve"> úradu množstvo takto označených spotrebiteľských balení cigariet a zároveň v tejto lehote požiadať miestne príslušný colný úrad o ich zničenie, pričom colný úrad takéto spotrebiteľské balenia cigariet zničí na náklady osoby a o zničení vyhotoví úradný záznam o zničení; ustanovenie </w:t>
      </w:r>
      <w:hyperlink r:id="rId7" w:anchor="paragraf-41.odsek-1.pismeno-a" w:tooltip="Odkaz na predpis alebo ustanovenie" w:history="1">
        <w:r w:rsidRPr="001236F3">
          <w:rPr>
            <w:rFonts w:ascii="Times New Roman" w:hAnsi="Times New Roman"/>
            <w:color w:val="000000"/>
            <w:sz w:val="24"/>
            <w:szCs w:val="24"/>
          </w:rPr>
          <w:t>§ 41 ods. 1 písm. a)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sa nepoužije.</w:t>
      </w:r>
    </w:p>
    <w:p w:rsidR="00864CBF" w:rsidRPr="00F91B9A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D07E26" w:rsidRDefault="00864CBF" w:rsidP="00864CBF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36F3">
        <w:rPr>
          <w:rFonts w:ascii="Times New Roman" w:hAnsi="Times New Roman"/>
          <w:color w:val="000000"/>
          <w:sz w:val="24"/>
          <w:szCs w:val="24"/>
        </w:rPr>
        <w:t xml:space="preserve">Na kontrolných známkach určených na označovanie spotrebiteľských balení tabaku je od </w:t>
      </w:r>
      <w:r w:rsidRPr="00D07E26">
        <w:rPr>
          <w:rFonts w:ascii="Times New Roman" w:hAnsi="Times New Roman"/>
          <w:color w:val="000000"/>
          <w:sz w:val="24"/>
          <w:szCs w:val="24"/>
        </w:rPr>
        <w:t>1. februára 2020 uvedený znak pre sadzbu dane, ktorým je veľké písmeno „D“.</w:t>
      </w:r>
    </w:p>
    <w:p w:rsidR="00864CBF" w:rsidRPr="00BF5558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1236F3" w:rsidRDefault="00864CBF" w:rsidP="00864CBF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36F3">
        <w:rPr>
          <w:rFonts w:ascii="Times New Roman" w:hAnsi="Times New Roman"/>
          <w:color w:val="000000"/>
          <w:sz w:val="24"/>
          <w:szCs w:val="24"/>
        </w:rPr>
        <w:t>Spotrebiteľské balenie tabaku označené kontrolnou známkou, na ktorej je znak pre platnosť sadzby spotrebnej dane, ktorým je veľké písmeno „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1236F3">
        <w:rPr>
          <w:rFonts w:ascii="Times New Roman" w:hAnsi="Times New Roman"/>
          <w:color w:val="000000"/>
          <w:sz w:val="24"/>
          <w:szCs w:val="24"/>
        </w:rPr>
        <w:t xml:space="preserve">“, možno uvádzať do daňového voľného </w:t>
      </w:r>
      <w:r w:rsidRPr="00D07E26">
        <w:rPr>
          <w:rFonts w:ascii="Times New Roman" w:hAnsi="Times New Roman"/>
          <w:color w:val="000000"/>
          <w:sz w:val="24"/>
          <w:szCs w:val="24"/>
        </w:rPr>
        <w:t>obehu do 31. januára 2020</w:t>
      </w:r>
      <w:r w:rsidRPr="001236F3"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color w:val="000000"/>
          <w:sz w:val="24"/>
          <w:szCs w:val="24"/>
        </w:rPr>
        <w:t>predávať do 31. júla 2020</w:t>
      </w:r>
      <w:r w:rsidRPr="008C5E9A">
        <w:rPr>
          <w:rFonts w:ascii="Arial Narrow" w:hAnsi="Arial Narrow" w:cs="Vrinda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1B1">
        <w:rPr>
          <w:rFonts w:ascii="Times New Roman" w:hAnsi="Times New Roman"/>
          <w:color w:val="000000"/>
          <w:sz w:val="24"/>
          <w:szCs w:val="24"/>
        </w:rPr>
        <w:t>p</w:t>
      </w:r>
      <w:r w:rsidR="008C71B1" w:rsidRPr="001236F3">
        <w:rPr>
          <w:rFonts w:ascii="Times New Roman" w:hAnsi="Times New Roman"/>
          <w:color w:val="000000"/>
          <w:sz w:val="24"/>
          <w:szCs w:val="24"/>
        </w:rPr>
        <w:t xml:space="preserve">o tomto dátume sa takto označené spotrebiteľské balenie </w:t>
      </w:r>
      <w:r w:rsidR="008C71B1">
        <w:rPr>
          <w:rFonts w:ascii="Times New Roman" w:hAnsi="Times New Roman"/>
          <w:color w:val="000000"/>
          <w:sz w:val="24"/>
          <w:szCs w:val="24"/>
        </w:rPr>
        <w:t>tabaku</w:t>
      </w:r>
      <w:r w:rsidR="008C71B1" w:rsidRPr="001236F3">
        <w:rPr>
          <w:rFonts w:ascii="Times New Roman" w:hAnsi="Times New Roman"/>
          <w:color w:val="000000"/>
          <w:sz w:val="24"/>
          <w:szCs w:val="24"/>
        </w:rPr>
        <w:t xml:space="preserve"> po</w:t>
      </w:r>
      <w:r w:rsidR="008C71B1">
        <w:rPr>
          <w:rFonts w:ascii="Times New Roman" w:hAnsi="Times New Roman"/>
          <w:color w:val="000000"/>
          <w:sz w:val="24"/>
          <w:szCs w:val="24"/>
        </w:rPr>
        <w:t>važuje</w:t>
      </w:r>
      <w:r w:rsidR="008C71B1" w:rsidRPr="001236F3">
        <w:rPr>
          <w:rFonts w:ascii="Times New Roman" w:hAnsi="Times New Roman"/>
          <w:color w:val="000000"/>
          <w:sz w:val="24"/>
          <w:szCs w:val="24"/>
        </w:rPr>
        <w:t xml:space="preserve"> za neoznačené</w:t>
      </w:r>
      <w:r w:rsidRPr="001236F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1A8">
        <w:rPr>
          <w:rFonts w:ascii="Times New Roman" w:hAnsi="Times New Roman"/>
          <w:color w:val="000000"/>
          <w:sz w:val="24"/>
          <w:szCs w:val="24"/>
        </w:rPr>
        <w:t>Osoba, ktorá je oprávnená v rámci podnikania predávať spotrebiteľské balenia tabaku a ktorá skladuje spotrebiteľské balenia tabaku uvedené v prvej vete, ktoré nepredala do 31. júla 2020, je povinná do 15. augusta 2020 oznámiť colnému úradu množstvo takých spotrebiteľských</w:t>
      </w:r>
      <w:r w:rsidRPr="001236F3">
        <w:rPr>
          <w:rFonts w:ascii="Times New Roman" w:hAnsi="Times New Roman"/>
          <w:color w:val="000000"/>
          <w:sz w:val="24"/>
          <w:szCs w:val="24"/>
        </w:rPr>
        <w:t xml:space="preserve"> balení tabaku a zároveň v tejto lehote požiadať colný úrad o ich zničenie, pričom colný úrad také spotrebiteľské balenia tabaku zničí na náklady osoby a o zničení vyhotoví úradný záznam o zničení; ustanovenie </w:t>
      </w:r>
      <w:hyperlink r:id="rId8" w:anchor="paragraf-41.odsek-1.pismeno-a" w:tooltip="Odkaz na predpis alebo ustanovenie" w:history="1">
        <w:r w:rsidRPr="001236F3">
          <w:rPr>
            <w:rFonts w:ascii="Times New Roman" w:hAnsi="Times New Roman"/>
            <w:color w:val="000000"/>
            <w:sz w:val="24"/>
            <w:szCs w:val="24"/>
          </w:rPr>
          <w:t>§ 41 ods. 1 písm. a)</w:t>
        </w:r>
      </w:hyperlink>
      <w:r w:rsidRPr="001236F3">
        <w:rPr>
          <w:rFonts w:ascii="Times New Roman" w:hAnsi="Times New Roman"/>
          <w:color w:val="000000"/>
          <w:sz w:val="24"/>
          <w:szCs w:val="24"/>
        </w:rPr>
        <w:t xml:space="preserve"> sa nepoužije. </w:t>
      </w:r>
    </w:p>
    <w:p w:rsidR="00864CBF" w:rsidRPr="00F91B9A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Default="00864CBF" w:rsidP="00864CBF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Na kontrolnej známke určenej na označovanie spotrebiteľského balenia</w:t>
      </w:r>
      <w:r w:rsidRPr="00A51C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bezdymového tabakového výrobku</w:t>
      </w:r>
      <w:r w:rsidRPr="00A51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EF7">
        <w:rPr>
          <w:rFonts w:ascii="Times New Roman" w:hAnsi="Times New Roman"/>
          <w:color w:val="000000"/>
          <w:sz w:val="24"/>
          <w:szCs w:val="24"/>
        </w:rPr>
        <w:t>je od 1. februára 2020 uvedený znak pre sadzbu dane, ktorým je veľké písmeno „D“.</w:t>
      </w:r>
    </w:p>
    <w:p w:rsidR="00864CBF" w:rsidRPr="00F91B9A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2B4F83" w:rsidRDefault="00864CBF" w:rsidP="00864CBF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B4F83">
        <w:rPr>
          <w:rFonts w:ascii="Times New Roman" w:hAnsi="Times New Roman"/>
          <w:color w:val="000000"/>
          <w:sz w:val="24"/>
          <w:szCs w:val="24"/>
        </w:rPr>
        <w:t xml:space="preserve">Odberateľ kontrolných známok, ktorý odobral kontrolné známky </w:t>
      </w:r>
      <w:r>
        <w:rPr>
          <w:rFonts w:ascii="Times New Roman" w:hAnsi="Times New Roman"/>
          <w:color w:val="000000"/>
          <w:sz w:val="24"/>
          <w:szCs w:val="24"/>
        </w:rPr>
        <w:t>na označenie spotrebiteľských balení</w:t>
      </w:r>
      <w:r w:rsidRPr="002B4F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bezdymového tabakového výrobku s </w:t>
      </w:r>
      <w:r w:rsidRPr="00A51C7F">
        <w:rPr>
          <w:rFonts w:ascii="Times New Roman" w:hAnsi="Times New Roman"/>
          <w:color w:val="000000"/>
          <w:sz w:val="24"/>
          <w:szCs w:val="24"/>
        </w:rPr>
        <w:t>uvedený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A51C7F">
        <w:rPr>
          <w:rFonts w:ascii="Times New Roman" w:hAnsi="Times New Roman"/>
          <w:color w:val="000000"/>
          <w:sz w:val="24"/>
          <w:szCs w:val="24"/>
        </w:rPr>
        <w:t xml:space="preserve"> znak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A51C7F">
        <w:rPr>
          <w:rFonts w:ascii="Times New Roman" w:hAnsi="Times New Roman"/>
          <w:color w:val="000000"/>
          <w:sz w:val="24"/>
          <w:szCs w:val="24"/>
        </w:rPr>
        <w:t xml:space="preserve"> pre sadzbu </w:t>
      </w:r>
      <w:r>
        <w:rPr>
          <w:rFonts w:ascii="Times New Roman" w:hAnsi="Times New Roman"/>
          <w:color w:val="000000"/>
          <w:sz w:val="24"/>
          <w:szCs w:val="24"/>
        </w:rPr>
        <w:t xml:space="preserve">dane, ktorým je veľké </w:t>
      </w:r>
      <w:r w:rsidRPr="00427EF7">
        <w:rPr>
          <w:rFonts w:ascii="Times New Roman" w:hAnsi="Times New Roman"/>
          <w:color w:val="000000"/>
          <w:sz w:val="24"/>
          <w:szCs w:val="24"/>
        </w:rPr>
        <w:t xml:space="preserve">písmeno „C“, vykoná s </w:t>
      </w:r>
      <w:r>
        <w:rPr>
          <w:rFonts w:ascii="Times New Roman" w:hAnsi="Times New Roman"/>
          <w:color w:val="000000"/>
          <w:sz w:val="24"/>
          <w:szCs w:val="24"/>
        </w:rPr>
        <w:t xml:space="preserve">colným úradom zúčtovanie odberu </w:t>
      </w:r>
      <w:r w:rsidRPr="00427EF7">
        <w:rPr>
          <w:rFonts w:ascii="Times New Roman" w:hAnsi="Times New Roman"/>
          <w:color w:val="000000"/>
          <w:sz w:val="24"/>
          <w:szCs w:val="24"/>
        </w:rPr>
        <w:t>a použitia týchto kontrolných známok najneskôr do 25. februára 2020.</w:t>
      </w:r>
      <w:r w:rsidRPr="002B4F83">
        <w:rPr>
          <w:rFonts w:ascii="Times New Roman" w:hAnsi="Times New Roman"/>
          <w:color w:val="000000"/>
          <w:sz w:val="24"/>
          <w:szCs w:val="24"/>
        </w:rPr>
        <w:t xml:space="preserve"> Nepoužité kontrolné známky odberateľ kontrolných známok odovzdá col</w:t>
      </w:r>
      <w:r>
        <w:rPr>
          <w:rFonts w:ascii="Times New Roman" w:hAnsi="Times New Roman"/>
          <w:color w:val="000000"/>
          <w:sz w:val="24"/>
          <w:szCs w:val="24"/>
        </w:rPr>
        <w:t xml:space="preserve">nému úradu pri zúčtovaní odberu </w:t>
      </w:r>
      <w:r w:rsidRPr="002B4F83">
        <w:rPr>
          <w:rFonts w:ascii="Times New Roman" w:hAnsi="Times New Roman"/>
          <w:color w:val="000000"/>
          <w:sz w:val="24"/>
          <w:szCs w:val="24"/>
        </w:rPr>
        <w:t>a použitia kontrolných známok, ktorý ich zničí na náklady odberateľa kontrolných známok. Colný úrad o zničení kontrolných známok vyhotoví protokol o zničení.</w:t>
      </w:r>
    </w:p>
    <w:p w:rsidR="00864CBF" w:rsidRPr="00F91B9A" w:rsidRDefault="00864CBF" w:rsidP="00864CBF">
      <w:pPr>
        <w:rPr>
          <w:rFonts w:ascii="Times New Roman" w:hAnsi="Times New Roman"/>
          <w:color w:val="000000"/>
          <w:sz w:val="24"/>
          <w:szCs w:val="24"/>
        </w:rPr>
      </w:pPr>
    </w:p>
    <w:p w:rsidR="00864CBF" w:rsidRDefault="00864CBF" w:rsidP="00864CBF">
      <w:pPr>
        <w:pStyle w:val="Odsekzoznamu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B4F83">
        <w:rPr>
          <w:rFonts w:ascii="Times New Roman" w:hAnsi="Times New Roman"/>
          <w:color w:val="000000"/>
          <w:sz w:val="24"/>
          <w:szCs w:val="24"/>
        </w:rPr>
        <w:t xml:space="preserve">Spotrebiteľské balenie </w:t>
      </w:r>
      <w:r>
        <w:rPr>
          <w:rFonts w:ascii="Times New Roman" w:hAnsi="Times New Roman"/>
          <w:color w:val="000000"/>
          <w:sz w:val="24"/>
          <w:szCs w:val="24"/>
        </w:rPr>
        <w:t xml:space="preserve">bezdymového tabakového výrobku </w:t>
      </w:r>
      <w:r w:rsidRPr="002B4F83">
        <w:rPr>
          <w:rFonts w:ascii="Times New Roman" w:hAnsi="Times New Roman"/>
          <w:color w:val="000000"/>
          <w:sz w:val="24"/>
          <w:szCs w:val="24"/>
        </w:rPr>
        <w:t xml:space="preserve">označené kontrolnou známkou 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A51C7F">
        <w:rPr>
          <w:rFonts w:ascii="Times New Roman" w:hAnsi="Times New Roman"/>
          <w:color w:val="000000"/>
          <w:sz w:val="24"/>
          <w:szCs w:val="24"/>
        </w:rPr>
        <w:t>uvedený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A51C7F">
        <w:rPr>
          <w:rFonts w:ascii="Times New Roman" w:hAnsi="Times New Roman"/>
          <w:color w:val="000000"/>
          <w:sz w:val="24"/>
          <w:szCs w:val="24"/>
        </w:rPr>
        <w:t xml:space="preserve"> znak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A51C7F">
        <w:rPr>
          <w:rFonts w:ascii="Times New Roman" w:hAnsi="Times New Roman"/>
          <w:color w:val="000000"/>
          <w:sz w:val="24"/>
          <w:szCs w:val="24"/>
        </w:rPr>
        <w:t xml:space="preserve"> pre sadzbu </w:t>
      </w:r>
      <w:r>
        <w:rPr>
          <w:rFonts w:ascii="Times New Roman" w:hAnsi="Times New Roman"/>
          <w:color w:val="000000"/>
          <w:sz w:val="24"/>
          <w:szCs w:val="24"/>
        </w:rPr>
        <w:t xml:space="preserve">dane, ktorým je veľké </w:t>
      </w:r>
      <w:r w:rsidRPr="00427EF7">
        <w:rPr>
          <w:rFonts w:ascii="Times New Roman" w:hAnsi="Times New Roman"/>
          <w:color w:val="000000"/>
          <w:sz w:val="24"/>
          <w:szCs w:val="24"/>
        </w:rPr>
        <w:t xml:space="preserve">písmeno „C“ možno prijímať a dovážať do 31. januára 2020, a predávať najneskôr do 31. marca </w:t>
      </w:r>
      <w:r w:rsidRPr="00050367">
        <w:rPr>
          <w:rFonts w:ascii="Times New Roman" w:hAnsi="Times New Roman"/>
          <w:color w:val="000000"/>
          <w:sz w:val="24"/>
          <w:szCs w:val="24"/>
        </w:rPr>
        <w:t>2020</w:t>
      </w:r>
      <w:r w:rsidRPr="00050367">
        <w:rPr>
          <w:rFonts w:ascii="Arial Narrow" w:hAnsi="Arial Narrow" w:cs="Vrinda"/>
          <w:color w:val="000000"/>
          <w:sz w:val="24"/>
          <w:szCs w:val="24"/>
        </w:rPr>
        <w:t>;</w:t>
      </w:r>
      <w:r w:rsidRPr="00050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71B1" w:rsidRPr="00050367">
        <w:rPr>
          <w:rFonts w:ascii="Times New Roman" w:hAnsi="Times New Roman"/>
          <w:color w:val="000000"/>
          <w:sz w:val="24"/>
          <w:szCs w:val="24"/>
        </w:rPr>
        <w:t>po tomto dátume sa takto označené spotrebiteľské balenie bezdymového tabakového výrobku považuje za neoznačené</w:t>
      </w:r>
      <w:bookmarkStart w:id="0" w:name="_GoBack"/>
      <w:bookmarkEnd w:id="0"/>
      <w:r w:rsidRPr="00050367">
        <w:rPr>
          <w:rFonts w:ascii="Times New Roman" w:hAnsi="Times New Roman"/>
          <w:color w:val="000000"/>
          <w:sz w:val="24"/>
          <w:szCs w:val="24"/>
        </w:rPr>
        <w:t>. Osoba, ktorá je oprávnená v rámci podnikania</w:t>
      </w:r>
      <w:r w:rsidRPr="00427EF7">
        <w:rPr>
          <w:rFonts w:ascii="Times New Roman" w:hAnsi="Times New Roman"/>
          <w:color w:val="000000"/>
          <w:sz w:val="24"/>
          <w:szCs w:val="24"/>
        </w:rPr>
        <w:t xml:space="preserve"> prijímať a dovážať spotrebiteľské balenia bezdymového tabakového výrobku uvedené v prvej vete, ktoré nepredala do 31. marca 2020, je povinná do 15. apríla 2020 oznámiť</w:t>
      </w:r>
      <w:r w:rsidRPr="002B4F83">
        <w:rPr>
          <w:rFonts w:ascii="Times New Roman" w:hAnsi="Times New Roman"/>
          <w:color w:val="000000"/>
          <w:sz w:val="24"/>
          <w:szCs w:val="24"/>
        </w:rPr>
        <w:t xml:space="preserve"> colnému úradu množstvo takýchto spotrebiteľských balení </w:t>
      </w:r>
      <w:r>
        <w:rPr>
          <w:rFonts w:ascii="Times New Roman" w:hAnsi="Times New Roman"/>
          <w:color w:val="000000"/>
          <w:sz w:val="24"/>
          <w:szCs w:val="24"/>
        </w:rPr>
        <w:t>bezdymového tabakového výrobku</w:t>
      </w:r>
      <w:r w:rsidRPr="002B4F83">
        <w:rPr>
          <w:rFonts w:ascii="Times New Roman" w:hAnsi="Times New Roman"/>
          <w:color w:val="000000"/>
          <w:sz w:val="24"/>
          <w:szCs w:val="24"/>
        </w:rPr>
        <w:t xml:space="preserve"> a zároveň v tejto lehote požiadať colný úrad o ich zničenie; colný úrad takéto spotrebiteľské balenia </w:t>
      </w:r>
      <w:r>
        <w:rPr>
          <w:rFonts w:ascii="Times New Roman" w:hAnsi="Times New Roman"/>
          <w:color w:val="000000"/>
          <w:sz w:val="24"/>
          <w:szCs w:val="24"/>
        </w:rPr>
        <w:t>bezdymového tabakového výrobku</w:t>
      </w:r>
      <w:r w:rsidRPr="002B4F83">
        <w:rPr>
          <w:rFonts w:ascii="Times New Roman" w:hAnsi="Times New Roman"/>
          <w:color w:val="000000"/>
          <w:sz w:val="24"/>
          <w:szCs w:val="24"/>
        </w:rPr>
        <w:t xml:space="preserve"> zničí na náklady osoby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2B4F83">
        <w:rPr>
          <w:rFonts w:ascii="Times New Roman" w:hAnsi="Times New Roman"/>
          <w:color w:val="000000"/>
          <w:sz w:val="24"/>
          <w:szCs w:val="24"/>
        </w:rPr>
        <w:t xml:space="preserve">a o zničení vyhotoví protokol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F83">
        <w:rPr>
          <w:rFonts w:ascii="Times New Roman" w:hAnsi="Times New Roman"/>
          <w:color w:val="000000"/>
          <w:sz w:val="24"/>
          <w:szCs w:val="24"/>
        </w:rPr>
        <w:t>o zničení, pričom ustanovenie § 41 ods. 1 písm. a) sa nepoužije.</w:t>
      </w:r>
    </w:p>
    <w:p w:rsidR="00864CBF" w:rsidRPr="000D4AFB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Default="00864CBF" w:rsidP="00864CBF">
      <w:pPr>
        <w:pStyle w:val="Odsekzoznamu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85BEC">
        <w:rPr>
          <w:rFonts w:ascii="Times New Roman" w:hAnsi="Times New Roman"/>
          <w:color w:val="000000"/>
          <w:sz w:val="24"/>
          <w:szCs w:val="24"/>
        </w:rPr>
        <w:t xml:space="preserve">Príloha č. 1 sa dopĺňa </w:t>
      </w:r>
      <w:r>
        <w:rPr>
          <w:rFonts w:ascii="Times New Roman" w:hAnsi="Times New Roman"/>
          <w:color w:val="000000"/>
          <w:sz w:val="24"/>
          <w:szCs w:val="24"/>
        </w:rPr>
        <w:t xml:space="preserve">šiestym </w:t>
      </w:r>
      <w:r w:rsidRPr="00985BEC">
        <w:rPr>
          <w:rFonts w:ascii="Times New Roman" w:hAnsi="Times New Roman"/>
          <w:color w:val="000000"/>
          <w:sz w:val="24"/>
          <w:szCs w:val="24"/>
        </w:rPr>
        <w:t>bodom, ktorý znie:</w:t>
      </w:r>
    </w:p>
    <w:p w:rsidR="00864CBF" w:rsidRDefault="00864CBF" w:rsidP="00864CB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985BEC">
        <w:rPr>
          <w:rFonts w:ascii="Times New Roman" w:hAnsi="Times New Roman"/>
          <w:color w:val="000000"/>
          <w:sz w:val="24"/>
          <w:szCs w:val="24"/>
        </w:rPr>
        <w:t xml:space="preserve">6. Smernica Rady (EÚ) 2019/475 z 18. februára 2019, ktorou sa menia smernice 2006/112/ES a 2008/118/ES, pokiaľ ide o začlenenie talianskej obce </w:t>
      </w:r>
      <w:proofErr w:type="spellStart"/>
      <w:r w:rsidRPr="00985BEC">
        <w:rPr>
          <w:rFonts w:ascii="Times New Roman" w:hAnsi="Times New Roman"/>
          <w:color w:val="000000"/>
          <w:sz w:val="24"/>
          <w:szCs w:val="24"/>
        </w:rPr>
        <w:t>Campione</w:t>
      </w:r>
      <w:proofErr w:type="spellEnd"/>
      <w:r w:rsidRPr="00985B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5BEC">
        <w:rPr>
          <w:rFonts w:ascii="Times New Roman" w:hAnsi="Times New Roman"/>
          <w:color w:val="000000"/>
          <w:sz w:val="24"/>
          <w:szCs w:val="24"/>
        </w:rPr>
        <w:t>d´Italia</w:t>
      </w:r>
      <w:proofErr w:type="spellEnd"/>
      <w:r w:rsidRPr="00985BEC">
        <w:rPr>
          <w:rFonts w:ascii="Times New Roman" w:hAnsi="Times New Roman"/>
          <w:color w:val="000000"/>
          <w:sz w:val="24"/>
          <w:szCs w:val="24"/>
        </w:rPr>
        <w:t xml:space="preserve"> a talianskych vôd jazera </w:t>
      </w:r>
      <w:proofErr w:type="spellStart"/>
      <w:r w:rsidRPr="00985BEC">
        <w:rPr>
          <w:rFonts w:ascii="Times New Roman" w:hAnsi="Times New Roman"/>
          <w:color w:val="000000"/>
          <w:sz w:val="24"/>
          <w:szCs w:val="24"/>
        </w:rPr>
        <w:t>Lugano</w:t>
      </w:r>
      <w:proofErr w:type="spellEnd"/>
      <w:r w:rsidRPr="00985BEC">
        <w:rPr>
          <w:rFonts w:ascii="Times New Roman" w:hAnsi="Times New Roman"/>
          <w:color w:val="000000"/>
          <w:sz w:val="24"/>
          <w:szCs w:val="24"/>
        </w:rPr>
        <w:t xml:space="preserve"> do colného územia Únie a do územnej pôsobnosti smernice 2008/118/ES (Ú. v. EÚ L 83, 25.3.2019).</w:t>
      </w:r>
      <w:r>
        <w:rPr>
          <w:rFonts w:ascii="Times New Roman" w:hAnsi="Times New Roman"/>
          <w:color w:val="000000"/>
          <w:sz w:val="24"/>
          <w:szCs w:val="24"/>
        </w:rPr>
        <w:t>“.</w:t>
      </w:r>
    </w:p>
    <w:p w:rsidR="00864CBF" w:rsidRPr="005F2990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5F2990" w:rsidRDefault="00864CBF" w:rsidP="00864C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CBF" w:rsidRPr="004D4959" w:rsidRDefault="00864CBF" w:rsidP="00864CBF">
      <w:pPr>
        <w:pStyle w:val="Zkladntext"/>
        <w:jc w:val="center"/>
        <w:outlineLvl w:val="0"/>
        <w:rPr>
          <w:b/>
          <w:bCs/>
          <w:color w:val="auto"/>
        </w:rPr>
      </w:pPr>
      <w:r w:rsidRPr="004D4959">
        <w:rPr>
          <w:b/>
          <w:bCs/>
          <w:color w:val="auto"/>
        </w:rPr>
        <w:t>Čl. I</w:t>
      </w:r>
      <w:r>
        <w:rPr>
          <w:b/>
          <w:bCs/>
          <w:color w:val="auto"/>
        </w:rPr>
        <w:t>I</w:t>
      </w:r>
    </w:p>
    <w:p w:rsidR="00864CBF" w:rsidRDefault="00864CBF" w:rsidP="00864CBF">
      <w:pPr>
        <w:pStyle w:val="Zkladntext"/>
        <w:tabs>
          <w:tab w:val="left" w:pos="0"/>
        </w:tabs>
        <w:jc w:val="both"/>
      </w:pPr>
    </w:p>
    <w:p w:rsidR="00864CBF" w:rsidRPr="00423CEE" w:rsidRDefault="00864CBF" w:rsidP="00864CBF">
      <w:pPr>
        <w:jc w:val="both"/>
        <w:rPr>
          <w:rFonts w:ascii="Times New Roman" w:hAnsi="Times New Roman"/>
          <w:sz w:val="24"/>
          <w:szCs w:val="24"/>
        </w:rPr>
      </w:pPr>
      <w:r w:rsidRPr="00423CEE">
        <w:rPr>
          <w:rFonts w:ascii="Times New Roman" w:hAnsi="Times New Roman"/>
          <w:sz w:val="24"/>
          <w:szCs w:val="24"/>
        </w:rPr>
        <w:t xml:space="preserve">Tento zákon nadobúda </w:t>
      </w:r>
      <w:r>
        <w:rPr>
          <w:rFonts w:ascii="Times New Roman" w:hAnsi="Times New Roman"/>
          <w:sz w:val="24"/>
          <w:szCs w:val="24"/>
        </w:rPr>
        <w:t xml:space="preserve">účinnosť </w:t>
      </w:r>
      <w:r w:rsidRPr="00423CEE">
        <w:rPr>
          <w:rFonts w:ascii="Times New Roman" w:hAnsi="Times New Roman"/>
          <w:color w:val="000000" w:themeColor="text1"/>
          <w:sz w:val="24"/>
          <w:szCs w:val="24"/>
        </w:rPr>
        <w:t xml:space="preserve">1. januára 2020 okrem čl. I </w:t>
      </w:r>
      <w:r>
        <w:rPr>
          <w:rFonts w:ascii="Times New Roman" w:hAnsi="Times New Roman"/>
          <w:color w:val="000000" w:themeColor="text1"/>
          <w:sz w:val="24"/>
          <w:szCs w:val="24"/>
        </w:rPr>
        <w:t>druhého bodu a tretieho bodu</w:t>
      </w:r>
      <w:r w:rsidRPr="00423CEE">
        <w:rPr>
          <w:rFonts w:ascii="Times New Roman" w:hAnsi="Times New Roman"/>
          <w:color w:val="000000" w:themeColor="text1"/>
          <w:sz w:val="24"/>
          <w:szCs w:val="24"/>
        </w:rPr>
        <w:t xml:space="preserve">, ktoré nadobúdajú </w:t>
      </w:r>
      <w:r>
        <w:rPr>
          <w:rFonts w:ascii="Times New Roman" w:hAnsi="Times New Roman"/>
          <w:color w:val="000000" w:themeColor="text1"/>
          <w:sz w:val="24"/>
          <w:szCs w:val="24"/>
        </w:rPr>
        <w:t>účinnosť 1. februára 2020</w:t>
      </w:r>
      <w:r w:rsidRPr="00423CE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4CBF" w:rsidRDefault="00864CBF" w:rsidP="00864CBF">
      <w:pPr>
        <w:pStyle w:val="Normlnywebov"/>
        <w:spacing w:before="0" w:beforeAutospacing="0" w:after="0" w:afterAutospacing="0"/>
        <w:ind w:left="4536" w:hanging="4536"/>
      </w:pPr>
    </w:p>
    <w:p w:rsidR="00864CBF" w:rsidRPr="00850083" w:rsidRDefault="00864CBF" w:rsidP="00864CBF">
      <w:pPr>
        <w:pStyle w:val="Normlnywebov"/>
        <w:spacing w:before="0" w:beforeAutospacing="0" w:after="0" w:afterAutospacing="0"/>
        <w:ind w:left="4536" w:hanging="4536"/>
        <w:rPr>
          <w:color w:val="000000"/>
        </w:rPr>
      </w:pPr>
    </w:p>
    <w:p w:rsidR="00CE6E6B" w:rsidRPr="00850083" w:rsidRDefault="00CE6E6B" w:rsidP="00864CBF">
      <w:pPr>
        <w:jc w:val="center"/>
        <w:rPr>
          <w:color w:val="000000"/>
        </w:rPr>
      </w:pPr>
    </w:p>
    <w:sectPr w:rsidR="00CE6E6B" w:rsidRPr="0085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29F"/>
    <w:multiLevelType w:val="hybridMultilevel"/>
    <w:tmpl w:val="37A049E0"/>
    <w:lvl w:ilvl="0" w:tplc="238C31F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F06"/>
    <w:multiLevelType w:val="hybridMultilevel"/>
    <w:tmpl w:val="05AE3990"/>
    <w:lvl w:ilvl="0" w:tplc="BDC6D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9A0"/>
    <w:multiLevelType w:val="hybridMultilevel"/>
    <w:tmpl w:val="A8787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B64"/>
    <w:multiLevelType w:val="hybridMultilevel"/>
    <w:tmpl w:val="A2A625FC"/>
    <w:lvl w:ilvl="0" w:tplc="22348D7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FA7"/>
    <w:multiLevelType w:val="hybridMultilevel"/>
    <w:tmpl w:val="B346317E"/>
    <w:lvl w:ilvl="0" w:tplc="2450560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218A"/>
    <w:multiLevelType w:val="hybridMultilevel"/>
    <w:tmpl w:val="78EC9486"/>
    <w:lvl w:ilvl="0" w:tplc="9F6425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E805AB"/>
    <w:multiLevelType w:val="hybridMultilevel"/>
    <w:tmpl w:val="1DB278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236DD"/>
    <w:multiLevelType w:val="hybridMultilevel"/>
    <w:tmpl w:val="08808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6AF1"/>
    <w:multiLevelType w:val="hybridMultilevel"/>
    <w:tmpl w:val="ADB68E5C"/>
    <w:lvl w:ilvl="0" w:tplc="E8B023E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450F"/>
    <w:multiLevelType w:val="hybridMultilevel"/>
    <w:tmpl w:val="415CD910"/>
    <w:lvl w:ilvl="0" w:tplc="05C6FB0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D433E"/>
    <w:multiLevelType w:val="hybridMultilevel"/>
    <w:tmpl w:val="607A9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E105D"/>
    <w:multiLevelType w:val="hybridMultilevel"/>
    <w:tmpl w:val="7110F62E"/>
    <w:lvl w:ilvl="0" w:tplc="24505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B606D"/>
    <w:multiLevelType w:val="hybridMultilevel"/>
    <w:tmpl w:val="05BE8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B4A46"/>
    <w:multiLevelType w:val="hybridMultilevel"/>
    <w:tmpl w:val="79320E34"/>
    <w:lvl w:ilvl="0" w:tplc="7610E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B4B18"/>
    <w:multiLevelType w:val="hybridMultilevel"/>
    <w:tmpl w:val="74AC5BF4"/>
    <w:lvl w:ilvl="0" w:tplc="0C1E580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624EA0"/>
    <w:multiLevelType w:val="hybridMultilevel"/>
    <w:tmpl w:val="05AE3990"/>
    <w:lvl w:ilvl="0" w:tplc="BDC6D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3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D3"/>
    <w:rsid w:val="000069F6"/>
    <w:rsid w:val="00063BFC"/>
    <w:rsid w:val="000A187E"/>
    <w:rsid w:val="000A3F47"/>
    <w:rsid w:val="000C331B"/>
    <w:rsid w:val="000D4AFB"/>
    <w:rsid w:val="001009D6"/>
    <w:rsid w:val="001236F3"/>
    <w:rsid w:val="00133377"/>
    <w:rsid w:val="0015301D"/>
    <w:rsid w:val="001C481A"/>
    <w:rsid w:val="001D07B0"/>
    <w:rsid w:val="002B4F83"/>
    <w:rsid w:val="002C4545"/>
    <w:rsid w:val="002D5F78"/>
    <w:rsid w:val="00373482"/>
    <w:rsid w:val="00423CEE"/>
    <w:rsid w:val="00427EF7"/>
    <w:rsid w:val="00472EF9"/>
    <w:rsid w:val="004D4959"/>
    <w:rsid w:val="004D4C9A"/>
    <w:rsid w:val="005173D6"/>
    <w:rsid w:val="005703D4"/>
    <w:rsid w:val="00586561"/>
    <w:rsid w:val="005A62EA"/>
    <w:rsid w:val="005F2990"/>
    <w:rsid w:val="005F3846"/>
    <w:rsid w:val="006463E5"/>
    <w:rsid w:val="006759A9"/>
    <w:rsid w:val="006C11A8"/>
    <w:rsid w:val="0072727C"/>
    <w:rsid w:val="00787790"/>
    <w:rsid w:val="007D115C"/>
    <w:rsid w:val="007E45D8"/>
    <w:rsid w:val="00803986"/>
    <w:rsid w:val="00826517"/>
    <w:rsid w:val="00841B4E"/>
    <w:rsid w:val="00850083"/>
    <w:rsid w:val="00864CBF"/>
    <w:rsid w:val="00893045"/>
    <w:rsid w:val="008A60D3"/>
    <w:rsid w:val="008C71B1"/>
    <w:rsid w:val="0095145F"/>
    <w:rsid w:val="00985BEC"/>
    <w:rsid w:val="00A02E94"/>
    <w:rsid w:val="00A045FA"/>
    <w:rsid w:val="00A23D17"/>
    <w:rsid w:val="00A458EF"/>
    <w:rsid w:val="00A51C7F"/>
    <w:rsid w:val="00A8158D"/>
    <w:rsid w:val="00AA41B9"/>
    <w:rsid w:val="00AC3846"/>
    <w:rsid w:val="00AD2FB7"/>
    <w:rsid w:val="00B57272"/>
    <w:rsid w:val="00B66EA6"/>
    <w:rsid w:val="00B84C13"/>
    <w:rsid w:val="00B854B5"/>
    <w:rsid w:val="00BC3DA9"/>
    <w:rsid w:val="00BF5558"/>
    <w:rsid w:val="00C12F96"/>
    <w:rsid w:val="00CC04BE"/>
    <w:rsid w:val="00CC5BBC"/>
    <w:rsid w:val="00CE6E6B"/>
    <w:rsid w:val="00D07E26"/>
    <w:rsid w:val="00D51921"/>
    <w:rsid w:val="00ED777C"/>
    <w:rsid w:val="00F20A4C"/>
    <w:rsid w:val="00F25EB9"/>
    <w:rsid w:val="00F30D65"/>
    <w:rsid w:val="00F74607"/>
    <w:rsid w:val="00F91B9A"/>
    <w:rsid w:val="00FE57C2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9D21F-3623-4A08-923A-99D244E1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0D3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A60D3"/>
    <w:pPr>
      <w:spacing w:after="160" w:line="252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0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A4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734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34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3482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4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482"/>
    <w:rPr>
      <w:rFonts w:ascii="Calibri" w:hAnsi="Calibri" w:cs="Times New Roman"/>
      <w:b/>
      <w:bCs/>
      <w:sz w:val="20"/>
      <w:szCs w:val="20"/>
    </w:rPr>
  </w:style>
  <w:style w:type="paragraph" w:customStyle="1" w:styleId="Zkladntext">
    <w:name w:val="Základní text"/>
    <w:aliases w:val="Základný text Char Char"/>
    <w:rsid w:val="00FE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CE6E6B"/>
    <w:rPr>
      <w:rFonts w:ascii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CE6E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30D6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5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7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6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96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2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77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0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5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56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2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8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8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9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5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7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0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4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1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88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6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9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3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9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73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33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4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11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1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15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51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8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9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66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4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8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1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33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59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106/201904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4/106/201904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4/10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AA1E-2AD8-4276-8774-1F6F54EE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Fuleova Zuzana</dc:creator>
  <cp:keywords/>
  <dc:description/>
  <cp:lastModifiedBy>Danisovic Milan</cp:lastModifiedBy>
  <cp:revision>18</cp:revision>
  <cp:lastPrinted>2019-09-10T11:07:00Z</cp:lastPrinted>
  <dcterms:created xsi:type="dcterms:W3CDTF">2019-09-09T10:47:00Z</dcterms:created>
  <dcterms:modified xsi:type="dcterms:W3CDTF">2019-09-13T07:09:00Z</dcterms:modified>
</cp:coreProperties>
</file>