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44640" w:rsidRPr="00F04CCD" w:rsidTr="00AE204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jc w:val="center"/>
              <w:rPr>
                <w:b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Pr="00042C66">
              <w:rPr>
                <w:b/>
                <w:sz w:val="28"/>
              </w:rPr>
              <w:t xml:space="preserve"> na podnikateľské prostredie </w:t>
            </w:r>
          </w:p>
          <w:p w:rsidR="00A44640" w:rsidRPr="00F04CCD" w:rsidRDefault="00A44640" w:rsidP="00AE204F">
            <w:pPr>
              <w:jc w:val="center"/>
              <w:rPr>
                <w:b/>
              </w:rPr>
            </w:pPr>
            <w:r w:rsidRPr="00042C66">
              <w:rPr>
                <w:b/>
              </w:rPr>
              <w:t xml:space="preserve">(vrátane </w:t>
            </w:r>
            <w:r>
              <w:rPr>
                <w:b/>
              </w:rPr>
              <w:t xml:space="preserve">testu </w:t>
            </w:r>
            <w:r w:rsidRPr="00042C66">
              <w:rPr>
                <w:b/>
              </w:rPr>
              <w:t>MSP)</w:t>
            </w:r>
          </w:p>
        </w:tc>
      </w:tr>
      <w:tr w:rsidR="00A44640" w:rsidRPr="00F04CCD" w:rsidTr="00AE204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 w:rsidRPr="00042C66">
              <w:rPr>
                <w:b/>
              </w:rPr>
              <w:t>Materiál bude mať vplyv s ohľadom na veľkostnú kategóriu podnikov:</w:t>
            </w:r>
          </w:p>
        </w:tc>
      </w:tr>
      <w:tr w:rsidR="00A44640" w:rsidRPr="00F04CCD" w:rsidTr="00AE204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A44640" w:rsidRPr="00F04CCD" w:rsidTr="00AE204F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44640" w:rsidRPr="00F04CCD" w:rsidRDefault="00A44640" w:rsidP="00AE204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44640" w:rsidRPr="00F04CCD" w:rsidRDefault="00A44640" w:rsidP="00AE204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A44640" w:rsidRPr="00F04CCD" w:rsidTr="00AE204F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44640" w:rsidRPr="00F04CCD" w:rsidRDefault="00A44640" w:rsidP="00AE204F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44640" w:rsidRPr="00F04CCD" w:rsidRDefault="00A44640" w:rsidP="00AE204F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A44640" w:rsidRPr="00F04CCD" w:rsidTr="00AE204F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A44640" w:rsidRPr="00F04CCD" w:rsidRDefault="00A44640" w:rsidP="00AE204F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A44640" w:rsidRPr="00F04CCD" w:rsidRDefault="00A44640" w:rsidP="00AE204F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A44640" w:rsidRPr="00F04CCD" w:rsidRDefault="00A44640" w:rsidP="00AE204F">
            <w:pPr>
              <w:rPr>
                <w:b/>
              </w:rPr>
            </w:pPr>
          </w:p>
        </w:tc>
      </w:tr>
      <w:tr w:rsidR="00A44640" w:rsidRPr="00F04CCD" w:rsidTr="00AE204F"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.1 Dotknuté podnikateľské subjekty</w:t>
            </w:r>
          </w:p>
          <w:p w:rsidR="00A44640" w:rsidRPr="00F04CCD" w:rsidRDefault="00A44640" w:rsidP="00AE204F">
            <w:pPr>
              <w:ind w:left="284"/>
              <w:rPr>
                <w:b/>
              </w:rPr>
            </w:pPr>
            <w:r w:rsidRPr="00042C66">
              <w:t xml:space="preserve"> - </w:t>
            </w:r>
            <w:r w:rsidRPr="00042C66">
              <w:rPr>
                <w:b/>
              </w:rPr>
              <w:t>z toho MSP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A44640" w:rsidRPr="00F04CCD" w:rsidTr="00AE204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44640" w:rsidRPr="00886879" w:rsidRDefault="00A44640" w:rsidP="0082728D">
            <w:pPr>
              <w:jc w:val="both"/>
            </w:pPr>
            <w:r>
              <w:t>Predkladaným návrhom zákona budú dotknuté všetky podnikateľské subjekty, ktoré svoju podnikateľskú alebo inú obchodnú činnosť smerujú na spotrebiteľov. Ich počet nie je mo</w:t>
            </w:r>
            <w:r w:rsidR="008D697C">
              <w:t xml:space="preserve">žné </w:t>
            </w:r>
            <w:r w:rsidR="0082728D">
              <w:t>určiť</w:t>
            </w:r>
            <w:r w:rsidR="008D697C">
              <w:t xml:space="preserve">, pretože nie je </w:t>
            </w:r>
            <w:r w:rsidR="0082728D">
              <w:t>možné zistiť počet</w:t>
            </w:r>
            <w:r w:rsidR="008D697C">
              <w:t xml:space="preserve"> všetkých subjektov, ktoré majú v predmete podnikania predaj tovaru konečnému spotrebiteľovi alebo svoju činnosť inak zameriavajú na spotrebiteľov</w:t>
            </w:r>
            <w:r>
              <w:t xml:space="preserve">. </w:t>
            </w:r>
          </w:p>
        </w:tc>
      </w:tr>
      <w:tr w:rsidR="00A44640" w:rsidRPr="00F04CCD" w:rsidTr="00AE204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.2 Vyhodnotenie konzultácií</w:t>
            </w:r>
          </w:p>
          <w:p w:rsidR="00A44640" w:rsidRPr="00F04CCD" w:rsidRDefault="00A44640" w:rsidP="00AE204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A44640" w:rsidRPr="00F04CCD" w:rsidTr="00AE204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A44640" w:rsidRPr="000D2622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A44640" w:rsidRPr="00F04CCD" w:rsidTr="00AE204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A44640" w:rsidRDefault="00A44640" w:rsidP="00AE204F">
            <w:pPr>
              <w:jc w:val="both"/>
            </w:pPr>
            <w:r w:rsidRPr="00930CDA">
              <w:t>Predbežná informácia</w:t>
            </w:r>
            <w:r>
              <w:t xml:space="preserve"> o príprave návrhu zákona o dohľade v oblasti ochrany spotrebiteľa a o zmene a doplnení niektorých zákonov bola uverejnená dňa 23.11</w:t>
            </w:r>
            <w:r w:rsidRPr="00930CDA">
              <w:t>.2018 na</w:t>
            </w:r>
            <w:r>
              <w:t xml:space="preserve"> portáli </w:t>
            </w:r>
            <w:proofErr w:type="spellStart"/>
            <w:r>
              <w:t>Slov-lex</w:t>
            </w:r>
            <w:proofErr w:type="spellEnd"/>
            <w:r w:rsidRPr="00930CDA">
              <w:t>:</w:t>
            </w:r>
            <w:r>
              <w:t xml:space="preserve"> </w:t>
            </w:r>
            <w:hyperlink r:id="rId7" w:history="1">
              <w:r>
                <w:rPr>
                  <w:rStyle w:val="Hypertextovprepojenie"/>
                </w:rPr>
                <w:t>https://www.slov-lex.sk/legislativne-procesy/SK/PI/2018/263</w:t>
              </w:r>
            </w:hyperlink>
            <w:r>
              <w:t xml:space="preserve">.  Dňa 26.11.2018 bol oslovený príslušný odbor Ministerstva hospodárstva SR, pokiaľ ide o potrebu vykonania konzultácií, príp. testu MSP. </w:t>
            </w:r>
            <w:r w:rsidRPr="00930CDA">
              <w:t xml:space="preserve">Vzhľadom na to, že žiaden z oslovených subjektov neprejavil záujem zapojiť sa do konzultácií, </w:t>
            </w:r>
            <w:r>
              <w:t xml:space="preserve">Centrum pre hospodárske otázky </w:t>
            </w:r>
            <w:r w:rsidRPr="00930CDA">
              <w:t>rozho</w:t>
            </w:r>
            <w:r>
              <w:t>dlo, že k predmetnému materiálu</w:t>
            </w:r>
            <w:r w:rsidRPr="00930CDA">
              <w:t xml:space="preserve"> nie je potrebné vykonať konzultácie s podnikateľskými subjektmi</w:t>
            </w:r>
            <w:r>
              <w:t>. Verejné konzultácie k legislatívnym zmenám vyplývajúcim z materiálu Opatrenia na zlepšenie podnikateľského prostredia III boli vyhodnotené v rámci predmetného materiálu (</w:t>
            </w:r>
            <w:hyperlink r:id="rId8" w:history="1">
              <w:r w:rsidRPr="00F065AE">
                <w:rPr>
                  <w:rStyle w:val="Hypertextovprepojenie"/>
                </w:rPr>
                <w:t>https://www.slov-lex.sk/legislativne-procesy/SK/LP/2018/879</w:t>
              </w:r>
            </w:hyperlink>
            <w:r>
              <w:t>).</w:t>
            </w:r>
          </w:p>
          <w:p w:rsidR="00A44640" w:rsidRPr="00911991" w:rsidRDefault="00A44640" w:rsidP="00AE204F">
            <w:pPr>
              <w:jc w:val="both"/>
            </w:pPr>
          </w:p>
        </w:tc>
      </w:tr>
      <w:tr w:rsidR="00A44640" w:rsidRPr="00F04CCD" w:rsidTr="00AE204F"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.3 Náklady regulácie</w:t>
            </w:r>
          </w:p>
          <w:p w:rsidR="00A44640" w:rsidRPr="00F04CCD" w:rsidRDefault="00A44640" w:rsidP="00AE204F">
            <w:pPr>
              <w:rPr>
                <w:b/>
              </w:rPr>
            </w:pPr>
            <w:r w:rsidRPr="00042C66">
              <w:t xml:space="preserve">      - </w:t>
            </w:r>
            <w:r w:rsidRPr="00042C66">
              <w:rPr>
                <w:b/>
              </w:rPr>
              <w:t>z toho MSP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.3.1 Priame finančné náklady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Default="00A44640" w:rsidP="00AE204F">
            <w:pPr>
              <w:jc w:val="both"/>
            </w:pPr>
            <w:r>
              <w:t xml:space="preserve">Zavedenie „druhej šance pri porušení povinnosti“ prinesie zníženie priamych finančných nákladov v odhadovanej výške 421 200 eur (zdroj: Opatrenia na zlepšenie podnikateľského prostredia III). 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 xml:space="preserve">Spôsob výpočtu: </w:t>
            </w:r>
          </w:p>
          <w:p w:rsidR="00A44640" w:rsidRDefault="00A44640" w:rsidP="00AE204F">
            <w:pPr>
              <w:jc w:val="both"/>
            </w:pPr>
            <w:r w:rsidRPr="00DB0CAD">
              <w:t>V roku 2017 Slovenská obchodná inšpekcia v správnom konaní vydala v prvostupňovom konaní 3 745 rozhodnutí o uložení pokuty. Celková výška uložených peňažných pokút predstavuje hodnotu 2 488 738 eur. Priemerná výška uloženej peňažnej sankcie v roku 2017 bola 665 eur.</w:t>
            </w:r>
            <w:r>
              <w:t xml:space="preserve"> </w:t>
            </w:r>
            <w:r w:rsidRPr="00DB0CAD">
              <w:t xml:space="preserve">Predpokladaný odhad MH SR </w:t>
            </w:r>
            <w:r>
              <w:t xml:space="preserve">počtu prípadov, v ktorých podnikateľský subjekt využije „druhú šancu“ </w:t>
            </w:r>
            <w:r w:rsidRPr="00DB0CAD">
              <w:t xml:space="preserve">je </w:t>
            </w:r>
            <w:r w:rsidRPr="00DB0CAD">
              <w:rPr>
                <w:vertAlign w:val="superscript"/>
              </w:rPr>
              <w:t>1</w:t>
            </w:r>
            <w:r>
              <w:t>/</w:t>
            </w:r>
            <w:r w:rsidRPr="00DB0CAD">
              <w:rPr>
                <w:vertAlign w:val="subscript"/>
              </w:rPr>
              <w:t>4</w:t>
            </w:r>
            <w:r w:rsidRPr="00DB0CAD">
              <w:t xml:space="preserve"> z uložených pokút, t. j. 936 prípadov. V týchto prípadoch </w:t>
            </w:r>
            <w:r>
              <w:t>je</w:t>
            </w:r>
            <w:r w:rsidRPr="00DB0CAD">
              <w:t xml:space="preserve"> udelená nižšia ako priemerná pokuta </w:t>
            </w:r>
            <w:r>
              <w:t>(</w:t>
            </w:r>
            <w:r w:rsidRPr="00DB0CAD">
              <w:t xml:space="preserve">665 eur), podľa odhadu MH SR 450 eur. </w:t>
            </w:r>
            <w:r>
              <w:t xml:space="preserve">Ušetrené </w:t>
            </w:r>
            <w:r>
              <w:lastRenderedPageBreak/>
              <w:t>priame finančné náklady predstavujú</w:t>
            </w:r>
            <w:r w:rsidRPr="00DB0CAD">
              <w:t xml:space="preserve"> 421 200 eur.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 xml:space="preserve">Vzhľadom na to, že údaje vychádzajú zo stavu v roku 2017, predkladateľ dopracoval prepočet na základe údajov z roku 2018. Na základe tohto prepočtu by zníženie priamych finančných nákladov mohlo predstavovať 640 200 eur. 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>Spôsob výpočtu:</w:t>
            </w:r>
          </w:p>
          <w:p w:rsidR="00A44640" w:rsidRDefault="00A44640" w:rsidP="00AE204F">
            <w:pPr>
              <w:jc w:val="both"/>
            </w:pPr>
            <w:r>
              <w:t>V roku 2018</w:t>
            </w:r>
            <w:r w:rsidRPr="00DB0CAD">
              <w:t xml:space="preserve"> Slovenská obchodná inšpekcia v správnom konaní vydala v prvostupňovom konaní </w:t>
            </w:r>
            <w:r>
              <w:t>4 269</w:t>
            </w:r>
            <w:r w:rsidRPr="00DB0CAD">
              <w:t xml:space="preserve"> rozhodnutí o uložení pokuty. Celková výška uložených peňažných pokút predstavuje hodnotu </w:t>
            </w:r>
            <w:r>
              <w:t>3 210 090</w:t>
            </w:r>
            <w:r w:rsidRPr="00DB0CAD">
              <w:t xml:space="preserve"> eur. Priemerná výška uloženej peňažnej sankcie v roku 201</w:t>
            </w:r>
            <w:r>
              <w:t>8</w:t>
            </w:r>
            <w:r w:rsidRPr="00DB0CAD">
              <w:t xml:space="preserve"> bola </w:t>
            </w:r>
            <w:r>
              <w:t>752</w:t>
            </w:r>
            <w:r w:rsidRPr="00DB0CAD">
              <w:t xml:space="preserve"> eur.</w:t>
            </w:r>
            <w:r>
              <w:t xml:space="preserve"> </w:t>
            </w:r>
            <w:r w:rsidRPr="00DB0CAD">
              <w:t xml:space="preserve">Predpokladaný odhad </w:t>
            </w:r>
            <w:r>
              <w:t>predkladateľa</w:t>
            </w:r>
            <w:r w:rsidRPr="00DB0CAD">
              <w:t xml:space="preserve"> </w:t>
            </w:r>
            <w:r>
              <w:t xml:space="preserve">počtu prípadov, v ktorých podnikateľský subjekt využije „druhú šancu“ </w:t>
            </w:r>
            <w:r w:rsidRPr="00DB0CAD">
              <w:t xml:space="preserve">je </w:t>
            </w:r>
            <w:r w:rsidRPr="00DB0CAD">
              <w:rPr>
                <w:vertAlign w:val="superscript"/>
              </w:rPr>
              <w:t>1</w:t>
            </w:r>
            <w:r>
              <w:t>/</w:t>
            </w:r>
            <w:r w:rsidRPr="00DB0CAD">
              <w:rPr>
                <w:vertAlign w:val="subscript"/>
              </w:rPr>
              <w:t>4</w:t>
            </w:r>
            <w:r w:rsidRPr="00DB0CAD">
              <w:t xml:space="preserve"> z uložených pokút, t. j. </w:t>
            </w:r>
            <w:r>
              <w:t>1 067</w:t>
            </w:r>
            <w:r w:rsidRPr="00DB0CAD">
              <w:t xml:space="preserve"> prípadov. V týchto prípadoch </w:t>
            </w:r>
            <w:r>
              <w:t>(menej závažné porušenia) býva</w:t>
            </w:r>
            <w:r w:rsidRPr="00DB0CAD">
              <w:t xml:space="preserve"> </w:t>
            </w:r>
            <w:r>
              <w:t>uložená</w:t>
            </w:r>
            <w:r w:rsidRPr="00DB0CAD">
              <w:t xml:space="preserve"> nižšia ako priemerná pokuta, podľa odhadu </w:t>
            </w:r>
            <w:r>
              <w:t>predkladateľa</w:t>
            </w:r>
            <w:r w:rsidRPr="00DB0CAD">
              <w:t xml:space="preserve"> </w:t>
            </w:r>
            <w:r>
              <w:t>v priemere 600</w:t>
            </w:r>
            <w:r w:rsidRPr="00DB0CAD">
              <w:t xml:space="preserve"> eur. </w:t>
            </w:r>
            <w:r>
              <w:t>Ušetrené priame finančné náklady potom predstavujú</w:t>
            </w:r>
            <w:r w:rsidRPr="00DB0CAD">
              <w:t xml:space="preserve"> </w:t>
            </w:r>
            <w:r>
              <w:t>640 200</w:t>
            </w:r>
            <w:r w:rsidRPr="00DB0CAD">
              <w:t xml:space="preserve"> eur.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>K zníženiu priamych finančných nákladov môže smerovať aj z</w:t>
            </w:r>
            <w:r w:rsidRPr="008446CC">
              <w:t>ohľadnenie kritéria obratu podniku pri určení výšky pokuty</w:t>
            </w:r>
            <w:r>
              <w:t>. R</w:t>
            </w:r>
            <w:r w:rsidRPr="004008A2">
              <w:t xml:space="preserve">ovnako vysoká pokuta môže byť likvidačná pre </w:t>
            </w:r>
            <w:proofErr w:type="spellStart"/>
            <w:r w:rsidRPr="004008A2">
              <w:t>mikropodnik</w:t>
            </w:r>
            <w:proofErr w:type="spellEnd"/>
            <w:r w:rsidRPr="004008A2">
              <w:t xml:space="preserve"> a súčasn</w:t>
            </w:r>
            <w:r>
              <w:t>e zanedbateľná pre veľký podnik, stanovuje sa preto horná hranica sadzby pokuty ako percentuálny podiel z obratu podniku. Opatrenie bude mať pozitívny vplyv na podnikateľské prostredie, ktorý ale nemožno kvantifikovať (viď opatrenie č. 31 v rámci Opatrení na zlepšovanie podnikateľského prostredia III).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 xml:space="preserve">Potenciálne ušetrenie priamych finančných nákladov môžu priniesť tiež zmeny navrhované v zákone č. 170/2018 Z. z. o zájazdoch, spojených službách cestovného ruchu, niektorých podmienkach podnikania v cestovnom ruchu a o zmene a doplnení niektorých zákonov. Pozitívny vplyv na podnikateľské subjekty môže nastať za predpokladu, ak nastane situácia úpadku cestovnej kancelárie – ochrana pre prípad úpadku zabezpečená cestovnou kanceláriou bude v zmysle navrhovaných zmien pokrývať iba zmluvy o zájazdoch a spojených službách cestovného ruchu uzavreté výlučne počas účinnosti danej zmluvy zabezpečujúcej ochranu pre prípad úpadku tej ktorej cestovnej kancelárie (nie platnosti zmluvy – dlhšie časové obdobie), podnikatelia zabezpečujú ochranu pre prípad úpadku (poisťovne, banky) budú povinní platiť len tie druhy výdavkov, ktoré im vyplývajú z európskej legislatívy (odstránenie </w:t>
            </w:r>
            <w:proofErr w:type="spellStart"/>
            <w:r>
              <w:t>goldplatingu</w:t>
            </w:r>
            <w:proofErr w:type="spellEnd"/>
            <w:r>
              <w:t xml:space="preserve">). Kvantifikácia zníženia priamych finančných nákladov v nadväznosti na tieto zmeny nie je možná, pretože by bolo potrebné poznať všetky zmluvy o zájazde alebo spojených službách cestovného ruchu uzavreté počas účinnosti zmluvy zabezpečujúcej ochranu pre prípad úpadku, prípadne bolo by potrebné poznať všetky platby vyplatené v dôsledku úpadku danej cestovnej kancelárie. </w:t>
            </w:r>
          </w:p>
          <w:p w:rsidR="0082728D" w:rsidRDefault="0082728D" w:rsidP="00AE204F">
            <w:pPr>
              <w:jc w:val="both"/>
            </w:pPr>
          </w:p>
          <w:p w:rsidR="0082728D" w:rsidRPr="00886879" w:rsidRDefault="0076275F" w:rsidP="00AE204F">
            <w:pPr>
              <w:jc w:val="both"/>
            </w:pPr>
            <w:r>
              <w:t xml:space="preserve">Nariadenie (EP) č. 2017/2394 požaduje zavedenie </w:t>
            </w:r>
            <w:r w:rsidR="00B42D5C">
              <w:t>osobitných postupov</w:t>
            </w:r>
            <w:r w:rsidRPr="0076275F">
              <w:t xml:space="preserve"> počas výkonu dohľadu pri prevádzke </w:t>
            </w:r>
            <w:proofErr w:type="spellStart"/>
            <w:r w:rsidRPr="0076275F">
              <w:t>online</w:t>
            </w:r>
            <w:proofErr w:type="spellEnd"/>
            <w:r w:rsidRPr="0076275F">
              <w:t xml:space="preserve"> rozhrania dohliadaného subjektu</w:t>
            </w:r>
            <w:r w:rsidR="00B42D5C">
              <w:t xml:space="preserve"> – ide o návrh opatrení podľa čl. I § 11 návrhu zákona, ktoré môžu mať negatívny vplyv na podnikateľské prostredie vrátane MSP. Tieto opatrenia môžu smerovať k zamedzeniu prístupu spotrebiteľov k </w:t>
            </w:r>
            <w:proofErr w:type="spellStart"/>
            <w:r w:rsidR="00B42D5C">
              <w:t>online</w:t>
            </w:r>
            <w:proofErr w:type="spellEnd"/>
            <w:r w:rsidR="00B42D5C">
              <w:t xml:space="preserve"> rozhraniu, odstráneniu alebo zmene obsahu na </w:t>
            </w:r>
            <w:proofErr w:type="spellStart"/>
            <w:r w:rsidR="00B42D5C">
              <w:t>online</w:t>
            </w:r>
            <w:proofErr w:type="spellEnd"/>
            <w:r w:rsidR="00B42D5C">
              <w:t xml:space="preserve"> rozhraní, k uverejneniu upozornenia pre spotrebiteľov, k zablokovaniu </w:t>
            </w:r>
            <w:proofErr w:type="spellStart"/>
            <w:r w:rsidR="00B42D5C">
              <w:t>online</w:t>
            </w:r>
            <w:proofErr w:type="spellEnd"/>
            <w:r w:rsidR="00B42D5C">
              <w:t xml:space="preserve"> rozhrania pre niektoré alebo všetky úkony alebo služby alebo až k vymazaniu domény, čím môže dôjsť k zásadnému zásahu do činnosti dohliadaného subjektu v digitálnom prostredí. Možnosť nastania negatívneho vplyvu je eliminovaná tým, že tieto opatrenia je možné využiť až v prípade, ak sledovaný účel </w:t>
            </w:r>
            <w:r w:rsidR="00961FC4">
              <w:t xml:space="preserve">výkonu dohľadu </w:t>
            </w:r>
            <w:r w:rsidR="00B42D5C">
              <w:t xml:space="preserve">nie je možné dosiahnuť za použitia iných nástrojov a len v prípade </w:t>
            </w:r>
            <w:r w:rsidR="00961FC4">
              <w:t>ohrozenia alebo poškodenia</w:t>
            </w:r>
            <w:r w:rsidR="00B42D5C">
              <w:t xml:space="preserve"> kolektívnych záujmov spotrebiteľo</w:t>
            </w:r>
            <w:r w:rsidR="002F5528">
              <w:t xml:space="preserve">v, nie v individuálnom prípade. Rozhodnutiu </w:t>
            </w:r>
            <w:r w:rsidR="002F5528">
              <w:lastRenderedPageBreak/>
              <w:t xml:space="preserve">a výkonu takéhoto opatrenia </w:t>
            </w:r>
            <w:r w:rsidR="00B42D5C">
              <w:t xml:space="preserve">má navyše spravidla predchádzať výzva adresovaná dohliadanému subjektu. </w:t>
            </w:r>
          </w:p>
          <w:p w:rsidR="00A44640" w:rsidRPr="00F04CCD" w:rsidRDefault="00A44640" w:rsidP="00AE204F">
            <w:pPr>
              <w:rPr>
                <w:b/>
                <w:i/>
              </w:rPr>
            </w:pP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04CCD">
              <w:rPr>
                <w:b/>
                <w:i/>
              </w:rPr>
              <w:t>.3.2 Nepriame finančné náklady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 xml:space="preserve">Návrhom zákona sa novelizujú ustanovenia o označovaní výrobkov cenami podľa zákona č. 250/2007 Z. z. o ochrane spotrebiteľa a o zmene zákona Slovenskej národnej rady č. 372/1990 Zb. o priestupkoch v znení neskorších predpisov v znení neskorších predpisov. Podnikateľovi môžu v nadväznosti na navrhované zmeny vzniknúť náklady v podobe zmeny </w:t>
            </w:r>
            <w:proofErr w:type="spellStart"/>
            <w:r>
              <w:t>softwéru</w:t>
            </w:r>
            <w:proofErr w:type="spellEnd"/>
            <w:r>
              <w:t xml:space="preserve"> na nový prepočet jednotkovej ceny s možným ohľadom na bonus pre spotrebiteľa</w:t>
            </w:r>
            <w:r w:rsidRPr="005733D9">
              <w:t>, prípadne</w:t>
            </w:r>
            <w:r>
              <w:t xml:space="preserve"> mu môžu vzniknúť</w:t>
            </w:r>
            <w:r w:rsidRPr="005733D9">
              <w:t xml:space="preserve"> náklady vo forme času stráveného prepočtom.</w:t>
            </w:r>
            <w:r>
              <w:t xml:space="preserve"> Náklady tohto druhu nie je možné kvantifikovať, pretože spôsob výpočtu a druh </w:t>
            </w:r>
            <w:proofErr w:type="spellStart"/>
            <w:r>
              <w:t>softwéru</w:t>
            </w:r>
            <w:proofErr w:type="spellEnd"/>
            <w:r>
              <w:t xml:space="preserve"> sa u podnikateľov líši. Je pravdepodobné, že väčšina </w:t>
            </w:r>
            <w:proofErr w:type="spellStart"/>
            <w:r>
              <w:t>softwérových</w:t>
            </w:r>
            <w:proofErr w:type="spellEnd"/>
            <w:r>
              <w:t xml:space="preserve"> riešení umožňuje takýto prepočet aj bez dodatočných zmien, resp. že takéto zmeny by mohli byť spojené s pravidelnou aktualizáciou </w:t>
            </w:r>
            <w:proofErr w:type="spellStart"/>
            <w:r>
              <w:t>softwéru</w:t>
            </w:r>
            <w:proofErr w:type="spellEnd"/>
            <w:r>
              <w:t>. Rovnako časový rozsah na manuálny prepočet je možné označiť za zanedbateľný, keďže výrobky s bonusom sa väčšinou predávajú len krátkodobo, preto by sa prepočet stal prirodzenou súčasťou výpočtu novej ceny pri predaji ďalšieho výrobku s bonusom. Predkladateľ potenciálnu možnosť vzniku takýchto nepriamych finančných nákladov pre jej neurčitosť v doložke vplyvov neuvádza.</w:t>
            </w:r>
          </w:p>
          <w:p w:rsidR="00A44640" w:rsidRPr="00F04CCD" w:rsidRDefault="00A44640" w:rsidP="00AE204F">
            <w:pPr>
              <w:jc w:val="both"/>
              <w:rPr>
                <w:b/>
                <w:i/>
              </w:rPr>
            </w:pP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.3.3 Administratívne náklady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jc w:val="both"/>
              <w:rPr>
                <w:b/>
                <w:i/>
              </w:rPr>
            </w:pPr>
            <w:r>
              <w:t>V predkladanom materiáli sa navrhuje rozšírenie výnimiek z označovania jednotkovou cenou podľa zákona č. 250/2007 Z. z. o ochrane spotrebiteľa a o zmene zákona Slovenskej národnej rady č. 372/1990 Zb. o priestupkoch v znení neskorších predpisov v znení neskorších predpisov. Zúžením rozsahu tejto povinnosti dochádza k zníženiu administratívnych nákladov spojených s vyhotovovaním označenia tovarov. Vzhľadom na skutočnosť, že nie je možné určiť počet subjektov a počet tovarov na trhu, ktorých sa zmena dotkne, a forma a spôsob označovania cenami sa u podnikateľov líšia, nie je možné toto zníženie administratívnych nákladov kvantifikovať.</w:t>
            </w:r>
          </w:p>
          <w:p w:rsidR="00A44640" w:rsidRPr="00F04CCD" w:rsidRDefault="00A44640" w:rsidP="00AE204F">
            <w:pPr>
              <w:rPr>
                <w:b/>
                <w:i/>
              </w:rPr>
            </w:pPr>
          </w:p>
        </w:tc>
      </w:tr>
      <w:tr w:rsidR="00A44640" w:rsidRPr="00F04CCD" w:rsidTr="00AE204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Pr="00F04CCD">
              <w:rPr>
                <w:b/>
                <w:i/>
              </w:rPr>
              <w:t>.3.4 Súhrnná tabuľka nákladov regulácie</w:t>
            </w:r>
          </w:p>
          <w:p w:rsidR="00A44640" w:rsidRDefault="00A44640" w:rsidP="00AE204F"/>
          <w:p w:rsidR="008D697C" w:rsidRPr="008D697C" w:rsidRDefault="008D697C" w:rsidP="00363F9A">
            <w:pPr>
              <w:jc w:val="both"/>
            </w:pPr>
            <w:r>
              <w:t>Pozitívny vplyv zavedenia inštitútu „druhej šance pri porušení povinnosti“ na priame finančné náklady</w:t>
            </w:r>
            <w:r w:rsidR="00363F9A">
              <w:t>:</w:t>
            </w:r>
          </w:p>
          <w:p w:rsidR="008D697C" w:rsidRPr="008D697C" w:rsidRDefault="008D697C" w:rsidP="00AE204F"/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44640" w:rsidRPr="00F04CCD" w:rsidTr="00AE204F">
              <w:tc>
                <w:tcPr>
                  <w:tcW w:w="2993" w:type="dxa"/>
                </w:tcPr>
                <w:p w:rsidR="00A44640" w:rsidRPr="00F04CCD" w:rsidRDefault="00A44640" w:rsidP="00AE204F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A44640" w:rsidRPr="00F04CCD" w:rsidRDefault="00A44640" w:rsidP="00AE204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A44640" w:rsidRPr="00F04CCD" w:rsidRDefault="00A44640" w:rsidP="00AE204F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A44640" w:rsidRPr="00F04CCD" w:rsidTr="00AE204F">
              <w:tc>
                <w:tcPr>
                  <w:tcW w:w="2993" w:type="dxa"/>
                </w:tcPr>
                <w:p w:rsidR="00A44640" w:rsidRPr="00F04CCD" w:rsidRDefault="00A44640" w:rsidP="00AE204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A44640" w:rsidRPr="009C56D3" w:rsidRDefault="00927658" w:rsidP="00AE204F">
                  <w:pPr>
                    <w:jc w:val="center"/>
                  </w:pPr>
                  <w:r>
                    <w:t xml:space="preserve">- </w:t>
                  </w:r>
                  <w:r w:rsidR="00EB1161" w:rsidRPr="009C56D3">
                    <w:t>600</w:t>
                  </w:r>
                </w:p>
              </w:tc>
              <w:tc>
                <w:tcPr>
                  <w:tcW w:w="2994" w:type="dxa"/>
                </w:tcPr>
                <w:p w:rsidR="00A44640" w:rsidRPr="00655F5E" w:rsidRDefault="0082728D" w:rsidP="00AE204F">
                  <w:pPr>
                    <w:jc w:val="center"/>
                  </w:pPr>
                  <w:r>
                    <w:t xml:space="preserve">- </w:t>
                  </w:r>
                  <w:r w:rsidR="00A44640" w:rsidRPr="00655F5E">
                    <w:t xml:space="preserve">640 200 </w:t>
                  </w:r>
                </w:p>
              </w:tc>
            </w:tr>
            <w:tr w:rsidR="00A44640" w:rsidRPr="00F04CCD" w:rsidTr="00AE204F">
              <w:tc>
                <w:tcPr>
                  <w:tcW w:w="2993" w:type="dxa"/>
                </w:tcPr>
                <w:p w:rsidR="00A44640" w:rsidRPr="00F04CCD" w:rsidRDefault="00A44640" w:rsidP="00AE204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A44640" w:rsidRPr="00F04CCD" w:rsidRDefault="00A44640" w:rsidP="00AE204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A44640" w:rsidRPr="00655F5E" w:rsidRDefault="00A44640" w:rsidP="00AE204F">
                  <w:pPr>
                    <w:jc w:val="center"/>
                  </w:pPr>
                  <w:r w:rsidRPr="00655F5E">
                    <w:t>-</w:t>
                  </w:r>
                </w:p>
              </w:tc>
            </w:tr>
            <w:tr w:rsidR="00A44640" w:rsidRPr="00F04CCD" w:rsidTr="00AE204F">
              <w:tc>
                <w:tcPr>
                  <w:tcW w:w="2993" w:type="dxa"/>
                </w:tcPr>
                <w:p w:rsidR="00A44640" w:rsidRPr="00F04CCD" w:rsidRDefault="00A44640" w:rsidP="00AE204F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A44640" w:rsidRPr="00F04CCD" w:rsidRDefault="00A44640" w:rsidP="00AE204F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</w:p>
              </w:tc>
              <w:tc>
                <w:tcPr>
                  <w:tcW w:w="2994" w:type="dxa"/>
                </w:tcPr>
                <w:p w:rsidR="00A44640" w:rsidRPr="00655F5E" w:rsidRDefault="00A44640" w:rsidP="00AE204F">
                  <w:pPr>
                    <w:jc w:val="center"/>
                  </w:pPr>
                  <w:r>
                    <w:t>-</w:t>
                  </w:r>
                </w:p>
              </w:tc>
            </w:tr>
            <w:tr w:rsidR="00A44640" w:rsidRPr="00F04CCD" w:rsidTr="00AE204F">
              <w:tc>
                <w:tcPr>
                  <w:tcW w:w="2993" w:type="dxa"/>
                </w:tcPr>
                <w:p w:rsidR="00A44640" w:rsidRPr="00F04CCD" w:rsidRDefault="00A44640" w:rsidP="00AE204F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A44640" w:rsidRPr="009C56D3" w:rsidRDefault="00EB1161" w:rsidP="00AE204F">
                  <w:pPr>
                    <w:jc w:val="center"/>
                    <w:rPr>
                      <w:b/>
                    </w:rPr>
                  </w:pPr>
                  <w:r w:rsidRPr="009C56D3">
                    <w:rPr>
                      <w:b/>
                    </w:rPr>
                    <w:t>- 600</w:t>
                  </w:r>
                </w:p>
              </w:tc>
              <w:tc>
                <w:tcPr>
                  <w:tcW w:w="2994" w:type="dxa"/>
                </w:tcPr>
                <w:p w:rsidR="00A44640" w:rsidRPr="00655F5E" w:rsidRDefault="0082728D" w:rsidP="00AE20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- </w:t>
                  </w:r>
                  <w:r w:rsidR="00A44640">
                    <w:rPr>
                      <w:b/>
                    </w:rPr>
                    <w:t>640 200</w:t>
                  </w:r>
                </w:p>
              </w:tc>
            </w:tr>
            <w:tr w:rsidR="004C0C4A" w:rsidRPr="00F04CCD" w:rsidTr="00AE204F">
              <w:tc>
                <w:tcPr>
                  <w:tcW w:w="2993" w:type="dxa"/>
                </w:tcPr>
                <w:p w:rsidR="004C0C4A" w:rsidRPr="00F04CCD" w:rsidRDefault="004C0C4A" w:rsidP="00AE204F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4C0C4A" w:rsidRPr="009C56D3" w:rsidRDefault="004C0C4A" w:rsidP="00AE204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</w:tcPr>
                <w:p w:rsidR="004C0C4A" w:rsidRDefault="004C0C4A" w:rsidP="00AE204F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363F9A" w:rsidRPr="00F04CCD" w:rsidRDefault="00363F9A" w:rsidP="00AE204F">
            <w:pPr>
              <w:rPr>
                <w:i/>
              </w:rPr>
            </w:pPr>
          </w:p>
        </w:tc>
      </w:tr>
      <w:tr w:rsidR="00A44640" w:rsidRPr="00F04CCD" w:rsidTr="00AE204F"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>.4 Konkurencieschopnosť a správanie sa podnikov na trhu</w:t>
            </w:r>
          </w:p>
          <w:p w:rsidR="00A44640" w:rsidRPr="00F04CCD" w:rsidRDefault="00A44640" w:rsidP="00AE204F">
            <w:r w:rsidRPr="00042C66">
              <w:rPr>
                <w:b/>
              </w:rPr>
              <w:lastRenderedPageBreak/>
              <w:t xml:space="preserve">       </w:t>
            </w:r>
            <w:r w:rsidRPr="00042C66">
              <w:t xml:space="preserve">- </w:t>
            </w:r>
            <w:r w:rsidRPr="00042C66">
              <w:rPr>
                <w:b/>
              </w:rPr>
              <w:t>z toho MSP</w:t>
            </w:r>
          </w:p>
        </w:tc>
      </w:tr>
      <w:tr w:rsidR="00A44640" w:rsidRPr="00F04CCD" w:rsidTr="00AE204F">
        <w:tc>
          <w:tcPr>
            <w:tcW w:w="9212" w:type="dxa"/>
            <w:tcBorders>
              <w:bottom w:val="single" w:sz="4" w:space="0" w:color="auto"/>
            </w:tcBorders>
          </w:tcPr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A44640" w:rsidRPr="00F04CCD" w:rsidTr="00AE204F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A44640" w:rsidRDefault="00A44640" w:rsidP="00AE204F">
            <w:pPr>
              <w:jc w:val="both"/>
            </w:pPr>
            <w:r>
              <w:t>Predpokladá sa pozitívny vplyv návrhu zákona na správanie podnikov na trhu. Cieľom návrhu zákona je posilnenie efektívnosti výkonu dohľadu v oblasti ochrany spotrebiteľa, čím sa nepriamo podporuje poctivosť obchodníkov a riadne dodržiavanie predpisov v oblasti ochrany spotrebiteľa.</w:t>
            </w:r>
          </w:p>
          <w:p w:rsidR="00A44640" w:rsidRDefault="00A44640" w:rsidP="00AE204F">
            <w:pPr>
              <w:jc w:val="both"/>
            </w:pPr>
          </w:p>
          <w:p w:rsidR="00A44640" w:rsidRDefault="00A44640" w:rsidP="00AE204F">
            <w:pPr>
              <w:jc w:val="both"/>
            </w:pPr>
            <w:r>
              <w:t xml:space="preserve">Návrhom zákona sa mení mechanizmus ukladania pokút, keď sa pri ukladaní pokuty bude prihliadať na obrat obchodníka. Tým dôjde k rozdielnemu zaobchádzaniu s podnikmi s pozitívnym vplyvom na podnikateľské prostredie. </w:t>
            </w:r>
            <w:r w:rsidRPr="001314B7">
              <w:t xml:space="preserve">Cieľom opatrenia je, aby ukladaná pokuta vo vzťahu k malým a stredným podnikom nebola likvidačná, bez tohto aby došlo k zníženiu právnej istoty pre veľké podniky cieleným </w:t>
            </w:r>
            <w:proofErr w:type="spellStart"/>
            <w:r w:rsidRPr="001314B7">
              <w:t>navyšovaním</w:t>
            </w:r>
            <w:proofErr w:type="spellEnd"/>
            <w:r w:rsidRPr="001314B7">
              <w:t xml:space="preserve"> v súčasnosti ukladaných pokút</w:t>
            </w:r>
            <w:r>
              <w:t xml:space="preserve">. </w:t>
            </w:r>
          </w:p>
          <w:p w:rsidR="00A44640" w:rsidRPr="00DF42D9" w:rsidRDefault="00A44640" w:rsidP="00AE204F">
            <w:pPr>
              <w:jc w:val="both"/>
            </w:pPr>
          </w:p>
        </w:tc>
      </w:tr>
      <w:tr w:rsidR="00A44640" w:rsidRPr="00F04CCD" w:rsidTr="00AE204F">
        <w:tc>
          <w:tcPr>
            <w:tcW w:w="9212" w:type="dxa"/>
            <w:shd w:val="clear" w:color="auto" w:fill="D9D9D9" w:themeFill="background1" w:themeFillShade="D9"/>
          </w:tcPr>
          <w:p w:rsidR="00A44640" w:rsidRPr="00042C66" w:rsidRDefault="00A44640" w:rsidP="00AE204F">
            <w:pPr>
              <w:rPr>
                <w:b/>
              </w:rPr>
            </w:pPr>
            <w:r>
              <w:rPr>
                <w:b/>
              </w:rPr>
              <w:t>3</w:t>
            </w:r>
            <w:r w:rsidRPr="00042C66">
              <w:rPr>
                <w:b/>
              </w:rPr>
              <w:t xml:space="preserve">.5 Inovácie </w:t>
            </w:r>
          </w:p>
          <w:p w:rsidR="00A44640" w:rsidRPr="00F04CCD" w:rsidRDefault="00A44640" w:rsidP="00AE204F">
            <w:pPr>
              <w:rPr>
                <w:b/>
              </w:rPr>
            </w:pPr>
            <w:r w:rsidRPr="00042C66">
              <w:t xml:space="preserve">       - </w:t>
            </w:r>
            <w:r w:rsidRPr="00042C66">
              <w:rPr>
                <w:b/>
              </w:rPr>
              <w:t>z toho MSP</w:t>
            </w:r>
          </w:p>
        </w:tc>
      </w:tr>
      <w:tr w:rsidR="00A44640" w:rsidRPr="00F04CCD" w:rsidTr="00AE204F">
        <w:tc>
          <w:tcPr>
            <w:tcW w:w="9212" w:type="dxa"/>
          </w:tcPr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A44640" w:rsidRPr="00F04CCD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A44640" w:rsidRDefault="00A44640" w:rsidP="00AE204F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A44640" w:rsidRPr="00F04CCD" w:rsidRDefault="00A44640" w:rsidP="00AE204F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A44640" w:rsidRPr="00F04CCD" w:rsidTr="00AE204F">
        <w:trPr>
          <w:trHeight w:val="1747"/>
        </w:trPr>
        <w:tc>
          <w:tcPr>
            <w:tcW w:w="9212" w:type="dxa"/>
          </w:tcPr>
          <w:p w:rsidR="00A44640" w:rsidRPr="001314B7" w:rsidRDefault="00A44640" w:rsidP="00AE204F">
            <w:r>
              <w:t>Návrh zákona nemá vplyv na inovácie.</w:t>
            </w:r>
          </w:p>
        </w:tc>
      </w:tr>
    </w:tbl>
    <w:p w:rsidR="00897DE8" w:rsidRDefault="00897DE8"/>
    <w:sectPr w:rsidR="00897DE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84" w:rsidRDefault="00884A84" w:rsidP="00884A84">
      <w:r>
        <w:separator/>
      </w:r>
    </w:p>
  </w:endnote>
  <w:endnote w:type="continuationSeparator" w:id="0">
    <w:p w:rsidR="00884A84" w:rsidRDefault="00884A84" w:rsidP="008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59014"/>
      <w:docPartObj>
        <w:docPartGallery w:val="Page Numbers (Bottom of Page)"/>
        <w:docPartUnique/>
      </w:docPartObj>
    </w:sdtPr>
    <w:sdtContent>
      <w:p w:rsidR="00884A84" w:rsidRDefault="00884A8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84A84" w:rsidRDefault="00884A8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84" w:rsidRDefault="00884A84" w:rsidP="00884A84">
      <w:r>
        <w:separator/>
      </w:r>
    </w:p>
  </w:footnote>
  <w:footnote w:type="continuationSeparator" w:id="0">
    <w:p w:rsidR="00884A84" w:rsidRDefault="00884A84" w:rsidP="0088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1"/>
    <w:rsid w:val="00121F8A"/>
    <w:rsid w:val="002F5528"/>
    <w:rsid w:val="00363F9A"/>
    <w:rsid w:val="004C0C4A"/>
    <w:rsid w:val="005915EA"/>
    <w:rsid w:val="007325E9"/>
    <w:rsid w:val="0076275F"/>
    <w:rsid w:val="0082728D"/>
    <w:rsid w:val="00884A84"/>
    <w:rsid w:val="00897DE8"/>
    <w:rsid w:val="008D697C"/>
    <w:rsid w:val="00927658"/>
    <w:rsid w:val="00961FC4"/>
    <w:rsid w:val="009C56D3"/>
    <w:rsid w:val="00A44640"/>
    <w:rsid w:val="00B42D5C"/>
    <w:rsid w:val="00BE4778"/>
    <w:rsid w:val="00C24A1E"/>
    <w:rsid w:val="00D94DB4"/>
    <w:rsid w:val="00DF0B91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464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4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4A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4A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4A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A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A4464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4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4640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84A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4A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4A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4A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legislativne-procesy/SK/LP/2018/8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legislativne-procesy/SK/PI/2018/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2019-09-02T11:46:00Z</dcterms:created>
  <dcterms:modified xsi:type="dcterms:W3CDTF">2019-09-09T09:42:00Z</dcterms:modified>
</cp:coreProperties>
</file>