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3" w:rsidRPr="00CF2B43" w:rsidRDefault="00CF2B43" w:rsidP="00CF2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F2B4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p w:rsidR="00CF2B43" w:rsidRPr="00CF2B43" w:rsidRDefault="00CF2B43" w:rsidP="00CF2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CF2B43" w:rsidRPr="00CF2B43" w:rsidRDefault="00CF2B43" w:rsidP="00CF2B43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CF2B43" w:rsidRPr="00CF2B43" w:rsidTr="00DB434B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1.  Základné údaje</w:t>
            </w:r>
          </w:p>
        </w:tc>
      </w:tr>
      <w:tr w:rsidR="00CF2B43" w:rsidRPr="00CF2B43" w:rsidTr="00DB434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Názov materiálu</w:t>
            </w:r>
          </w:p>
          <w:p w:rsidR="00CF2B43" w:rsidRPr="00CF2B43" w:rsidRDefault="00CF2B43" w:rsidP="00CF2B4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sk-SK"/>
              </w:rPr>
            </w:pPr>
          </w:p>
        </w:tc>
      </w:tr>
      <w:tr w:rsidR="00CF2B43" w:rsidRPr="00CF2B43" w:rsidTr="00DB434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2B4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Návrh </w:t>
            </w:r>
            <w:r w:rsidRPr="00CF2B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zákona, ktorým sa mení a dopĺňa zákon </w:t>
            </w:r>
            <w:r w:rsidR="00E27E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Slovenskej národnej rady</w:t>
            </w:r>
            <w:r w:rsidRPr="00CF2B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 51/1988 Zb.</w:t>
            </w:r>
            <w:r w:rsidRPr="00CF2B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banskej činnosti, výbušninách a o štátnej banskej správe v znení neskorších predpisov</w:t>
            </w:r>
          </w:p>
          <w:p w:rsidR="00CF2B43" w:rsidRPr="00CF2B43" w:rsidRDefault="00CF2B43" w:rsidP="00CF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2B43" w:rsidRPr="00CF2B43" w:rsidTr="00DB434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Predkladateľ (a spolupredkladateľ)</w:t>
            </w:r>
          </w:p>
        </w:tc>
      </w:tr>
      <w:tr w:rsidR="00CF2B43" w:rsidRPr="00CF2B43" w:rsidTr="00DB434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Ministerstvo hospodárstva Slovenskej republiky</w:t>
            </w:r>
          </w:p>
        </w:tc>
      </w:tr>
      <w:tr w:rsidR="00CF2B43" w:rsidRPr="00CF2B43" w:rsidTr="00DB434B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 Materiál nelegislatívnej povahy</w:t>
            </w:r>
          </w:p>
        </w:tc>
      </w:tr>
      <w:tr w:rsidR="00CF2B43" w:rsidRPr="00CF2B43" w:rsidTr="00DB434B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Materiál legislatívnej povahy </w:t>
            </w:r>
          </w:p>
        </w:tc>
      </w:tr>
      <w:tr w:rsidR="00CF2B43" w:rsidRPr="00CF2B43" w:rsidTr="00DB434B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Transpozícia/implementácia práva EÚ </w:t>
            </w:r>
          </w:p>
        </w:tc>
      </w:tr>
      <w:tr w:rsidR="00CF2B43" w:rsidRPr="00CF2B43" w:rsidTr="00DB434B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 žiadne</w:t>
            </w:r>
          </w:p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</w:tr>
      <w:tr w:rsidR="00CF2B43" w:rsidRPr="00CF2B43" w:rsidTr="00DB434B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Začiatok: 11.04.2019 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Ukončenie: 26.04.2019</w:t>
            </w:r>
          </w:p>
        </w:tc>
      </w:tr>
      <w:tr w:rsidR="00CF2B43" w:rsidRPr="00CF2B43" w:rsidTr="00DB434B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máj 2019</w:t>
            </w: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Predpokladaný termín predloženia na Rokovanie vlády</w:t>
            </w: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E27EFD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27E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bookmarkStart w:id="0" w:name="_GoBack"/>
            <w:bookmarkEnd w:id="0"/>
            <w:r w:rsidRPr="00CF2B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2019</w:t>
            </w:r>
          </w:p>
        </w:tc>
      </w:tr>
    </w:tbl>
    <w:p w:rsidR="00CF2B43" w:rsidRPr="00CF2B43" w:rsidRDefault="00CF2B43" w:rsidP="00CF2B43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5053" w:type="pct"/>
        <w:jc w:val="center"/>
        <w:tblInd w:w="-4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CF2B43" w:rsidRPr="00CF2B43" w:rsidTr="00DB434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2.  Definícia problému</w:t>
            </w: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Súčasný stav úpravy v oblasti vykonávania banskej činnosti a činnosti vykonávanej banským spôsobom, ktoré stanovuje  zákon č. 51/1988 Zb. neupravoval </w:t>
            </w:r>
            <w:r w:rsidRPr="00CF2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možnosť podania prihlášky na skúšky o odbornej spôsobilosti aj samotným uchádzačom o kvalifikáciu a overovanie odbornej spôsobilosti zamestnancov pri banskej činnosti vykonávanej banským spôsobom, ako aj </w:t>
            </w:r>
            <w:r w:rsidRPr="00CF2B43">
              <w:rPr>
                <w:rFonts w:ascii="Times New Roman" w:eastAsia="Times New Roman" w:hAnsi="Times New Roman" w:cs="Times New Roman"/>
                <w:sz w:val="20"/>
                <w:szCs w:val="20"/>
              </w:rPr>
              <w:t>odstrániť povinnosť Obvodných banských úradov zrušiť banské oprávnenie subjektu a zakázať mu obdobnú činnosť na ďalšie tri roky v prípade, ak subjekt nevykonáva činnosť tri roky od vydania banského oprávnenia</w:t>
            </w:r>
            <w:r w:rsidRPr="00CF2B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m.</w:t>
            </w:r>
          </w:p>
        </w:tc>
      </w:tr>
      <w:tr w:rsidR="00CF2B43" w:rsidRPr="00CF2B43" w:rsidTr="00DB434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3.  Ciele a výsledný stav</w:t>
            </w: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sk-SK"/>
              </w:rPr>
              <w:t xml:space="preserve">Cieľom navrhnutej úpravy je odstrániť nežiaduce nejasnosti v texte zákona, prispieť tak k zlepšeniu podnikateľského prostredia v oblasti </w:t>
            </w:r>
            <w:r w:rsidRPr="00CF2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vykonávania banskej činnosti a činnosti vykonávanej banským spôsobom </w:t>
            </w:r>
            <w:r w:rsidRPr="00CF2B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odbúranie prekážky v podnikaní, zníženie administratívnej a časovej náročnosti.</w:t>
            </w:r>
          </w:p>
        </w:tc>
      </w:tr>
      <w:tr w:rsidR="00CF2B43" w:rsidRPr="00CF2B43" w:rsidTr="00DB434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4.  Dotknuté subjekty</w:t>
            </w: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Podnikatelia s predmetom činnosti, vykonávajúcich banskú  činnosť a činnosť vykonávajúcu banským spôsobom sa vzťahuje na 1008 organizácií (§3a -právnické a fyzické osoby, ktoré v rámci podnikateľskej činnosti</w:t>
            </w:r>
            <w:hyperlink r:id="rId5" w:anchor="poznamky.poznamka-3a" w:tooltip="Odkaz na predpis alebo ustanovenie" w:history="1">
              <w:r w:rsidRPr="00CF2B43">
                <w:rPr>
                  <w:rFonts w:ascii="Times New Roman" w:eastAsia="Times New Roman" w:hAnsi="Times New Roman" w:cs="Times New Roman"/>
                  <w:b/>
                  <w:bCs/>
                  <w:u w:val="single"/>
                  <w:vertAlign w:val="superscript"/>
                  <w:lang w:eastAsia="sk-SK"/>
                </w:rPr>
                <w:t>3a</w:t>
              </w:r>
              <w:r w:rsidRPr="00CF2B43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sk-SK"/>
                </w:rPr>
                <w:t>)</w:t>
              </w:r>
            </w:hyperlink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 vykonávajú banskú činnosť alebo činnosť vykonávanú banským spôsob).</w:t>
            </w:r>
          </w:p>
          <w:p w:rsidR="00CF2B43" w:rsidRPr="00CF2B43" w:rsidRDefault="00CF2B43" w:rsidP="00CF2B43">
            <w:pPr>
              <w:spacing w:after="0" w:line="240" w:lineRule="auto"/>
              <w:jc w:val="both"/>
              <w:rPr>
                <w:rFonts w:ascii="Times" w:eastAsia="Times New Roman" w:hAnsi="Times" w:cs="Times"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SMZ a.s. Jelšava, SLOVMAG a.s. Lubeník, Carmeuse Slovakia s.r.o. Slavec, MATRIX s.r.o. </w:t>
            </w:r>
            <w:proofErr w:type="spellStart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Sp</w:t>
            </w:r>
            <w:proofErr w:type="spellEnd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. N. Ves, ALAS Slovakia s.r.o. Bratislava, CLL Lietavská Lúčka, CHR s.r.o. Rohožník, </w:t>
            </w:r>
            <w:proofErr w:type="spellStart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Dolvap</w:t>
            </w:r>
            <w:proofErr w:type="spellEnd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  s.r.o. Stráňavy, Eurovia s.r.o. Košice, VSK Mineral s.r.o. Košice.</w:t>
            </w:r>
          </w:p>
        </w:tc>
      </w:tr>
      <w:tr w:rsidR="00CF2B43" w:rsidRPr="00CF2B43" w:rsidTr="00DB434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5.  Alternatívne riešenia</w:t>
            </w: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"/>
                <w:color w:val="000000"/>
                <w:sz w:val="24"/>
                <w:szCs w:val="24"/>
                <w:lang w:eastAsia="sk-SK"/>
              </w:rPr>
            </w:pPr>
            <w:r w:rsidRPr="00CF2B43">
              <w:rPr>
                <w:rFonts w:ascii="Times New Roman" w:eastAsia="Times New Roman" w:hAnsi="Times New Roman" w:cs="EUAlbertina"/>
                <w:i/>
                <w:color w:val="000000"/>
                <w:sz w:val="20"/>
                <w:szCs w:val="20"/>
                <w:lang w:eastAsia="sk-SK"/>
              </w:rPr>
              <w:t>Vzhľadom na charakter a ciele návrhu neboli zvažované alternatívne riešenia definovaných problémov.</w:t>
            </w:r>
          </w:p>
        </w:tc>
      </w:tr>
      <w:tr w:rsidR="00CF2B43" w:rsidRPr="00CF2B43" w:rsidTr="00DB434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6.  Vykonávacie predpisy</w:t>
            </w: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lang w:eastAsia="sk-SK"/>
              </w:rPr>
            </w:pPr>
            <w:r w:rsidRPr="00CF2B43">
              <w:rPr>
                <w:rFonts w:ascii="Times" w:eastAsia="Times New Roman" w:hAnsi="Times" w:cs="Times"/>
                <w:lang w:eastAsia="sk-SK"/>
              </w:rPr>
              <w:t>Predpokladá sa prijatie/zmena vykonávacích predpisov?                          </w:t>
            </w:r>
            <w:r w:rsidRPr="00CF2B43">
              <w:rPr>
                <w:rFonts w:ascii="Wingdings 2" w:eastAsia="Times New Roman" w:hAnsi="Wingdings 2" w:cs="Times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lang w:eastAsia="sk-SK"/>
              </w:rPr>
              <w:t xml:space="preserve">   Áno            </w:t>
            </w:r>
            <w:r w:rsidRPr="00CF2B43">
              <w:rPr>
                <w:rFonts w:ascii="Wingdings 2" w:eastAsia="Times New Roman" w:hAnsi="Wingdings 2" w:cs="Times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lang w:eastAsia="sk-SK"/>
              </w:rPr>
              <w:t>  Nie</w:t>
            </w:r>
          </w:p>
        </w:tc>
      </w:tr>
      <w:tr w:rsidR="00CF2B43" w:rsidRPr="00CF2B43" w:rsidTr="00DB434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 xml:space="preserve">  7.  Transpozícia/implementácia práva EÚ </w:t>
            </w: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Nie. Materiál sa netýka transpozície práva EÚ.</w:t>
            </w:r>
          </w:p>
        </w:tc>
      </w:tr>
      <w:tr w:rsidR="00CF2B43" w:rsidRPr="00CF2B43" w:rsidTr="00DB434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lastRenderedPageBreak/>
              <w:t>  8.  Preskúmanie účelnosti**</w:t>
            </w: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Nie.</w:t>
            </w:r>
          </w:p>
        </w:tc>
      </w:tr>
    </w:tbl>
    <w:p w:rsidR="00CF2B43" w:rsidRPr="00CF2B43" w:rsidRDefault="00CF2B43" w:rsidP="00CF2B43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CF2B43" w:rsidRPr="00CF2B43" w:rsidRDefault="00CF2B43" w:rsidP="00CF2B4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F2B4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vyplniť iba v prípade, ak materiál nie je zahrnutý do Plánu práce vlády Slovenskej republiky alebo Plánu        legislatívnych úloh vlády Slovenskej republiky. </w:t>
      </w:r>
    </w:p>
    <w:p w:rsidR="00CF2B43" w:rsidRPr="00CF2B43" w:rsidRDefault="00CF2B43" w:rsidP="00CF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F2B43">
        <w:rPr>
          <w:rFonts w:ascii="Times New Roman" w:eastAsia="Times New Roman" w:hAnsi="Times New Roman" w:cs="Times New Roman"/>
          <w:sz w:val="20"/>
          <w:szCs w:val="20"/>
          <w:lang w:eastAsia="sk-SK"/>
        </w:rPr>
        <w:t>** nepovinné</w:t>
      </w:r>
    </w:p>
    <w:p w:rsidR="00CF2B43" w:rsidRPr="00CF2B43" w:rsidRDefault="00CF2B43" w:rsidP="00CF2B43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5074" w:type="pct"/>
        <w:jc w:val="center"/>
        <w:tblInd w:w="-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1817"/>
        <w:gridCol w:w="1817"/>
        <w:gridCol w:w="1821"/>
      </w:tblGrid>
      <w:tr w:rsidR="00CF2B43" w:rsidRPr="00CF2B43" w:rsidTr="00DB434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9.   Vplyvy navrhovaného materiálu</w:t>
            </w:r>
          </w:p>
        </w:tc>
      </w:tr>
      <w:tr w:rsidR="00CF2B43" w:rsidRPr="00CF2B43" w:rsidTr="00DB434B">
        <w:trPr>
          <w:trHeight w:val="270"/>
          <w:jc w:val="center"/>
        </w:trPr>
        <w:tc>
          <w:tcPr>
            <w:tcW w:w="20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rozpočet verejnej správy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z toho rozpočtovo zabezpečené vplyvy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Pozitívne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Negatívne</w:t>
            </w:r>
          </w:p>
        </w:tc>
      </w:tr>
      <w:tr w:rsidR="00CF2B43" w:rsidRPr="00CF2B43" w:rsidTr="00DB434B">
        <w:trPr>
          <w:trHeight w:val="270"/>
          <w:jc w:val="center"/>
        </w:trPr>
        <w:tc>
          <w:tcPr>
            <w:tcW w:w="20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Áno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Nie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Čiastočne</w:t>
            </w:r>
          </w:p>
        </w:tc>
      </w:tr>
      <w:tr w:rsidR="00CF2B43" w:rsidRPr="00CF2B43" w:rsidTr="00DB434B">
        <w:trPr>
          <w:trHeight w:val="270"/>
          <w:jc w:val="center"/>
        </w:trPr>
        <w:tc>
          <w:tcPr>
            <w:tcW w:w="20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podnikateľské prostredie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z toho vplyvy na MSP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   Žiadne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CF2B43" w:rsidRPr="00CF2B43" w:rsidTr="00DB434B">
        <w:trPr>
          <w:trHeight w:val="270"/>
          <w:jc w:val="center"/>
        </w:trPr>
        <w:tc>
          <w:tcPr>
            <w:tcW w:w="20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CF2B43" w:rsidRPr="00CF2B43" w:rsidTr="00DB434B">
        <w:trPr>
          <w:trHeight w:val="270"/>
          <w:jc w:val="center"/>
        </w:trPr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Sociálne vplyvy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CF2B43" w:rsidRPr="00CF2B43" w:rsidTr="00DB434B">
        <w:trPr>
          <w:trHeight w:val="270"/>
          <w:jc w:val="center"/>
        </w:trPr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životné prostredie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CF2B43" w:rsidRPr="00CF2B43" w:rsidTr="00DB434B">
        <w:trPr>
          <w:trHeight w:val="270"/>
          <w:jc w:val="center"/>
        </w:trPr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informatizáciu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CF2B43" w:rsidRPr="00CF2B43" w:rsidTr="00DB434B">
        <w:trPr>
          <w:trHeight w:val="675"/>
          <w:jc w:val="center"/>
        </w:trPr>
        <w:tc>
          <w:tcPr>
            <w:tcW w:w="20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služby pre občana z toho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vplyvy služieb verejnej správy na občana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vplyvy na procesy služieb vo verejnej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správe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CF2B43" w:rsidRPr="00CF2B43" w:rsidTr="00DB434B">
        <w:trPr>
          <w:trHeight w:val="150"/>
          <w:jc w:val="center"/>
        </w:trPr>
        <w:tc>
          <w:tcPr>
            <w:tcW w:w="20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CF2B43" w:rsidRPr="00CF2B43" w:rsidTr="00DB434B">
        <w:trPr>
          <w:trHeight w:val="270"/>
          <w:jc w:val="center"/>
        </w:trPr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</w:t>
            </w:r>
            <w:r w:rsidRPr="00CF2B43">
              <w:rPr>
                <w:rFonts w:ascii="Times" w:eastAsia="Times New Roman" w:hAnsi="Times" w:cs="Times"/>
                <w:b/>
                <w:sz w:val="20"/>
                <w:szCs w:val="20"/>
                <w:lang w:eastAsia="sk-SK"/>
              </w:rPr>
              <w:t>Vplyvy na manželstvo, rodičovstvo a rodinu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F2B43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CF2B4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</w:tbl>
    <w:p w:rsidR="00CF2B43" w:rsidRPr="00CF2B43" w:rsidRDefault="00CF2B43" w:rsidP="00CF2B43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5075" w:type="pct"/>
        <w:jc w:val="center"/>
        <w:tblInd w:w="-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4"/>
      </w:tblGrid>
      <w:tr w:rsidR="00CF2B43" w:rsidRPr="00CF2B43" w:rsidTr="00DB434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10.  Poznámky</w:t>
            </w: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2B43">
              <w:rPr>
                <w:rFonts w:ascii="Times New Roman" w:eastAsia="Calibri" w:hAnsi="Times New Roman" w:cs="Times New Roman"/>
              </w:rPr>
              <w:t xml:space="preserve">V opatreniach na zlepšenie podnikateľského prostredia III. bod 35. Zníženie záťaže v banskej činnosti je v </w:t>
            </w: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popise vybraných vplyvov identifikovaný pozitívny vplyvy návrhu zákona na podnikateľské prostredie.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sk-SK"/>
              </w:rPr>
              <w:t xml:space="preserve"> </w:t>
            </w:r>
          </w:p>
          <w:p w:rsidR="00CF2B43" w:rsidRPr="00CF2B43" w:rsidRDefault="00CF2B43" w:rsidP="00CF2B43">
            <w:pPr>
              <w:keepNext/>
              <w:keepLines/>
              <w:widowControl w:val="0"/>
              <w:spacing w:after="0" w:line="240" w:lineRule="auto"/>
              <w:ind w:right="60"/>
              <w:jc w:val="both"/>
              <w:outlineLvl w:val="1"/>
              <w:rPr>
                <w:rFonts w:ascii="Times New Roman" w:eastAsia="Calibri" w:hAnsi="Times New Roman" w:cs="Calibri"/>
                <w:bCs/>
                <w:lang w:eastAsia="sk-SK"/>
              </w:rPr>
            </w:pPr>
            <w:r w:rsidRPr="00CF2B43">
              <w:rPr>
                <w:rFonts w:ascii="Times New Roman" w:eastAsia="Times New Roman" w:hAnsi="Times New Roman" w:cs="Calibri"/>
                <w:bCs/>
                <w:lang w:eastAsia="sk-SK"/>
              </w:rPr>
              <w:t>K bodu 1:</w:t>
            </w:r>
            <w:r w:rsidRPr="00CF2B43">
              <w:rPr>
                <w:rFonts w:ascii="Times New Roman" w:eastAsia="Times New Roman" w:hAnsi="Times New Roman" w:cs="Calibri"/>
                <w:b/>
                <w:bCs/>
                <w:lang w:eastAsia="sk-SK"/>
              </w:rPr>
              <w:t xml:space="preserve"> </w:t>
            </w:r>
            <w:r w:rsidRPr="00CF2B43">
              <w:rPr>
                <w:rFonts w:ascii="Times New Roman" w:eastAsia="Times New Roman" w:hAnsi="Times New Roman" w:cs="Calibri"/>
                <w:bCs/>
                <w:lang w:eastAsia="sk-SK"/>
              </w:rPr>
              <w:t xml:space="preserve">Navrhovanou úpravou sa </w:t>
            </w:r>
            <w:r w:rsidRPr="00CF2B43">
              <w:rPr>
                <w:rFonts w:ascii="Times New Roman" w:eastAsia="Calibri" w:hAnsi="Times New Roman" w:cs="Calibri"/>
                <w:bCs/>
                <w:lang w:eastAsia="sk-SK"/>
              </w:rPr>
              <w:t>odbúrajú prekážky v podnikaní pre fyzické osoby - zamestnancov.</w:t>
            </w:r>
          </w:p>
          <w:p w:rsidR="00CF2B43" w:rsidRPr="00CF2B43" w:rsidRDefault="00CF2B43" w:rsidP="00CF2B43">
            <w:pPr>
              <w:keepNext/>
              <w:keepLines/>
              <w:widowControl w:val="0"/>
              <w:spacing w:after="0" w:line="240" w:lineRule="auto"/>
              <w:ind w:right="60"/>
              <w:jc w:val="both"/>
              <w:outlineLvl w:val="1"/>
              <w:rPr>
                <w:rFonts w:ascii="Times New Roman" w:eastAsia="Times New Roman" w:hAnsi="Times New Roman" w:cs="Calibri"/>
                <w:b/>
                <w:bCs/>
                <w:color w:val="FF0000"/>
                <w:highlight w:val="yellow"/>
                <w:lang w:eastAsia="sk-SK"/>
              </w:rPr>
            </w:pP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</w:rPr>
              <w:t>K bodu 2:</w:t>
            </w:r>
            <w:r w:rsidRPr="00CF2B4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F2B43">
              <w:rPr>
                <w:rFonts w:ascii="Times New Roman" w:eastAsia="Calibri" w:hAnsi="Times New Roman" w:cs="Times New Roman"/>
              </w:rPr>
              <w:t>Odstránením povinnosti obvodných banských úradov zrušiť banské oprávnenie subjektu a zakázať mu obdobnú činnosť na ďalšie tri roky v prípade, ak subjekt nevykonáva činnosť tri roky od vydania banského oprávnenia sa odstráni prekážka a podnikateľ môže vykonávať  banskú činnosť a činnosť vykonávanú banským spôsobom plynule bez nutnosti podať opätovne žiadosť o</w:t>
            </w:r>
            <w:r w:rsidRPr="00CF2B43">
              <w:rPr>
                <w:rFonts w:ascii="Times New Roman" w:eastAsia="Times New Roman" w:hAnsi="Times New Roman" w:cs="Times New Roman"/>
              </w:rPr>
              <w:t xml:space="preserve"> zápis do banského registra, teda nemusí uhradiť správny poplatok vo výške 66 eur </w:t>
            </w: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čim dôjde k úspore finančných prostriedkov u podnikateľa vo výške 66 eur za rok.</w:t>
            </w:r>
          </w:p>
          <w:p w:rsidR="00CF2B43" w:rsidRPr="00CF2B43" w:rsidRDefault="00CF2B43" w:rsidP="00CF2B4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  <w:p w:rsidR="00CF2B43" w:rsidRPr="00CF2B43" w:rsidRDefault="00CF2B43" w:rsidP="00CF2B4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CF2B43">
              <w:rPr>
                <w:rFonts w:ascii="Times New Roman" w:eastAsia="Calibri" w:hAnsi="Times New Roman" w:cs="Times New Roman"/>
                <w:bCs/>
              </w:rPr>
              <w:t xml:space="preserve">   </w:t>
            </w:r>
          </w:p>
        </w:tc>
      </w:tr>
      <w:tr w:rsidR="00CF2B43" w:rsidRPr="00CF2B43" w:rsidTr="00DB434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11.  Kontakt na spracovateľa</w:t>
            </w:r>
          </w:p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E27EFD" w:rsidP="00CF2B43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CF2B43" w:rsidRPr="00CF2B43">
                <w:rPr>
                  <w:rFonts w:ascii="Times New Roman" w:eastAsia="SimSun" w:hAnsi="Times New Roman" w:cs="Times New Roman"/>
                  <w:i/>
                  <w:color w:val="0000FF"/>
                  <w:sz w:val="20"/>
                  <w:szCs w:val="20"/>
                  <w:u w:val="single"/>
                  <w:lang w:eastAsia="sk-SK"/>
                </w:rPr>
                <w:t>dusan.zubor@mhsr.sk</w:t>
              </w:r>
            </w:hyperlink>
          </w:p>
          <w:p w:rsidR="00CF2B43" w:rsidRPr="00CF2B43" w:rsidRDefault="00E27EFD" w:rsidP="00CF2B43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hyperlink r:id="rId7" w:history="1">
              <w:r w:rsidR="00CF2B43" w:rsidRPr="00CF2B43">
                <w:rPr>
                  <w:rFonts w:ascii="Times New Roman" w:eastAsia="Calibri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lukas.mato@mhsr.sk</w:t>
              </w:r>
            </w:hyperlink>
          </w:p>
        </w:tc>
      </w:tr>
      <w:tr w:rsidR="00CF2B43" w:rsidRPr="00CF2B43" w:rsidTr="00DB434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12.  Zdroje</w:t>
            </w:r>
          </w:p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</w:p>
        </w:tc>
      </w:tr>
      <w:tr w:rsidR="00CF2B43" w:rsidRPr="00CF2B43" w:rsidTr="00DB434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Informácie k novela zákona boli získané od organizácii SMZ a.s. Jelšava, SLOVMAG a.s. Lubeník, Carmeuse Slovakia s.r.o. Slavec, MATRIX s.r.o. </w:t>
            </w:r>
            <w:proofErr w:type="spellStart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Sp</w:t>
            </w:r>
            <w:proofErr w:type="spellEnd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. N. Ves, ALAS Slovakia s.r.o. Bratislava, CLL Lietavská Lúčka, CHR s.r.o. Rohožník, </w:t>
            </w:r>
            <w:proofErr w:type="spellStart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Dolvap</w:t>
            </w:r>
            <w:proofErr w:type="spellEnd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  s.r.o. Stráňavy, Eurovia s.r.o. Košice, VSK Mineral s.r.o. Košice.</w:t>
            </w:r>
          </w:p>
          <w:p w:rsidR="00CF2B43" w:rsidRPr="00CF2B43" w:rsidRDefault="00CF2B43" w:rsidP="00CF2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CF2B43" w:rsidRPr="00CF2B43" w:rsidTr="00DB434B">
        <w:trPr>
          <w:trHeight w:val="48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F2B43" w:rsidRPr="00CF2B43" w:rsidRDefault="00CF2B43" w:rsidP="00CF2B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lang w:eastAsia="sk-SK"/>
              </w:rPr>
            </w:pPr>
            <w:r w:rsidRPr="00CF2B43">
              <w:rPr>
                <w:rFonts w:ascii="Times" w:eastAsia="Times New Roman" w:hAnsi="Times" w:cs="Times"/>
                <w:b/>
                <w:bCs/>
                <w:lang w:eastAsia="sk-SK"/>
              </w:rPr>
              <w:t>  13.  Stanovisko Komisie pre posudzovanie vybraných vplyvov z PPK</w:t>
            </w:r>
          </w:p>
        </w:tc>
      </w:tr>
      <w:tr w:rsidR="00CF2B43" w:rsidRPr="00CF2B43" w:rsidTr="00DB434B">
        <w:trPr>
          <w:trHeight w:val="5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B43" w:rsidRPr="00CF2B43" w:rsidRDefault="00CF2B43" w:rsidP="00CF2B43">
            <w:pPr>
              <w:keepNext/>
              <w:suppressAutoHyphens/>
              <w:autoSpaceDN w:val="0"/>
              <w:spacing w:before="240" w:after="60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CF2B43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lastRenderedPageBreak/>
              <w:t>stanovisko komisie</w:t>
            </w:r>
            <w:r w:rsidRPr="00CF2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2B4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(predbežné pripomienkové konanie)</w:t>
            </w:r>
          </w:p>
          <w:p w:rsidR="00CF2B43" w:rsidRPr="00CF2B43" w:rsidRDefault="00CF2B43" w:rsidP="00CF2B43">
            <w:pPr>
              <w:suppressAutoHyphens/>
              <w:autoSpaceDN w:val="0"/>
              <w:ind w:right="-2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k návrhu</w:t>
            </w:r>
          </w:p>
          <w:p w:rsidR="00CF2B43" w:rsidRPr="00CF2B43" w:rsidRDefault="00CF2B43" w:rsidP="00CF2B43">
            <w:pPr>
              <w:pBdr>
                <w:bottom w:val="single" w:sz="4" w:space="1" w:color="000000"/>
              </w:pBdr>
              <w:suppressAutoHyphens/>
              <w:autoSpaceDN w:val="0"/>
              <w:ind w:right="-2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zákona, ktorým sa mení a dopĺňa zákon SNR č. 51/1988 Zb. o banskej činnosti, výbušninách a o štátnej banskej správe v znení neskorších predpisov</w:t>
            </w:r>
          </w:p>
          <w:p w:rsidR="00CF2B43" w:rsidRPr="00CF2B43" w:rsidRDefault="00CF2B43" w:rsidP="00CF2B4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I. Úvod: </w:t>
            </w:r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Ministerstvo hospodárstva Slovenskej republiky dňa 11. apríla 2019 predložilo Stálej pracovnej komisii na posudzovanie vybr</w:t>
            </w:r>
            <w:r w:rsidRPr="00CF2B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aných vplyvov (ďalej len „Komisia“) na predbežné pripomienkové konanie materiál:</w:t>
            </w:r>
            <w:r w:rsidRPr="00CF2B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„Návrh zákona, ktorým sa mení a dopĺňa zákon SNR č. 51/1988 Zb. o banskej činnosti, výbušninách a o štátnej banskej správe v znení neskorších predpisov“</w:t>
            </w:r>
            <w:r w:rsidRPr="00CF2B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Materiál predpokladá pozitívne vplyvy na podnikateľské prostredie.</w:t>
            </w:r>
          </w:p>
          <w:p w:rsidR="00CF2B43" w:rsidRPr="00CF2B43" w:rsidRDefault="00CF2B43" w:rsidP="00CF2B43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II. P</w:t>
            </w:r>
            <w:r w:rsidRPr="00CF2B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  <w:r w:rsidRPr="00CF2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ipomienky a návrhy zm</w:t>
            </w:r>
            <w:r w:rsidRPr="00CF2B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ie</w:t>
            </w:r>
            <w:r w:rsidRPr="00CF2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n: </w:t>
            </w:r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Komisia uplatňuje k materiálu nasledovné pripomienky a odporúčania: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 vplyvom na podnikateľské prostredie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 Doložke vybraných vplyvov v bode 9 „Vplyvy navrhovaného materiálu, v riadku „Vplyvy na podnikateľské prostredie“ Komisia odporúča vyplniť aj </w:t>
            </w:r>
            <w:proofErr w:type="spellStart"/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podriadok</w:t>
            </w:r>
            <w:proofErr w:type="spellEnd"/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„z toho vplyvy na MSP“, keďže materiál bude mať vplyv na všetky kategórie podnikov. 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 Analýze vplyvov na podnikateľské prostredie Komisia odporúča odstrániť v bode 3.2 dĺžku trvania konzultácie 30 rokov, keďže konzultáciou sa myslí zverejnenie danej legislatívnej úpravy a diskutovanie/pripomienkovanie konkrétnej novely zákona s prostredím.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 Analýze vplyvov na podnikateľské prostredie Komisia odporúča odstrániť vyčíslenie 66 eur/rok v bode 3.3.4 Súhrnnej tabuľky nákladov regulácie v stĺpci Náklady na celé podnikateľské prostredie a ponechať vyčíslenie len ako Náklady na 1 podnikateľa. Napriek tomu, že úprava bodu 2 sa podľa skúseností dotýka cca 1 organizácie za rok nereprezentuje tento výpočet na celé podnikateľské prostredie. Tento predpoklad možno ponechať ako informáciu, ale v tabuľke Náklady na celé podnikateľské prostredie uviesť N – a nevyčíslovať.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Komisia žiada predkladateľa o vyznačenie pozitívneho vplyvu na malé a stredné podniky v časti 9. Vplyvy navrhovaného materiálu Doložky vybraných vplyvov, čím uvedie do súladu Doložku s Analýzou vplyvov na podnikateľské prostredie.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 časti 3.3.4. Analýzy vplyvov na podnikateľské prostredie Komisia odporúča predkladateľovi uviesť pod tabuľkou vysvetlenie, prečo sú úspory na 1 podnikateľa a úspory na celé podnikateľské prostredie totožné. Rovnako Komisia odporúča uviesť pred výsledné číslo v tabuľke znamienko „+“ ako symbol úspor.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III. Záver: </w:t>
            </w:r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súhlasné stanovisko s návrhom na dopracovanie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 materiálom predloženým na predbežné pripomienkové konanie s odporúčaním na jeho dopracovanie podľa pripomienok v bode II.</w:t>
            </w:r>
          </w:p>
          <w:p w:rsidR="00CF2B43" w:rsidRPr="00CF2B43" w:rsidRDefault="00CF2B43" w:rsidP="00CF2B43">
            <w:pPr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IV. Poznámka:</w:t>
            </w:r>
            <w:r w:rsidRPr="00CF2B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ind w:left="4536" w:right="-2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Ing. Rastislav Chovanec, PhD.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autoSpaceDN w:val="0"/>
              <w:ind w:left="4536" w:right="-2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predseda Komisie</w:t>
            </w:r>
          </w:p>
          <w:p w:rsidR="00CF2B43" w:rsidRPr="00CF2B43" w:rsidRDefault="00CF2B43" w:rsidP="00CF2B43">
            <w:pPr>
              <w:tabs>
                <w:tab w:val="center" w:pos="637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2B43">
              <w:rPr>
                <w:rFonts w:ascii="Times New Roman" w:eastAsia="Times New Roman" w:hAnsi="Times New Roman" w:cs="Times New Roman"/>
                <w:bCs/>
              </w:rPr>
              <w:t xml:space="preserve">Všetky pripomienky komisie boli akceptované </w:t>
            </w:r>
            <w:r w:rsidRPr="00CF2B4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 zapracované do materiálu.</w:t>
            </w:r>
          </w:p>
          <w:p w:rsidR="00CF2B43" w:rsidRPr="00CF2B43" w:rsidRDefault="00CF2B43" w:rsidP="00CF2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CF2B43" w:rsidRPr="00CF2B43" w:rsidRDefault="00CF2B43" w:rsidP="00CF2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CF2B43" w:rsidRPr="00CF2B43" w:rsidRDefault="00CF2B43" w:rsidP="00CF2B4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F2B43" w:rsidRPr="00CF2B43" w:rsidRDefault="00CF2B43" w:rsidP="00CF2B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2B43" w:rsidRPr="00CF2B43" w:rsidTr="00DB434B">
        <w:trPr>
          <w:trHeight w:val="567"/>
        </w:trPr>
        <w:tc>
          <w:tcPr>
            <w:tcW w:w="0" w:type="auto"/>
            <w:shd w:val="clear" w:color="auto" w:fill="D9D9D9"/>
          </w:tcPr>
          <w:p w:rsidR="00CF2B43" w:rsidRPr="00CF2B43" w:rsidRDefault="00CF2B43" w:rsidP="00CF2B4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B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Analýza vplyvov na podnikateľské prostredie </w:t>
            </w:r>
          </w:p>
          <w:p w:rsidR="00CF2B43" w:rsidRPr="00CF2B43" w:rsidRDefault="00CF2B43" w:rsidP="00CF2B4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F2B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(vrátane testu MSP)</w:t>
            </w:r>
          </w:p>
        </w:tc>
      </w:tr>
      <w:tr w:rsidR="00CF2B43" w:rsidRPr="00CF2B43" w:rsidTr="00DB434B">
        <w:trPr>
          <w:trHeight w:val="567"/>
        </w:trPr>
        <w:tc>
          <w:tcPr>
            <w:tcW w:w="0" w:type="auto"/>
            <w:shd w:val="clear" w:color="auto" w:fill="D9D9D9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>Materiál bude mať vplyv s ohľadom na veľkostnú kategóriu podnikov:</w:t>
            </w:r>
          </w:p>
        </w:tc>
      </w:tr>
      <w:tr w:rsidR="00CF2B43" w:rsidRPr="00CF2B43" w:rsidTr="00DB434B">
        <w:trPr>
          <w:trHeight w:val="567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F2B43" w:rsidRPr="00CF2B43" w:rsidTr="00DB434B">
              <w:tc>
                <w:tcPr>
                  <w:tcW w:w="436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 xml:space="preserve">iba na MSP (0 - 249 zamestnancov) </w:t>
                  </w:r>
                </w:p>
              </w:tc>
            </w:tr>
            <w:tr w:rsidR="00CF2B43" w:rsidRPr="00CF2B43" w:rsidTr="00DB434B">
              <w:tc>
                <w:tcPr>
                  <w:tcW w:w="436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>iba na veľké podniky (250 a viac zamestnancov)</w:t>
                  </w:r>
                </w:p>
              </w:tc>
            </w:tr>
            <w:tr w:rsidR="00CF2B43" w:rsidRPr="00CF2B43" w:rsidTr="00DB434B">
              <w:tc>
                <w:tcPr>
                  <w:tcW w:w="436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MS Mincho" w:eastAsia="MS Mincho" w:hAnsi="MS Mincho" w:cs="MS Mincho" w:hint="eastAsia"/>
                    </w:rPr>
                    <w:t>☒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>na všetky kategórie podnikov</w:t>
                  </w:r>
                </w:p>
              </w:tc>
            </w:tr>
          </w:tbl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F2B43" w:rsidRPr="00CF2B43" w:rsidTr="00DB434B">
        <w:tc>
          <w:tcPr>
            <w:tcW w:w="0" w:type="auto"/>
            <w:shd w:val="clear" w:color="auto" w:fill="D9D9D9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>3.1 Dotknuté podnikateľské subjekty</w:t>
            </w:r>
          </w:p>
          <w:p w:rsidR="00CF2B43" w:rsidRPr="00CF2B43" w:rsidRDefault="00CF2B43" w:rsidP="00CF2B43">
            <w:pPr>
              <w:suppressAutoHyphens/>
              <w:autoSpaceDN w:val="0"/>
              <w:ind w:left="284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F2B43">
              <w:rPr>
                <w:rFonts w:ascii="Times New Roman" w:eastAsia="Calibri" w:hAnsi="Times New Roman" w:cs="Times New Roman"/>
                <w:sz w:val="24"/>
              </w:rPr>
              <w:t xml:space="preserve"> - </w:t>
            </w: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>z toho MSP</w:t>
            </w:r>
          </w:p>
        </w:tc>
      </w:tr>
      <w:tr w:rsidR="00CF2B43" w:rsidRPr="00CF2B43" w:rsidTr="00DB434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 xml:space="preserve">Uveďte, aké podnikateľské subjekty budú predkladaným návrhom ovplyvnené. 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SMZ a.s. Jelšava, SLOVMAG a.s. Lubeník, Carmeuse Slovakia s.r.o. Slavec, MATRIX s.r.o. </w:t>
            </w:r>
            <w:proofErr w:type="spellStart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Sp</w:t>
            </w:r>
            <w:proofErr w:type="spellEnd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. N. Ves, ALAS Slovakia s.r.o. Bratislava, CLL Lietavská Lúčka, CHR s.r.o. Rohožník, </w:t>
            </w:r>
            <w:proofErr w:type="spellStart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Dolvap</w:t>
            </w:r>
            <w:proofErr w:type="spellEnd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  s.r.o. Stráňavy, Eurovia s.r.o. Košice, VSK Mineral s.r.o. Košice,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 xml:space="preserve">Aký je ich počet? 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K bodu 1: 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a) 1008  - podnikatelia s predmetom činnosti, vykonávajúcich banskú  činnosť a činnosť vykonávajúcu banským spôsobom sa vzťahuje na organizácií (§3a -právnické a fyzické osoby, ktoré v rámci podnikateľskej činnosti</w:t>
            </w:r>
            <w:hyperlink r:id="rId8" w:anchor="poznamky.poznamka-3a" w:tooltip="Odkaz na predpis alebo ustanovenie" w:history="1">
              <w:r w:rsidRPr="00CF2B43">
                <w:rPr>
                  <w:rFonts w:ascii="Times New Roman" w:eastAsia="Times New Roman" w:hAnsi="Times New Roman" w:cs="Times New Roman"/>
                  <w:b/>
                  <w:bCs/>
                  <w:u w:val="single"/>
                  <w:vertAlign w:val="superscript"/>
                  <w:lang w:eastAsia="sk-SK"/>
                </w:rPr>
                <w:t>3a</w:t>
              </w:r>
              <w:r w:rsidRPr="00CF2B43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sk-SK"/>
                </w:rPr>
                <w:t>)</w:t>
              </w:r>
            </w:hyperlink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 vykonávajú banskú činnosť alebo činnosť vykonávanú banským spôsobom) 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b) cca </w:t>
            </w:r>
            <w:r w:rsidRPr="00CF2B43">
              <w:rPr>
                <w:rFonts w:ascii="Times New Roman" w:eastAsia="Calibri" w:hAnsi="Times New Roman" w:cs="Times New Roman"/>
              </w:rPr>
              <w:t xml:space="preserve">1000 - </w:t>
            </w: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uchádzači (zamestnanci) o skúšku </w:t>
            </w:r>
            <w:r w:rsidRPr="00CF2B43">
              <w:rPr>
                <w:rFonts w:ascii="Times New Roman" w:eastAsia="Calibri" w:hAnsi="Times New Roman" w:cs="Times New Roman"/>
              </w:rPr>
              <w:t>z celového počtu zamestnancov 5383 (pri dobývaní) a 200 (pri razení tunelov).</w:t>
            </w:r>
          </w:p>
        </w:tc>
      </w:tr>
      <w:tr w:rsidR="00CF2B43" w:rsidRPr="00CF2B43" w:rsidTr="00DB434B">
        <w:trPr>
          <w:trHeight w:val="114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:rsidR="00CF2B43" w:rsidRPr="00CF2B43" w:rsidRDefault="00CF2B43" w:rsidP="00CF2B43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K bodu 2: cca 1 organizácia za rok</w:t>
            </w:r>
          </w:p>
        </w:tc>
      </w:tr>
      <w:tr w:rsidR="00CF2B43" w:rsidRPr="00CF2B43" w:rsidTr="00DB434B">
        <w:trPr>
          <w:trHeight w:val="33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>3.2 Vyhodnotenie konzultácií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F2B43">
              <w:rPr>
                <w:rFonts w:ascii="Times New Roman" w:eastAsia="Calibri" w:hAnsi="Times New Roman" w:cs="Times New Roman"/>
                <w:sz w:val="24"/>
              </w:rPr>
              <w:t xml:space="preserve">       - </w:t>
            </w: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>z toho MSP</w:t>
            </w:r>
          </w:p>
        </w:tc>
      </w:tr>
      <w:tr w:rsidR="00CF2B43" w:rsidRPr="00CF2B43" w:rsidTr="00DB434B">
        <w:trPr>
          <w:trHeight w:val="5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Uveďte, akou formou (verejné alebo cielené konzultácie a prečo) a s kým bol návrh konzultovaný.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CF2B43">
              <w:rPr>
                <w:rFonts w:ascii="Times New Roman" w:eastAsia="Calibri" w:hAnsi="Times New Roman" w:cs="Times New Roman"/>
              </w:rPr>
              <w:t xml:space="preserve">Cielené konzultácie boli vykonávané v organizáciách, ktoré </w:t>
            </w: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vykonávajú banskú  činnosť a činnosť vykonávanú banským spôsobom: SMZ a.s. Jelšava, SLOVMAG a.s. Lubeník, Carmeuse Slovakia s.r.o. Slavec, MATRIX s.r.o. </w:t>
            </w:r>
            <w:proofErr w:type="spellStart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Sp</w:t>
            </w:r>
            <w:proofErr w:type="spellEnd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. N. Ves, ALAS Slovakia s.r.o. Bratislava, CLL Lietavská Lúčka, CHR s.r.o. Rohožník, </w:t>
            </w:r>
            <w:proofErr w:type="spellStart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Dolvap</w:t>
            </w:r>
            <w:proofErr w:type="spellEnd"/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  s.r.o. Stráňavy, Eurovia s.r.o. Košice, VSK Mineral s.r.o. Košice.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</w:rPr>
            </w:pP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 xml:space="preserve">Ako dlho trvali konzultácie? 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trike/>
              </w:rPr>
            </w:pPr>
            <w:r w:rsidRPr="00CF2B43">
              <w:rPr>
                <w:rFonts w:ascii="Times New Roman" w:eastAsia="Calibri" w:hAnsi="Times New Roman" w:cs="Times New Roman"/>
              </w:rPr>
              <w:t>60 dní v rámci hlavného dozoru  v organizáciách</w:t>
            </w: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, ktoré vykonávajú banskú  činnosť a činnosť vykonávanú banským spôsobom, ako aj z poznatkov aplikačnej praxe </w:t>
            </w:r>
            <w:r w:rsidRPr="00CF2B43">
              <w:rPr>
                <w:rFonts w:ascii="Times New Roman" w:eastAsia="Calibri" w:hAnsi="Times New Roman" w:cs="Times New Roman"/>
              </w:rPr>
              <w:t xml:space="preserve">od účinnosti zákona 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lastRenderedPageBreak/>
              <w:t xml:space="preserve">Uveďte hlavné body konzultácií a výsledky konzultácií.  </w:t>
            </w:r>
          </w:p>
        </w:tc>
      </w:tr>
      <w:tr w:rsidR="00CF2B43" w:rsidRPr="00CF2B43" w:rsidTr="00DB434B">
        <w:trPr>
          <w:trHeight w:val="14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K bodu 1: </w:t>
            </w:r>
            <w:r w:rsidRPr="00CF2B43">
              <w:rPr>
                <w:rFonts w:ascii="Times New Roman" w:eastAsia="Calibri" w:hAnsi="Times New Roman" w:cs="Times New Roman"/>
                <w:bCs/>
              </w:rPr>
              <w:t xml:space="preserve">Podávanie prihlášky na skúšky o odbornej spôsobilosti aj samotným uchádzačom o kvalifikáciu. 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K bodu  2: Zrušenie banského oprávnenia.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CF2B43">
              <w:rPr>
                <w:rFonts w:ascii="Times New Roman" w:eastAsia="Calibri" w:hAnsi="Times New Roman" w:cs="Times New Roman"/>
              </w:rPr>
              <w:t>Výsledok konzultácií: Návrh na vypustenie predmetných ustanovení zo zákona č. 51/1988 Zb.</w:t>
            </w:r>
          </w:p>
        </w:tc>
      </w:tr>
      <w:tr w:rsidR="00CF2B43" w:rsidRPr="00CF2B43" w:rsidTr="00DB434B">
        <w:tc>
          <w:tcPr>
            <w:tcW w:w="0" w:type="auto"/>
            <w:shd w:val="clear" w:color="auto" w:fill="D9D9D9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>3.3 Náklady regulácie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F2B43">
              <w:rPr>
                <w:rFonts w:ascii="Times New Roman" w:eastAsia="Calibri" w:hAnsi="Times New Roman" w:cs="Times New Roman"/>
                <w:sz w:val="24"/>
              </w:rPr>
              <w:t xml:space="preserve">      - </w:t>
            </w: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>z toho MSP</w:t>
            </w:r>
          </w:p>
        </w:tc>
      </w:tr>
      <w:tr w:rsidR="00CF2B43" w:rsidRPr="00CF2B43" w:rsidTr="00DB434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CF2B43">
              <w:rPr>
                <w:rFonts w:ascii="Times New Roman" w:eastAsia="Calibri" w:hAnsi="Times New Roman" w:cs="Times New Roman"/>
                <w:b/>
                <w:i/>
              </w:rPr>
              <w:t>3.3.1 Priame finančné náklady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CF2B43" w:rsidRPr="00CF2B43" w:rsidTr="00DB434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 xml:space="preserve">Organizácia nemusí žiadať o opätovný zápis do banského registra, teda nemusí uhradiť správny poplatok vo výške 66 eur, </w:t>
            </w:r>
            <w:r w:rsidRPr="00CF2B43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výpočet 66 eur x 1 organizácia = 66 eur/rok</w:t>
            </w:r>
            <w:r w:rsidRPr="00CF2B43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CF2B43" w:rsidRPr="00CF2B43" w:rsidRDefault="00CF2B43" w:rsidP="00CF2B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CF2B43" w:rsidRPr="00CF2B43" w:rsidTr="00DB434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CF2B43">
              <w:rPr>
                <w:rFonts w:ascii="Times New Roman" w:eastAsia="Calibri" w:hAnsi="Times New Roman" w:cs="Times New Roman"/>
                <w:b/>
                <w:i/>
              </w:rPr>
              <w:t>3.3.2 Nepriame finančné náklady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CF2B43" w:rsidRPr="00CF2B43" w:rsidTr="00DB434B">
        <w:trPr>
          <w:trHeight w:val="50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Nie</w:t>
            </w:r>
          </w:p>
        </w:tc>
      </w:tr>
      <w:tr w:rsidR="00CF2B43" w:rsidRPr="00CF2B43" w:rsidTr="00DB434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CF2B43">
              <w:rPr>
                <w:rFonts w:ascii="Times New Roman" w:eastAsia="Calibri" w:hAnsi="Times New Roman" w:cs="Times New Roman"/>
                <w:b/>
                <w:i/>
              </w:rPr>
              <w:t>3.3.3 Administratívne náklady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CF2B43" w:rsidRPr="00CF2B43" w:rsidTr="00DB434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Nie</w:t>
            </w:r>
          </w:p>
        </w:tc>
      </w:tr>
      <w:tr w:rsidR="00CF2B43" w:rsidRPr="00CF2B43" w:rsidTr="00DB434B">
        <w:trPr>
          <w:trHeight w:val="231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b/>
                <w:i/>
              </w:rPr>
              <w:t>3.3.4 Súhrnná tabuľka nákladov regulácie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CF2B43" w:rsidRPr="00CF2B43" w:rsidTr="00DB434B">
              <w:tc>
                <w:tcPr>
                  <w:tcW w:w="2993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textAlignment w:val="baseline"/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  <w:i/>
                    </w:rPr>
                    <w:t>Náklady na celé podnikateľské prostredie</w:t>
                  </w:r>
                </w:p>
              </w:tc>
            </w:tr>
            <w:tr w:rsidR="00CF2B43" w:rsidRPr="00CF2B43" w:rsidTr="00DB434B">
              <w:tc>
                <w:tcPr>
                  <w:tcW w:w="2993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textAlignment w:val="baseline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>+ 66 eur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>N</w:t>
                  </w:r>
                </w:p>
              </w:tc>
            </w:tr>
            <w:tr w:rsidR="00CF2B43" w:rsidRPr="00CF2B43" w:rsidTr="00DB434B">
              <w:tc>
                <w:tcPr>
                  <w:tcW w:w="2993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textAlignment w:val="baseline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F2B43" w:rsidRPr="00CF2B43" w:rsidTr="00DB434B">
              <w:tc>
                <w:tcPr>
                  <w:tcW w:w="2993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textAlignment w:val="baseline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F2B43" w:rsidRPr="00CF2B43" w:rsidTr="00DB434B">
              <w:tc>
                <w:tcPr>
                  <w:tcW w:w="2993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textAlignment w:val="baseline"/>
                    <w:rPr>
                      <w:rFonts w:ascii="Times New Roman" w:eastAsia="Calibri" w:hAnsi="Times New Roman" w:cs="Times New Roman"/>
                      <w:b/>
                      <w:i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>+ 66 eur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CF2B43" w:rsidRPr="00CF2B43" w:rsidRDefault="00CF2B43" w:rsidP="00CF2B43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CF2B43">
                    <w:rPr>
                      <w:rFonts w:ascii="Times New Roman" w:eastAsia="Calibri" w:hAnsi="Times New Roman" w:cs="Times New Roman"/>
                    </w:rPr>
                    <w:t>N*</w:t>
                  </w:r>
                </w:p>
              </w:tc>
            </w:tr>
          </w:tbl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CF2B43">
              <w:rPr>
                <w:rFonts w:ascii="Times New Roman" w:eastAsia="Calibri" w:hAnsi="Times New Roman" w:cs="Times New Roman"/>
              </w:rPr>
              <w:t>* Počet podnikateľov sa nedá odhadnúť, záleží od kvality podnikateľského prostredia, na ktorý má vplyv hospodárska politika štátu.</w:t>
            </w:r>
          </w:p>
        </w:tc>
      </w:tr>
      <w:tr w:rsidR="00CF2B43" w:rsidRPr="00CF2B43" w:rsidTr="00DB434B">
        <w:tc>
          <w:tcPr>
            <w:tcW w:w="0" w:type="auto"/>
            <w:shd w:val="clear" w:color="auto" w:fill="D9D9D9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3.4 Konkurencieschopnosť a správanie sa podnikov na trhu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 xml:space="preserve">       </w:t>
            </w:r>
            <w:r w:rsidRPr="00CF2B43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>z toho MSP</w:t>
            </w:r>
          </w:p>
        </w:tc>
      </w:tr>
      <w:tr w:rsidR="00CF2B43" w:rsidRPr="00CF2B43" w:rsidTr="00DB434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CF2B43">
              <w:rPr>
                <w:rFonts w:ascii="Times New Roman" w:eastAsia="Calibri" w:hAnsi="Times New Roman" w:cs="Times New Roman"/>
                <w:i/>
              </w:rPr>
              <w:t>mikro</w:t>
            </w:r>
            <w:proofErr w:type="spellEnd"/>
            <w:r w:rsidRPr="00CF2B43">
              <w:rPr>
                <w:rFonts w:ascii="Times New Roman" w:eastAsia="Calibri" w:hAnsi="Times New Roman" w:cs="Times New Roman"/>
                <w:i/>
              </w:rPr>
              <w:t>, malé a stredné podniky tzv. MSP)? Ak áno, popíšte.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Ako ovplyvní cenu alebo dostupnosť základných zdrojov (suroviny, mechanizmy, pracovná sila, energie atď.)?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Ovplyvňuje prístup k financiám? Ak áno, ako?</w:t>
            </w:r>
          </w:p>
        </w:tc>
      </w:tr>
      <w:tr w:rsidR="00CF2B43" w:rsidRPr="00CF2B43" w:rsidTr="00DB434B">
        <w:trPr>
          <w:trHeight w:val="6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Nie</w:t>
            </w:r>
          </w:p>
        </w:tc>
      </w:tr>
      <w:tr w:rsidR="00CF2B43" w:rsidRPr="00CF2B43" w:rsidTr="00DB434B">
        <w:tc>
          <w:tcPr>
            <w:tcW w:w="0" w:type="auto"/>
            <w:shd w:val="clear" w:color="auto" w:fill="D9D9D9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 xml:space="preserve">3.5 Inovácie 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CF2B43">
              <w:rPr>
                <w:rFonts w:ascii="Times New Roman" w:eastAsia="Calibri" w:hAnsi="Times New Roman" w:cs="Times New Roman"/>
                <w:sz w:val="24"/>
              </w:rPr>
              <w:t xml:space="preserve">       - </w:t>
            </w:r>
            <w:r w:rsidRPr="00CF2B43">
              <w:rPr>
                <w:rFonts w:ascii="Times New Roman" w:eastAsia="Calibri" w:hAnsi="Times New Roman" w:cs="Times New Roman"/>
                <w:b/>
                <w:sz w:val="24"/>
              </w:rPr>
              <w:t>z toho MSP</w:t>
            </w:r>
          </w:p>
        </w:tc>
      </w:tr>
      <w:tr w:rsidR="00CF2B43" w:rsidRPr="00CF2B43" w:rsidTr="00DB434B">
        <w:tc>
          <w:tcPr>
            <w:tcW w:w="0" w:type="auto"/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Uveďte, ako podporuje navrhovaná zmena inovácie.</w:t>
            </w:r>
          </w:p>
          <w:p w:rsidR="00CF2B43" w:rsidRPr="00CF2B43" w:rsidRDefault="00CF2B43" w:rsidP="00CF2B4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Zjednodušuje uvedenie alebo rozšírenie nových výrobných metód, technológií a výrobkov na trh?</w:t>
            </w:r>
          </w:p>
          <w:p w:rsidR="00CF2B43" w:rsidRPr="00CF2B43" w:rsidRDefault="00CF2B43" w:rsidP="00CF2B4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CF2B43" w:rsidRPr="00CF2B43" w:rsidRDefault="00CF2B43" w:rsidP="00CF2B4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Podporuje vyššiu efektivitu výroby/využívania zdrojov? Ak áno, ako?</w:t>
            </w:r>
          </w:p>
          <w:p w:rsidR="00CF2B43" w:rsidRPr="00CF2B43" w:rsidRDefault="00CF2B43" w:rsidP="00CF2B4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Vytvorí zmena nové pracovné miesta pre zamestnancov výskumu a vývoja v SR?</w:t>
            </w:r>
          </w:p>
        </w:tc>
      </w:tr>
      <w:tr w:rsidR="00CF2B43" w:rsidRPr="00CF2B43" w:rsidTr="00DB434B">
        <w:trPr>
          <w:trHeight w:val="992"/>
        </w:trPr>
        <w:tc>
          <w:tcPr>
            <w:tcW w:w="0" w:type="auto"/>
            <w:shd w:val="clear" w:color="auto" w:fill="auto"/>
          </w:tcPr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F2B43">
              <w:rPr>
                <w:rFonts w:ascii="Times New Roman" w:eastAsia="Calibri" w:hAnsi="Times New Roman" w:cs="Times New Roman"/>
                <w:i/>
              </w:rPr>
              <w:t>Nie</w:t>
            </w:r>
          </w:p>
          <w:p w:rsidR="00CF2B43" w:rsidRPr="00CF2B43" w:rsidRDefault="00CF2B43" w:rsidP="00CF2B4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</w:tbl>
    <w:p w:rsidR="00CF2B43" w:rsidRPr="00CF2B43" w:rsidRDefault="00CF2B43" w:rsidP="00CF2B4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F2B43" w:rsidRPr="00CF2B43" w:rsidRDefault="00CF2B43" w:rsidP="00CF2B43">
      <w:pPr>
        <w:suppressAutoHyphens/>
        <w:autoSpaceDN w:val="0"/>
        <w:textAlignment w:val="baseline"/>
        <w:rPr>
          <w:rFonts w:ascii="Calibri" w:eastAsia="Calibri" w:hAnsi="Calibri" w:cs="Times New Roman"/>
          <w:b/>
          <w:caps/>
          <w:spacing w:val="30"/>
        </w:rPr>
      </w:pPr>
    </w:p>
    <w:p w:rsidR="00CF2B43" w:rsidRPr="00CF2B43" w:rsidRDefault="00CF2B43" w:rsidP="00CF2B43">
      <w:pPr>
        <w:suppressAutoHyphens/>
        <w:autoSpaceDN w:val="0"/>
        <w:textAlignment w:val="baseline"/>
        <w:rPr>
          <w:rFonts w:ascii="Calibri" w:eastAsia="Calibri" w:hAnsi="Calibri" w:cs="Times New Roman"/>
          <w:b/>
          <w:caps/>
          <w:spacing w:val="30"/>
        </w:rPr>
      </w:pPr>
    </w:p>
    <w:p w:rsidR="00E00580" w:rsidRDefault="00E00580"/>
    <w:sectPr w:rsidR="00E0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0E"/>
    <w:rsid w:val="00AC070E"/>
    <w:rsid w:val="00BC6CCA"/>
    <w:rsid w:val="00CF2B43"/>
    <w:rsid w:val="00E00580"/>
    <w:rsid w:val="00E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88/51/201901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.mato@mhsr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san.zubor@mhsr.sk" TargetMode="External"/><Relationship Id="rId5" Type="http://schemas.openxmlformats.org/officeDocument/2006/relationships/hyperlink" Target="https://www.slov-lex.sk/pravne-predpisy/SK/ZZ/1988/51/201901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11156</Characters>
  <Application>Microsoft Office Word</Application>
  <DocSecurity>0</DocSecurity>
  <Lines>92</Lines>
  <Paragraphs>26</Paragraphs>
  <ScaleCrop>false</ScaleCrop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Lukas</dc:creator>
  <cp:keywords/>
  <dc:description/>
  <cp:lastModifiedBy>Borovska Michala</cp:lastModifiedBy>
  <cp:revision>5</cp:revision>
  <dcterms:created xsi:type="dcterms:W3CDTF">2019-05-03T07:58:00Z</dcterms:created>
  <dcterms:modified xsi:type="dcterms:W3CDTF">2019-08-12T10:35:00Z</dcterms:modified>
</cp:coreProperties>
</file>