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5D" w:rsidRPr="009827E5" w:rsidRDefault="00881C5D" w:rsidP="00881C5D">
      <w:pPr>
        <w:jc w:val="center"/>
        <w:rPr>
          <w:rFonts w:eastAsia="Times New Roman"/>
          <w:b/>
          <w:bCs/>
          <w:szCs w:val="28"/>
          <w:lang w:eastAsia="sk-SK"/>
        </w:rPr>
      </w:pPr>
      <w:r w:rsidRPr="009827E5">
        <w:rPr>
          <w:rFonts w:eastAsia="Times New Roman"/>
          <w:b/>
          <w:bCs/>
          <w:szCs w:val="28"/>
          <w:lang w:eastAsia="sk-SK"/>
        </w:rPr>
        <w:t xml:space="preserve">Analýza vplyvov na rozpočet verejnej správy, </w:t>
      </w:r>
      <w:r w:rsidRPr="009827E5">
        <w:rPr>
          <w:rFonts w:eastAsia="Times New Roman"/>
          <w:b/>
          <w:bCs/>
          <w:szCs w:val="28"/>
          <w:lang w:eastAsia="sk-SK"/>
        </w:rPr>
        <w:br/>
        <w:t>na zamestnanosť vo verejnej správe a financovanie návrhu</w:t>
      </w: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spacing w:after="240"/>
        <w:rPr>
          <w:sz w:val="22"/>
          <w:szCs w:val="22"/>
        </w:rPr>
      </w:pPr>
      <w:r w:rsidRPr="009827E5">
        <w:rPr>
          <w:b/>
          <w:bCs/>
        </w:rPr>
        <w:t>2.1. Zhrnutie vplyvov na rozpočet verejnej správy v návrhu</w:t>
      </w:r>
      <w:r w:rsidRPr="009827E5">
        <w:rPr>
          <w:sz w:val="22"/>
          <w:szCs w:val="22"/>
        </w:rPr>
        <w:t xml:space="preserve"> </w:t>
      </w:r>
    </w:p>
    <w:p w:rsidR="00881C5D" w:rsidRPr="009827E5" w:rsidRDefault="00881C5D" w:rsidP="00881C5D">
      <w:pPr>
        <w:jc w:val="right"/>
        <w:rPr>
          <w:sz w:val="22"/>
          <w:szCs w:val="22"/>
        </w:rPr>
      </w:pPr>
      <w:r w:rsidRPr="009827E5">
        <w:rPr>
          <w:sz w:val="22"/>
          <w:szCs w:val="22"/>
        </w:rPr>
        <w:t xml:space="preserve">Tabuľka č. 1 </w:t>
      </w:r>
    </w:p>
    <w:tbl>
      <w:tblPr>
        <w:tblW w:w="95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1265"/>
        <w:gridCol w:w="1265"/>
        <w:gridCol w:w="1145"/>
        <w:gridCol w:w="1141"/>
      </w:tblGrid>
      <w:tr w:rsidR="00881C5D" w:rsidRPr="009827E5" w:rsidTr="00D64127">
        <w:trPr>
          <w:trHeight w:val="253"/>
          <w:jc w:val="center"/>
        </w:trPr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194" w:lineRule="atLeast"/>
              <w:jc w:val="center"/>
              <w:rPr>
                <w:b/>
                <w:sz w:val="22"/>
                <w:szCs w:val="22"/>
              </w:rPr>
            </w:pPr>
            <w:r w:rsidRPr="009827E5">
              <w:rPr>
                <w:b/>
                <w:bCs/>
                <w:sz w:val="22"/>
                <w:szCs w:val="22"/>
              </w:rPr>
              <w:t>Vplyvy na rozpočet verejnej správy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1C5D" w:rsidRPr="009827E5" w:rsidRDefault="00881C5D" w:rsidP="00D64127">
            <w:pPr>
              <w:spacing w:line="194" w:lineRule="atLeast"/>
              <w:jc w:val="center"/>
              <w:rPr>
                <w:b/>
                <w:bCs/>
                <w:sz w:val="22"/>
                <w:szCs w:val="22"/>
              </w:rPr>
            </w:pPr>
            <w:r w:rsidRPr="009827E5">
              <w:rPr>
                <w:b/>
                <w:bCs/>
                <w:sz w:val="22"/>
                <w:szCs w:val="22"/>
              </w:rPr>
              <w:t>Vplyv na rozpočet verejnej správy (v eurách)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827E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827E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827E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81C5D" w:rsidRPr="009827E5" w:rsidRDefault="00881C5D" w:rsidP="00D64127">
            <w:pPr>
              <w:spacing w:line="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827E5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sz w:val="22"/>
                <w:szCs w:val="22"/>
              </w:rPr>
            </w:pPr>
            <w:r w:rsidRPr="009827E5">
              <w:rPr>
                <w:b/>
                <w:bCs/>
                <w:sz w:val="22"/>
                <w:szCs w:val="22"/>
              </w:rPr>
              <w:t>Príjmy verejnej správy celkom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132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70" w:lineRule="atLeast"/>
              <w:jc w:val="both"/>
              <w:rPr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v tom: za každý subjekt verejnej správy zvlášť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132" w:lineRule="atLeast"/>
              <w:rPr>
                <w:b/>
                <w:i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z toho: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81C5D" w:rsidRPr="009827E5" w:rsidTr="00D64127">
        <w:trPr>
          <w:trHeight w:val="125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70" w:lineRule="atLeast"/>
              <w:rPr>
                <w:b/>
                <w:i/>
                <w:sz w:val="22"/>
                <w:szCs w:val="22"/>
              </w:rPr>
            </w:pPr>
            <w:r w:rsidRPr="009827E5">
              <w:rPr>
                <w:b/>
                <w:i/>
                <w:sz w:val="22"/>
                <w:szCs w:val="22"/>
              </w:rPr>
              <w:t>- vplyv na ŠR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125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125" w:lineRule="atLeast"/>
              <w:rPr>
                <w:i/>
                <w:sz w:val="22"/>
                <w:szCs w:val="22"/>
              </w:rPr>
            </w:pPr>
            <w:r w:rsidRPr="009827E5">
              <w:rPr>
                <w:i/>
                <w:sz w:val="22"/>
                <w:szCs w:val="22"/>
              </w:rPr>
              <w:t xml:space="preserve">  Rozpočtové prostriedky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125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125" w:lineRule="atLeast"/>
              <w:rPr>
                <w:i/>
                <w:sz w:val="22"/>
                <w:szCs w:val="22"/>
              </w:rPr>
            </w:pPr>
            <w:r w:rsidRPr="009827E5">
              <w:rPr>
                <w:i/>
                <w:sz w:val="22"/>
                <w:szCs w:val="22"/>
              </w:rPr>
              <w:t xml:space="preserve">  EÚ zdroje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9827E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9827E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125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125" w:lineRule="atLeast"/>
              <w:rPr>
                <w:b/>
                <w:i/>
                <w:sz w:val="22"/>
                <w:szCs w:val="22"/>
              </w:rPr>
            </w:pPr>
            <w:r w:rsidRPr="009827E5">
              <w:rPr>
                <w:b/>
                <w:i/>
                <w:sz w:val="22"/>
                <w:szCs w:val="22"/>
              </w:rPr>
              <w:t>- vplyv na obce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125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125" w:lineRule="atLeast"/>
              <w:rPr>
                <w:b/>
                <w:i/>
                <w:sz w:val="22"/>
                <w:szCs w:val="22"/>
              </w:rPr>
            </w:pPr>
            <w:r w:rsidRPr="009827E5">
              <w:rPr>
                <w:b/>
                <w:i/>
                <w:sz w:val="22"/>
                <w:szCs w:val="22"/>
              </w:rPr>
              <w:t>- vplyv na vyššie územné celky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125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125" w:lineRule="atLeast"/>
              <w:rPr>
                <w:b/>
                <w:i/>
                <w:sz w:val="22"/>
                <w:szCs w:val="22"/>
              </w:rPr>
            </w:pPr>
            <w:r w:rsidRPr="009827E5">
              <w:rPr>
                <w:b/>
                <w:i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125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125" w:lineRule="atLeas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Výdavky verejnej správy celkom: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1C5D"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="00881C5D"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1C5D"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="00881C5D"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1C5D"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="00881C5D"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881C5D" w:rsidRPr="009827E5" w:rsidRDefault="00967C0A" w:rsidP="00967C0A">
            <w:pPr>
              <w:ind w:right="11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1C5D"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="00881C5D"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jc w:val="both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 xml:space="preserve">v tom: </w:t>
            </w:r>
            <w:r w:rsidRPr="009827E5">
              <w:rPr>
                <w:snapToGrid w:val="0"/>
                <w:color w:val="000000"/>
                <w:sz w:val="22"/>
                <w:szCs w:val="22"/>
              </w:rPr>
              <w:t>Kapitola 11 Ministerstvo obrany SR/ p</w:t>
            </w:r>
            <w:r w:rsidRPr="009827E5">
              <w:rPr>
                <w:bCs/>
                <w:color w:val="000000"/>
                <w:sz w:val="22"/>
                <w:szCs w:val="22"/>
              </w:rPr>
              <w:t>rogram</w:t>
            </w:r>
            <w:r w:rsidRPr="009827E5">
              <w:rPr>
                <w:caps/>
                <w:color w:val="000000"/>
                <w:sz w:val="22"/>
                <w:szCs w:val="22"/>
              </w:rPr>
              <w:t xml:space="preserve"> </w:t>
            </w:r>
            <w:r w:rsidRPr="009827E5">
              <w:rPr>
                <w:bCs/>
                <w:caps/>
                <w:color w:val="000000"/>
                <w:sz w:val="22"/>
                <w:szCs w:val="22"/>
              </w:rPr>
              <w:t xml:space="preserve">096 </w:t>
            </w:r>
            <w:r w:rsidRPr="009827E5">
              <w:rPr>
                <w:bCs/>
                <w:color w:val="000000"/>
                <w:sz w:val="22"/>
                <w:szCs w:val="22"/>
              </w:rPr>
              <w:t>Obrana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967C0A" w:rsidP="00967C0A">
            <w:pPr>
              <w:ind w:right="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1C5D" w:rsidRPr="009827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821</w:t>
            </w:r>
            <w:r w:rsidR="00881C5D" w:rsidRPr="00982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967C0A" w:rsidP="00967C0A">
            <w:pPr>
              <w:ind w:right="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1C5D" w:rsidRPr="009827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821</w:t>
            </w:r>
            <w:r w:rsidR="00881C5D" w:rsidRPr="00982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967C0A" w:rsidP="00967C0A">
            <w:pPr>
              <w:ind w:right="42"/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</w:t>
            </w:r>
            <w:r w:rsidR="00881C5D" w:rsidRPr="009827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821</w:t>
            </w:r>
            <w:r w:rsidR="00881C5D" w:rsidRPr="00982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967C0A" w:rsidP="00967C0A">
            <w:pPr>
              <w:ind w:right="119"/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</w:t>
            </w:r>
            <w:r w:rsidR="00881C5D" w:rsidRPr="009827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821</w:t>
            </w:r>
            <w:r w:rsidR="00881C5D" w:rsidRPr="00982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z toho: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sz w:val="21"/>
                <w:szCs w:val="21"/>
              </w:rPr>
            </w:pPr>
          </w:p>
        </w:tc>
      </w:tr>
      <w:tr w:rsidR="00967C0A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spacing w:line="70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vplyv na ŠR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0A" w:rsidRPr="009827E5" w:rsidRDefault="00967C0A" w:rsidP="00967C0A">
            <w:pPr>
              <w:ind w:right="11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125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i/>
                <w:sz w:val="22"/>
                <w:szCs w:val="22"/>
              </w:rPr>
              <w:t xml:space="preserve">  Rozpočtové prostriedky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119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C5D" w:rsidRPr="009827E5" w:rsidRDefault="00881C5D" w:rsidP="00D64127">
            <w:pPr>
              <w:spacing w:line="125" w:lineRule="atLeast"/>
              <w:rPr>
                <w:i/>
                <w:sz w:val="22"/>
                <w:szCs w:val="22"/>
              </w:rPr>
            </w:pPr>
            <w:r w:rsidRPr="009827E5">
              <w:rPr>
                <w:i/>
                <w:sz w:val="22"/>
                <w:szCs w:val="22"/>
              </w:rPr>
              <w:t xml:space="preserve">  EÚ zdroje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119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125" w:lineRule="atLeast"/>
              <w:rPr>
                <w:i/>
                <w:sz w:val="22"/>
                <w:szCs w:val="22"/>
              </w:rPr>
            </w:pPr>
            <w:r w:rsidRPr="009827E5">
              <w:rPr>
                <w:i/>
                <w:sz w:val="22"/>
                <w:szCs w:val="22"/>
              </w:rPr>
              <w:t xml:space="preserve">  spolufinancovanie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119"/>
              <w:jc w:val="right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125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vplyv na obce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125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i/>
                <w:sz w:val="22"/>
                <w:szCs w:val="22"/>
              </w:rPr>
              <w:t>- vplyv na vyššie územné celky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125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pStyle w:val="Zkladntext"/>
              <w:spacing w:after="0"/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color w:val="000000"/>
                <w:sz w:val="22"/>
                <w:szCs w:val="22"/>
              </w:rPr>
              <w:t xml:space="preserve">Vplyv na počet zamestnancov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ŠR</w:t>
            </w:r>
            <w:r w:rsidRPr="009827E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obce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vyššie územné celky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Vplyv na mzdové výdavky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ŠR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obce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vyššie územné celky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i/>
                <w:iCs/>
                <w:color w:val="000000"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1"/>
                <w:szCs w:val="21"/>
              </w:rPr>
            </w:pPr>
            <w:r w:rsidRPr="009827E5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967C0A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spacing w:line="70" w:lineRule="atLeast"/>
              <w:rPr>
                <w:color w:val="000000"/>
                <w:sz w:val="22"/>
                <w:szCs w:val="22"/>
              </w:rPr>
            </w:pPr>
            <w:r w:rsidRPr="009827E5">
              <w:rPr>
                <w:b/>
                <w:bCs/>
                <w:color w:val="000000"/>
                <w:sz w:val="22"/>
                <w:szCs w:val="22"/>
              </w:rPr>
              <w:t>Financovanie zabezpečené v rozpočte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7C0A" w:rsidRPr="009827E5" w:rsidRDefault="00967C0A" w:rsidP="00967C0A">
            <w:pPr>
              <w:ind w:right="11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827E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821</w:t>
            </w:r>
            <w:r w:rsidRPr="009827E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</w:tr>
      <w:tr w:rsidR="00967C0A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spacing w:line="70" w:lineRule="atLeast"/>
              <w:jc w:val="both"/>
              <w:rPr>
                <w:color w:val="000000"/>
                <w:sz w:val="22"/>
                <w:szCs w:val="22"/>
              </w:rPr>
            </w:pPr>
            <w:r w:rsidRPr="009827E5">
              <w:rPr>
                <w:color w:val="000000"/>
                <w:sz w:val="22"/>
                <w:szCs w:val="22"/>
              </w:rPr>
              <w:t xml:space="preserve">v tom: </w:t>
            </w:r>
            <w:r w:rsidRPr="009827E5">
              <w:rPr>
                <w:snapToGrid w:val="0"/>
                <w:color w:val="000000"/>
                <w:sz w:val="22"/>
                <w:szCs w:val="22"/>
              </w:rPr>
              <w:t>Kapitola 11 Ministerstvo obrany SR/ p</w:t>
            </w:r>
            <w:r w:rsidRPr="009827E5">
              <w:rPr>
                <w:bCs/>
                <w:color w:val="000000"/>
                <w:sz w:val="22"/>
                <w:szCs w:val="22"/>
              </w:rPr>
              <w:t>rogram</w:t>
            </w:r>
            <w:r w:rsidRPr="009827E5">
              <w:rPr>
                <w:caps/>
                <w:color w:val="000000"/>
                <w:sz w:val="22"/>
                <w:szCs w:val="22"/>
              </w:rPr>
              <w:t xml:space="preserve"> </w:t>
            </w:r>
            <w:r w:rsidRPr="009827E5">
              <w:rPr>
                <w:bCs/>
                <w:caps/>
                <w:color w:val="000000"/>
                <w:sz w:val="22"/>
                <w:szCs w:val="22"/>
              </w:rPr>
              <w:t xml:space="preserve">096 </w:t>
            </w:r>
            <w:r w:rsidRPr="009827E5">
              <w:rPr>
                <w:bCs/>
                <w:color w:val="000000"/>
                <w:sz w:val="22"/>
                <w:szCs w:val="22"/>
              </w:rPr>
              <w:t>Obrana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827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821</w:t>
            </w:r>
            <w:r w:rsidRPr="00982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827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821</w:t>
            </w:r>
            <w:r w:rsidRPr="00982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C0A" w:rsidRPr="009827E5" w:rsidRDefault="00967C0A" w:rsidP="00967C0A">
            <w:pPr>
              <w:ind w:right="42"/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</w:t>
            </w:r>
            <w:r w:rsidRPr="009827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821</w:t>
            </w:r>
            <w:r w:rsidRPr="00982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7C0A" w:rsidRPr="009827E5" w:rsidRDefault="00967C0A" w:rsidP="00967C0A">
            <w:pPr>
              <w:ind w:right="119"/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</w:t>
            </w:r>
            <w:r w:rsidRPr="009827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821</w:t>
            </w:r>
            <w:r w:rsidRPr="00982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Iné ako rozpočtové zdroje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81C5D" w:rsidRPr="009827E5" w:rsidTr="00D64127">
        <w:trPr>
          <w:trHeight w:val="70"/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spacing w:line="70" w:lineRule="atLeas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Rozpočtovo nekrytý vplyv/ úspora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1C5D" w:rsidRPr="009827E5" w:rsidRDefault="00881C5D" w:rsidP="00D64127">
            <w:pPr>
              <w:ind w:right="42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D" w:rsidRPr="009827E5" w:rsidRDefault="00881C5D" w:rsidP="00D64127">
            <w:pPr>
              <w:ind w:right="119"/>
              <w:jc w:val="right"/>
              <w:rPr>
                <w:b/>
                <w:color w:val="000000"/>
                <w:sz w:val="22"/>
                <w:szCs w:val="22"/>
              </w:rPr>
            </w:pPr>
            <w:r w:rsidRPr="009827E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881C5D" w:rsidRPr="009827E5" w:rsidRDefault="00881C5D" w:rsidP="00881C5D">
      <w:pPr>
        <w:tabs>
          <w:tab w:val="left" w:pos="540"/>
        </w:tabs>
        <w:rPr>
          <w:bCs/>
          <w:color w:val="000000"/>
        </w:rPr>
      </w:pP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rPr>
          <w:rFonts w:eastAsia="Times New Roman"/>
          <w:bCs/>
          <w:lang w:eastAsia="sk-SK"/>
        </w:rPr>
      </w:pPr>
    </w:p>
    <w:p w:rsidR="00881C5D" w:rsidRDefault="00881C5D" w:rsidP="00881C5D">
      <w:pPr>
        <w:spacing w:after="240"/>
        <w:jc w:val="both"/>
        <w:rPr>
          <w:b/>
          <w:bCs/>
          <w:color w:val="000000"/>
        </w:rPr>
      </w:pPr>
      <w:r w:rsidRPr="009827E5">
        <w:rPr>
          <w:b/>
          <w:bCs/>
          <w:color w:val="000000"/>
        </w:rPr>
        <w:lastRenderedPageBreak/>
        <w:t>2.1.1. Financovanie návrhu - Návrh na riešenie úbytku príjmov alebo zvýšených výdavkov podľa § 33 ods. 1 zákona č. 523/2004 Z. z. o rozpočtových pravidlách verejnej správy a o zmene a doplnení niektorých zákonov:</w:t>
      </w:r>
    </w:p>
    <w:p w:rsidR="00486CA5" w:rsidRPr="00486CA5" w:rsidRDefault="00904415" w:rsidP="00881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FF0000"/>
          <w:szCs w:val="20"/>
        </w:rPr>
      </w:pPr>
      <w:r w:rsidRPr="0021647F">
        <w:rPr>
          <w:szCs w:val="20"/>
        </w:rPr>
        <w:t xml:space="preserve">     </w:t>
      </w:r>
      <w:r w:rsidR="00D3629F" w:rsidRPr="00E422B4">
        <w:rPr>
          <w:szCs w:val="20"/>
        </w:rPr>
        <w:t>Vyslani</w:t>
      </w:r>
      <w:r w:rsidR="00967C0A" w:rsidRPr="00E422B4">
        <w:rPr>
          <w:szCs w:val="20"/>
        </w:rPr>
        <w:t>e</w:t>
      </w:r>
      <w:r w:rsidR="00D3629F" w:rsidRPr="00E422B4">
        <w:rPr>
          <w:szCs w:val="20"/>
        </w:rPr>
        <w:t xml:space="preserve"> ozbrojených síl </w:t>
      </w:r>
      <w:r w:rsidR="00486CA5" w:rsidRPr="00E422B4">
        <w:rPr>
          <w:szCs w:val="20"/>
        </w:rPr>
        <w:t>mimo územia Slovenskej republiky na účely ustanovené v platnom znení zákona č. 321/2002 Z. z. o ozbrojených silách Slovenskej republiky v znení neskorších predpisov realizované do účinnosti návrhu zákona bude rozpočtovo zabezpečené v rámci rozpočtu stanoveného v kapitole štátneho rozpočtu Ministerstva obrany SR. Odo dňa účinnosti návrhu zákona budú návrhy na vyslanie ozbrojených síl Slovenskej republiky mimo územia Slovenskej republiky, resp. návrh</w:t>
      </w:r>
      <w:r w:rsidR="00E422B4">
        <w:rPr>
          <w:szCs w:val="20"/>
        </w:rPr>
        <w:t>y</w:t>
      </w:r>
      <w:r w:rsidR="00486CA5" w:rsidRPr="00E422B4">
        <w:rPr>
          <w:szCs w:val="20"/>
        </w:rPr>
        <w:t xml:space="preserve"> na predĺženie mandátu misie predkladané na schválenie vláde Slovenskej republiky alebo Národnej rade Slovenskej republiky vrátane doložiek vybraných vplyvov upravujúcich spôsob financovania návrhov. </w:t>
      </w:r>
    </w:p>
    <w:p w:rsidR="00486CA5" w:rsidRPr="00486CA5" w:rsidRDefault="00904415" w:rsidP="00881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0"/>
        </w:rPr>
      </w:pPr>
      <w:r w:rsidRPr="0021647F">
        <w:rPr>
          <w:szCs w:val="20"/>
        </w:rPr>
        <w:t xml:space="preserve">     V súvislosti s identifikáciou vojakov dobrovoľnej vojenskej prípravy a preukazovaním ich príslušnosti k ozbrojeným </w:t>
      </w:r>
      <w:r w:rsidRPr="00497391">
        <w:t>silám</w:t>
      </w:r>
      <w:r w:rsidR="00497391" w:rsidRPr="00497391">
        <w:t xml:space="preserve"> a zavedením vyplácania náhrady cestovných výdavkov na návštevu rodiny vojakov dobrovoľnej vojenskej prípravy</w:t>
      </w:r>
      <w:r w:rsidRPr="00497391">
        <w:t>, návrh</w:t>
      </w:r>
      <w:r w:rsidRPr="0021647F">
        <w:rPr>
          <w:szCs w:val="20"/>
        </w:rPr>
        <w:t xml:space="preserve"> zákona bude mať negatívny vplyv na rozpočet verejnej správy, ktorý bude zabezpečený v rámci schválených limitov výdavkov kapitoly M</w:t>
      </w:r>
      <w:r w:rsidR="00497391">
        <w:rPr>
          <w:szCs w:val="20"/>
        </w:rPr>
        <w:t>inisterstva obrany</w:t>
      </w:r>
      <w:r w:rsidRPr="0021647F">
        <w:rPr>
          <w:szCs w:val="20"/>
        </w:rPr>
        <w:t xml:space="preserve"> SR na rozpočtový rok 2020 a roky nasledujúce, bez zvýšených požiadaviek na rozpočet verejnej správy.</w:t>
      </w:r>
    </w:p>
    <w:p w:rsidR="00881C5D" w:rsidRPr="009827E5" w:rsidRDefault="00881C5D" w:rsidP="00881C5D">
      <w:pPr>
        <w:jc w:val="both"/>
        <w:rPr>
          <w:i/>
          <w:color w:val="000000"/>
        </w:rPr>
      </w:pPr>
    </w:p>
    <w:p w:rsidR="00881C5D" w:rsidRPr="009827E5" w:rsidRDefault="00881C5D" w:rsidP="00881C5D">
      <w:pPr>
        <w:tabs>
          <w:tab w:val="left" w:pos="540"/>
        </w:tabs>
        <w:spacing w:after="240"/>
        <w:rPr>
          <w:color w:val="000000"/>
        </w:rPr>
      </w:pPr>
      <w:r w:rsidRPr="009827E5">
        <w:rPr>
          <w:b/>
          <w:bCs/>
          <w:color w:val="000000"/>
        </w:rPr>
        <w:t>2.2. Popis a charakteristika návrhu</w:t>
      </w:r>
    </w:p>
    <w:p w:rsidR="00881C5D" w:rsidRPr="009827E5" w:rsidRDefault="00881C5D" w:rsidP="00881C5D">
      <w:pPr>
        <w:spacing w:after="240"/>
        <w:jc w:val="both"/>
        <w:rPr>
          <w:b/>
          <w:bCs/>
          <w:color w:val="000000"/>
        </w:rPr>
      </w:pPr>
      <w:r w:rsidRPr="009827E5">
        <w:rPr>
          <w:b/>
          <w:bCs/>
          <w:color w:val="000000"/>
        </w:rPr>
        <w:t>2.2.1. Popis návrhu:</w:t>
      </w:r>
    </w:p>
    <w:p w:rsidR="00881C5D" w:rsidRPr="009827E5" w:rsidRDefault="00881C5D" w:rsidP="00881C5D">
      <w:pPr>
        <w:jc w:val="both"/>
        <w:rPr>
          <w:color w:val="000000"/>
        </w:rPr>
      </w:pPr>
      <w:r w:rsidRPr="009827E5">
        <w:rPr>
          <w:color w:val="000000"/>
        </w:rPr>
        <w:t xml:space="preserve">     Akú problematiku návrh rieši? Kto bude návrh implementovať? Kde sa budú služby poskytovať?</w:t>
      </w:r>
    </w:p>
    <w:p w:rsidR="00881C5D" w:rsidRDefault="00881C5D" w:rsidP="00881C5D">
      <w:pPr>
        <w:jc w:val="both"/>
        <w:rPr>
          <w:color w:val="000000"/>
        </w:rPr>
      </w:pPr>
    </w:p>
    <w:p w:rsidR="00881C5D" w:rsidRDefault="00881C5D" w:rsidP="00881C5D">
      <w:pPr>
        <w:jc w:val="both"/>
        <w:rPr>
          <w:color w:val="000000"/>
        </w:rPr>
      </w:pPr>
      <w:r w:rsidRPr="009827E5">
        <w:rPr>
          <w:color w:val="000000"/>
        </w:rPr>
        <w:t xml:space="preserve">     </w:t>
      </w:r>
      <w:r>
        <w:rPr>
          <w:color w:val="000000"/>
        </w:rPr>
        <w:t xml:space="preserve">Návrh zákona rieši problematiku </w:t>
      </w:r>
      <w:r w:rsidRPr="009827E5">
        <w:rPr>
          <w:color w:val="000000"/>
        </w:rPr>
        <w:t>vysielani</w:t>
      </w:r>
      <w:r>
        <w:rPr>
          <w:color w:val="000000"/>
        </w:rPr>
        <w:t>a</w:t>
      </w:r>
      <w:r w:rsidRPr="00786764">
        <w:rPr>
          <w:color w:val="000000"/>
        </w:rPr>
        <w:t xml:space="preserve"> ozbrojených síl v rámci plnenia záväzkov z medzinárodných zmlúv, ktorými je Slovenská republika viazaná aj na iné účely, aké sú v súčasnosti stanovené</w:t>
      </w:r>
      <w:r>
        <w:rPr>
          <w:color w:val="000000"/>
        </w:rPr>
        <w:t>. Návrh bude implementovať Ministerstvo obrany SR pri riadení ozbrojených síl SR.</w:t>
      </w:r>
    </w:p>
    <w:p w:rsidR="00881C5D" w:rsidRPr="009827E5" w:rsidRDefault="00881C5D" w:rsidP="00881C5D">
      <w:pPr>
        <w:jc w:val="both"/>
        <w:rPr>
          <w:color w:val="000000"/>
        </w:rPr>
      </w:pPr>
    </w:p>
    <w:p w:rsidR="00881C5D" w:rsidRPr="009827E5" w:rsidRDefault="00881C5D" w:rsidP="00881C5D">
      <w:pPr>
        <w:spacing w:after="240"/>
        <w:rPr>
          <w:color w:val="000000"/>
        </w:rPr>
      </w:pPr>
      <w:r w:rsidRPr="009827E5">
        <w:rPr>
          <w:b/>
          <w:bCs/>
          <w:color w:val="000000"/>
        </w:rPr>
        <w:t>2.2.2. Charakteristika návrhu:</w:t>
      </w:r>
    </w:p>
    <w:p w:rsidR="00881C5D" w:rsidRPr="009827E5" w:rsidRDefault="00881C5D" w:rsidP="00881C5D">
      <w:pPr>
        <w:rPr>
          <w:rFonts w:eastAsia="Times New Roman"/>
          <w:lang w:eastAsia="sk-SK"/>
        </w:rPr>
      </w:pPr>
      <w:r w:rsidRPr="009827E5">
        <w:rPr>
          <w:rFonts w:eastAsia="Times New Roman"/>
          <w:b/>
          <w:bdr w:val="single" w:sz="4" w:space="0" w:color="auto" w:frame="1"/>
          <w:lang w:eastAsia="sk-SK"/>
        </w:rPr>
        <w:t xml:space="preserve"> </w:t>
      </w:r>
      <w:r w:rsidRPr="009827E5">
        <w:rPr>
          <w:rFonts w:eastAsia="Times New Roman"/>
          <w:bdr w:val="single" w:sz="4" w:space="0" w:color="auto" w:frame="1"/>
          <w:lang w:eastAsia="sk-SK"/>
        </w:rPr>
        <w:t>x</w:t>
      </w:r>
      <w:r w:rsidRPr="009827E5">
        <w:rPr>
          <w:rFonts w:eastAsia="Times New Roman"/>
          <w:b/>
          <w:bdr w:val="single" w:sz="4" w:space="0" w:color="auto" w:frame="1"/>
          <w:lang w:eastAsia="sk-SK"/>
        </w:rPr>
        <w:t xml:space="preserve"> </w:t>
      </w:r>
      <w:r w:rsidRPr="009827E5">
        <w:rPr>
          <w:rFonts w:eastAsia="Times New Roman"/>
          <w:b/>
          <w:lang w:eastAsia="sk-SK"/>
        </w:rPr>
        <w:t xml:space="preserve"> </w:t>
      </w:r>
      <w:r w:rsidRPr="009827E5">
        <w:rPr>
          <w:rFonts w:eastAsia="Times New Roman"/>
          <w:lang w:eastAsia="sk-SK"/>
        </w:rPr>
        <w:t>zmena sadzby</w:t>
      </w:r>
    </w:p>
    <w:p w:rsidR="00881C5D" w:rsidRPr="009827E5" w:rsidRDefault="00881C5D" w:rsidP="00881C5D">
      <w:pPr>
        <w:rPr>
          <w:rFonts w:eastAsia="Times New Roman"/>
          <w:lang w:eastAsia="sk-SK"/>
        </w:rPr>
      </w:pPr>
      <w:r w:rsidRPr="009827E5">
        <w:rPr>
          <w:rFonts w:eastAsia="Times New Roman"/>
          <w:bdr w:val="single" w:sz="4" w:space="0" w:color="auto" w:frame="1"/>
          <w:lang w:eastAsia="sk-SK"/>
        </w:rPr>
        <w:t xml:space="preserve">    </w:t>
      </w:r>
      <w:r w:rsidRPr="009827E5">
        <w:rPr>
          <w:rFonts w:eastAsia="Times New Roman"/>
          <w:lang w:eastAsia="sk-SK"/>
        </w:rPr>
        <w:t xml:space="preserve"> zmena v nároku</w:t>
      </w:r>
    </w:p>
    <w:p w:rsidR="00881C5D" w:rsidRPr="009827E5" w:rsidRDefault="00881C5D" w:rsidP="00881C5D">
      <w:pPr>
        <w:rPr>
          <w:rFonts w:eastAsia="Times New Roman"/>
          <w:lang w:eastAsia="sk-SK"/>
        </w:rPr>
      </w:pPr>
      <w:r w:rsidRPr="009827E5">
        <w:rPr>
          <w:rFonts w:eastAsia="Times New Roman"/>
          <w:bdr w:val="single" w:sz="4" w:space="0" w:color="auto" w:frame="1"/>
          <w:lang w:eastAsia="sk-SK"/>
        </w:rPr>
        <w:t xml:space="preserve">    </w:t>
      </w:r>
      <w:r w:rsidRPr="009827E5">
        <w:rPr>
          <w:rFonts w:eastAsia="Times New Roman"/>
          <w:lang w:eastAsia="sk-SK"/>
        </w:rPr>
        <w:t xml:space="preserve"> nová služba alebo nariadenie (alebo ich zrušenie)</w:t>
      </w:r>
    </w:p>
    <w:p w:rsidR="00881C5D" w:rsidRPr="009827E5" w:rsidRDefault="00881C5D" w:rsidP="00881C5D">
      <w:pPr>
        <w:rPr>
          <w:rFonts w:eastAsia="Times New Roman"/>
          <w:lang w:eastAsia="sk-SK"/>
        </w:rPr>
      </w:pPr>
      <w:r w:rsidRPr="009827E5">
        <w:rPr>
          <w:rFonts w:eastAsia="Times New Roman"/>
          <w:bdr w:val="single" w:sz="4" w:space="0" w:color="auto" w:frame="1"/>
          <w:lang w:eastAsia="sk-SK"/>
        </w:rPr>
        <w:t xml:space="preserve">    </w:t>
      </w:r>
      <w:r w:rsidRPr="009827E5">
        <w:rPr>
          <w:rFonts w:eastAsia="Times New Roman"/>
          <w:lang w:eastAsia="sk-SK"/>
        </w:rPr>
        <w:t xml:space="preserve"> kombinovaný návrh</w:t>
      </w:r>
    </w:p>
    <w:p w:rsidR="00881C5D" w:rsidRPr="009827E5" w:rsidRDefault="00881C5D" w:rsidP="00881C5D">
      <w:pPr>
        <w:rPr>
          <w:rFonts w:eastAsia="Times New Roman"/>
          <w:lang w:eastAsia="sk-SK"/>
        </w:rPr>
      </w:pPr>
      <w:r w:rsidRPr="009827E5">
        <w:rPr>
          <w:rFonts w:eastAsia="Times New Roman"/>
          <w:bdr w:val="single" w:sz="4" w:space="0" w:color="auto" w:frame="1"/>
          <w:lang w:eastAsia="sk-SK"/>
        </w:rPr>
        <w:t xml:space="preserve">    </w:t>
      </w:r>
      <w:r w:rsidRPr="009827E5">
        <w:rPr>
          <w:rFonts w:eastAsia="Times New Roman"/>
          <w:lang w:eastAsia="sk-SK"/>
        </w:rPr>
        <w:t xml:space="preserve"> iné </w:t>
      </w:r>
    </w:p>
    <w:p w:rsidR="00881C5D" w:rsidRPr="009827E5" w:rsidRDefault="00881C5D" w:rsidP="00881C5D">
      <w:pPr>
        <w:rPr>
          <w:rFonts w:eastAsia="Times New Roman"/>
          <w:lang w:eastAsia="sk-SK"/>
        </w:rPr>
      </w:pPr>
    </w:p>
    <w:p w:rsidR="00881C5D" w:rsidRPr="009827E5" w:rsidRDefault="00881C5D" w:rsidP="00881C5D">
      <w:pPr>
        <w:rPr>
          <w:rFonts w:eastAsia="Times New Roman"/>
          <w:lang w:eastAsia="sk-SK"/>
        </w:rPr>
      </w:pPr>
      <w:r w:rsidRPr="009827E5">
        <w:rPr>
          <w:rFonts w:eastAsia="Times New Roman"/>
          <w:b/>
          <w:bCs/>
          <w:lang w:eastAsia="sk-SK"/>
        </w:rPr>
        <w:t>2.2.3. Predpoklady vývoja objemu aktivít:</w:t>
      </w:r>
    </w:p>
    <w:p w:rsidR="00881C5D" w:rsidRPr="009827E5" w:rsidRDefault="00881C5D" w:rsidP="00881C5D">
      <w:pPr>
        <w:rPr>
          <w:rFonts w:eastAsia="Times New Roman"/>
          <w:lang w:eastAsia="sk-SK"/>
        </w:rPr>
      </w:pPr>
    </w:p>
    <w:p w:rsidR="00881C5D" w:rsidRPr="009827E5" w:rsidRDefault="00881C5D" w:rsidP="00881C5D">
      <w:pPr>
        <w:jc w:val="both"/>
        <w:rPr>
          <w:rFonts w:eastAsia="Times New Roman"/>
          <w:lang w:eastAsia="sk-SK"/>
        </w:rPr>
      </w:pPr>
      <w:r w:rsidRPr="009827E5">
        <w:rPr>
          <w:rFonts w:eastAsia="Times New Roman"/>
          <w:lang w:eastAsia="sk-SK"/>
        </w:rPr>
        <w:t xml:space="preserve">     Jasne popíšte, v prípade potreby použite nižšie uvedenú tabuľku. Uveďte aj odhady základov daní a/alebo poplatkov, ak sa ich táto zmena týka.</w:t>
      </w:r>
    </w:p>
    <w:p w:rsidR="00881C5D" w:rsidRPr="009827E5" w:rsidRDefault="00881C5D" w:rsidP="00881C5D">
      <w:pPr>
        <w:jc w:val="both"/>
        <w:rPr>
          <w:rFonts w:eastAsia="Times New Roman"/>
          <w:lang w:eastAsia="sk-SK"/>
        </w:rPr>
      </w:pPr>
    </w:p>
    <w:p w:rsidR="00881C5D" w:rsidRPr="009827E5" w:rsidRDefault="00881C5D" w:rsidP="00881C5D">
      <w:pPr>
        <w:jc w:val="right"/>
        <w:rPr>
          <w:rFonts w:eastAsia="Times New Roman"/>
          <w:sz w:val="22"/>
          <w:szCs w:val="20"/>
          <w:lang w:eastAsia="sk-SK"/>
        </w:rPr>
      </w:pPr>
      <w:r w:rsidRPr="009827E5">
        <w:rPr>
          <w:rFonts w:eastAsia="Times New Roman"/>
          <w:sz w:val="22"/>
          <w:szCs w:val="20"/>
          <w:lang w:eastAsia="sk-SK"/>
        </w:rPr>
        <w:t xml:space="preserve">Tabuľka č. 2 </w:t>
      </w:r>
    </w:p>
    <w:tbl>
      <w:tblPr>
        <w:tblW w:w="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881C5D" w:rsidRPr="009827E5" w:rsidTr="00D64127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9827E5">
              <w:rPr>
                <w:rFonts w:eastAsia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9827E5">
              <w:rPr>
                <w:rFonts w:eastAsia="Times New Roman"/>
                <w:b/>
                <w:bCs/>
                <w:lang w:eastAsia="sk-SK"/>
              </w:rPr>
              <w:t>Odhadované objemy</w:t>
            </w:r>
          </w:p>
        </w:tc>
      </w:tr>
      <w:tr w:rsidR="00881C5D" w:rsidRPr="009827E5" w:rsidTr="00D64127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9827E5">
              <w:rPr>
                <w:rFonts w:eastAsia="Times New Roman"/>
                <w:b/>
                <w:bCs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9827E5">
              <w:rPr>
                <w:rFonts w:eastAsia="Times New Roman"/>
                <w:b/>
                <w:bCs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9827E5">
              <w:rPr>
                <w:rFonts w:eastAsia="Times New Roman"/>
                <w:b/>
                <w:bCs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9827E5">
              <w:rPr>
                <w:rFonts w:eastAsia="Times New Roman"/>
                <w:b/>
                <w:bCs/>
                <w:lang w:eastAsia="sk-SK"/>
              </w:rPr>
              <w:t>2023</w:t>
            </w:r>
          </w:p>
        </w:tc>
      </w:tr>
      <w:tr w:rsidR="00881C5D" w:rsidRPr="009827E5" w:rsidTr="00D64127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rPr>
                <w:rFonts w:eastAsia="Times New Roman"/>
                <w:lang w:eastAsia="sk-SK"/>
              </w:rPr>
            </w:pPr>
            <w:r w:rsidRPr="009827E5">
              <w:rPr>
                <w:rFonts w:eastAsia="Times New Roman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</w:tr>
      <w:tr w:rsidR="00881C5D" w:rsidRPr="009827E5" w:rsidTr="00D64127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rPr>
                <w:rFonts w:eastAsia="Times New Roman"/>
                <w:lang w:eastAsia="sk-SK"/>
              </w:rPr>
            </w:pPr>
            <w:r w:rsidRPr="009827E5">
              <w:rPr>
                <w:rFonts w:eastAsia="Times New Roman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</w:tr>
      <w:tr w:rsidR="00881C5D" w:rsidRPr="009827E5" w:rsidTr="00D64127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rPr>
                <w:rFonts w:eastAsia="Times New Roman"/>
                <w:lang w:eastAsia="sk-SK"/>
              </w:rPr>
            </w:pPr>
            <w:r w:rsidRPr="009827E5">
              <w:rPr>
                <w:rFonts w:eastAsia="Times New Roman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827E5">
              <w:rPr>
                <w:rFonts w:eastAsia="Times New Roman"/>
                <w:color w:val="000000"/>
                <w:lang w:eastAsia="sk-SK"/>
              </w:rPr>
              <w:t>-</w:t>
            </w:r>
          </w:p>
        </w:tc>
      </w:tr>
    </w:tbl>
    <w:p w:rsidR="00881C5D" w:rsidRPr="009827E5" w:rsidRDefault="00881C5D" w:rsidP="00881C5D">
      <w:pPr>
        <w:rPr>
          <w:rFonts w:eastAsia="Times New Roman"/>
          <w:bCs/>
          <w:lang w:eastAsia="sk-SK"/>
        </w:rPr>
        <w:sectPr w:rsidR="00881C5D" w:rsidRPr="009827E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1C5D" w:rsidRPr="009827E5" w:rsidRDefault="00881C5D" w:rsidP="00881C5D">
      <w:pPr>
        <w:rPr>
          <w:rFonts w:eastAsia="Times New Roman"/>
          <w:b/>
          <w:bCs/>
          <w:lang w:eastAsia="sk-SK"/>
        </w:rPr>
      </w:pPr>
      <w:r w:rsidRPr="009827E5">
        <w:rPr>
          <w:rFonts w:eastAsia="Times New Roman"/>
          <w:b/>
          <w:bCs/>
          <w:lang w:eastAsia="sk-SK"/>
        </w:rPr>
        <w:lastRenderedPageBreak/>
        <w:t>2.2.4. Výpočty vplyvov na verejné financie</w:t>
      </w:r>
    </w:p>
    <w:p w:rsidR="00881C5D" w:rsidRPr="009827E5" w:rsidRDefault="00881C5D" w:rsidP="00881C5D">
      <w:pPr>
        <w:rPr>
          <w:rFonts w:eastAsia="Times New Roman"/>
          <w:lang w:eastAsia="sk-SK"/>
        </w:rPr>
      </w:pPr>
    </w:p>
    <w:p w:rsidR="00881C5D" w:rsidRPr="009827E5" w:rsidRDefault="00881C5D" w:rsidP="00881C5D">
      <w:pPr>
        <w:jc w:val="both"/>
        <w:rPr>
          <w:rFonts w:eastAsia="Times New Roman"/>
          <w:lang w:eastAsia="sk-SK"/>
        </w:rPr>
      </w:pPr>
      <w:r w:rsidRPr="009827E5">
        <w:rPr>
          <w:rFonts w:eastAsia="Times New Roman"/>
          <w:lang w:eastAsia="sk-SK"/>
        </w:rPr>
        <w:t xml:space="preserve">     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881C5D" w:rsidRPr="009827E5" w:rsidRDefault="00881C5D" w:rsidP="00881C5D">
      <w:pPr>
        <w:jc w:val="right"/>
        <w:rPr>
          <w:rFonts w:eastAsia="Times New Roman"/>
          <w:bCs/>
          <w:sz w:val="22"/>
          <w:szCs w:val="20"/>
          <w:lang w:eastAsia="sk-SK"/>
        </w:rPr>
      </w:pPr>
      <w:r w:rsidRPr="009827E5">
        <w:rPr>
          <w:rFonts w:eastAsia="Times New Roman"/>
          <w:bCs/>
          <w:sz w:val="22"/>
          <w:szCs w:val="20"/>
          <w:lang w:eastAsia="sk-SK"/>
        </w:rPr>
        <w:t xml:space="preserve">Tabuľka č. 3 </w:t>
      </w:r>
    </w:p>
    <w:tbl>
      <w:tblPr>
        <w:tblpPr w:leftFromText="141" w:rightFromText="141" w:vertAnchor="page" w:horzAnchor="margin" w:tblpY="3093"/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276"/>
        <w:gridCol w:w="1275"/>
        <w:gridCol w:w="1276"/>
        <w:gridCol w:w="1276"/>
        <w:gridCol w:w="2410"/>
      </w:tblGrid>
      <w:tr w:rsidR="00881C5D" w:rsidRPr="009827E5" w:rsidTr="00D64127">
        <w:trPr>
          <w:cantSplit/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881C5D" w:rsidRPr="009827E5" w:rsidTr="00D64127">
        <w:trPr>
          <w:cantSplit/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9827E5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9827E5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9827E5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</w:tbl>
    <w:p w:rsidR="00881C5D" w:rsidRPr="009827E5" w:rsidRDefault="00881C5D" w:rsidP="00881C5D">
      <w:pPr>
        <w:spacing w:before="120"/>
        <w:jc w:val="both"/>
        <w:rPr>
          <w:rFonts w:eastAsia="Times New Roman"/>
          <w:bCs/>
          <w:sz w:val="20"/>
          <w:szCs w:val="20"/>
          <w:lang w:eastAsia="sk-SK"/>
        </w:rPr>
      </w:pPr>
      <w:r w:rsidRPr="009827E5">
        <w:rPr>
          <w:rFonts w:eastAsia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881C5D" w:rsidRPr="009827E5" w:rsidRDefault="00881C5D" w:rsidP="00881C5D">
      <w:pPr>
        <w:jc w:val="both"/>
        <w:rPr>
          <w:rFonts w:eastAsia="Times New Roman"/>
          <w:bCs/>
          <w:szCs w:val="20"/>
          <w:lang w:eastAsia="sk-SK"/>
        </w:rPr>
      </w:pPr>
    </w:p>
    <w:p w:rsidR="00881C5D" w:rsidRPr="009827E5" w:rsidRDefault="00881C5D" w:rsidP="00881C5D">
      <w:pPr>
        <w:jc w:val="both"/>
        <w:rPr>
          <w:rFonts w:eastAsia="Times New Roman"/>
          <w:b/>
          <w:bCs/>
          <w:szCs w:val="20"/>
          <w:lang w:eastAsia="sk-SK"/>
        </w:rPr>
      </w:pPr>
      <w:r w:rsidRPr="009827E5">
        <w:rPr>
          <w:rFonts w:eastAsia="Times New Roman"/>
          <w:b/>
          <w:bCs/>
          <w:szCs w:val="20"/>
          <w:lang w:eastAsia="sk-SK"/>
        </w:rPr>
        <w:t>Poznámka:</w:t>
      </w:r>
    </w:p>
    <w:p w:rsidR="00881C5D" w:rsidRPr="009827E5" w:rsidRDefault="00881C5D" w:rsidP="00881C5D">
      <w:pPr>
        <w:jc w:val="both"/>
        <w:rPr>
          <w:rFonts w:eastAsia="Times New Roman"/>
          <w:bCs/>
          <w:szCs w:val="20"/>
          <w:lang w:eastAsia="sk-SK"/>
        </w:rPr>
      </w:pPr>
      <w:r w:rsidRPr="009827E5">
        <w:rPr>
          <w:rFonts w:eastAsia="Times New Roman"/>
          <w:bCs/>
          <w:szCs w:val="20"/>
          <w:lang w:eastAsia="sk-SK"/>
        </w:rPr>
        <w:t xml:space="preserve">     Ak sa vplyv týka viacerých subjektov verejnej správy, vypĺňa sa samostatná tabuľka za každý subjekt.</w:t>
      </w:r>
    </w:p>
    <w:p w:rsidR="00881C5D" w:rsidRPr="009827E5" w:rsidRDefault="00881C5D" w:rsidP="00881C5D">
      <w:pPr>
        <w:jc w:val="right"/>
        <w:rPr>
          <w:rFonts w:eastAsia="Times New Roman"/>
          <w:bCs/>
          <w:sz w:val="22"/>
          <w:szCs w:val="20"/>
          <w:lang w:eastAsia="sk-SK"/>
        </w:rPr>
      </w:pPr>
      <w:r w:rsidRPr="009827E5">
        <w:rPr>
          <w:rFonts w:eastAsia="Times New Roman"/>
          <w:bCs/>
          <w:sz w:val="22"/>
          <w:szCs w:val="20"/>
          <w:lang w:eastAsia="sk-SK"/>
        </w:rPr>
        <w:t>Tabuľka č. 4</w:t>
      </w:r>
    </w:p>
    <w:tbl>
      <w:tblPr>
        <w:tblpPr w:leftFromText="141" w:rightFromText="141" w:vertAnchor="text" w:horzAnchor="margin" w:tblpY="200"/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276"/>
        <w:gridCol w:w="1275"/>
        <w:gridCol w:w="1276"/>
        <w:gridCol w:w="1276"/>
        <w:gridCol w:w="2410"/>
      </w:tblGrid>
      <w:tr w:rsidR="00881C5D" w:rsidRPr="009827E5" w:rsidTr="00D64127">
        <w:trPr>
          <w:cantSplit/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881C5D" w:rsidRPr="009827E5" w:rsidTr="00D64127">
        <w:trPr>
          <w:cantSplit/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967C0A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2 821,29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967C0A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2 821,29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967C0A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2 821,29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5D" w:rsidRPr="009827E5" w:rsidRDefault="00967C0A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2 821,29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tabs>
                <w:tab w:val="center" w:pos="639"/>
              </w:tabs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9827E5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- RP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967C0A" w:rsidP="00967C0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</w:t>
            </w:r>
            <w:r w:rsidR="00881C5D" w:rsidRPr="009827E5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587</w:t>
            </w:r>
            <w:r w:rsidR="00881C5D" w:rsidRPr="009827E5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967C0A" w:rsidP="00967C0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</w:t>
            </w:r>
            <w:r w:rsidR="00881C5D" w:rsidRPr="009827E5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587</w:t>
            </w:r>
            <w:r w:rsidR="00881C5D" w:rsidRPr="009827E5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967C0A" w:rsidP="00967C0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</w:t>
            </w:r>
            <w:r w:rsidR="00881C5D" w:rsidRPr="009827E5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587</w:t>
            </w:r>
            <w:r w:rsidR="00881C5D" w:rsidRPr="009827E5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967C0A" w:rsidP="00967C0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</w:t>
            </w:r>
            <w:r w:rsidR="00881C5D" w:rsidRPr="009827E5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587</w:t>
            </w:r>
            <w:r w:rsidR="00881C5D" w:rsidRPr="009827E5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9827E5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- RP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233,63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233,63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233,63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233,63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9827E5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 xml:space="preserve">   Obstarávanie kapitálových aktív (710)</w:t>
            </w:r>
            <w:r w:rsidRPr="009827E5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 xml:space="preserve">   Kapitálové transfery (720)</w:t>
            </w:r>
            <w:r w:rsidRPr="009827E5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lastRenderedPageBreak/>
              <w:t>Dopad na výdavky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1C5D" w:rsidRPr="009827E5" w:rsidRDefault="00B43E70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2 821,29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1C5D" w:rsidRPr="009827E5" w:rsidRDefault="00B43E70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2 821,29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1C5D" w:rsidRPr="009827E5" w:rsidRDefault="00B43E70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2 821,29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1C5D" w:rsidRPr="009827E5" w:rsidRDefault="00B43E70" w:rsidP="00D64127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2 821,29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881C5D" w:rsidRPr="009827E5" w:rsidRDefault="00881C5D" w:rsidP="00881C5D">
      <w:pPr>
        <w:rPr>
          <w:rFonts w:eastAsia="Times New Roman"/>
          <w:bCs/>
          <w:sz w:val="20"/>
          <w:szCs w:val="20"/>
          <w:lang w:eastAsia="sk-SK"/>
        </w:rPr>
      </w:pPr>
      <w:r w:rsidRPr="009827E5">
        <w:rPr>
          <w:rFonts w:eastAsia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881C5D" w:rsidRPr="009827E5" w:rsidRDefault="00881C5D" w:rsidP="00881C5D">
      <w:pPr>
        <w:rPr>
          <w:rFonts w:eastAsia="Times New Roman"/>
          <w:bCs/>
          <w:sz w:val="20"/>
          <w:szCs w:val="20"/>
          <w:lang w:eastAsia="sk-SK"/>
        </w:rPr>
      </w:pPr>
    </w:p>
    <w:p w:rsidR="00881C5D" w:rsidRPr="009827E5" w:rsidRDefault="00881C5D" w:rsidP="00881C5D">
      <w:pPr>
        <w:jc w:val="both"/>
        <w:rPr>
          <w:rFonts w:eastAsia="Times New Roman"/>
          <w:b/>
          <w:bCs/>
          <w:sz w:val="20"/>
          <w:szCs w:val="20"/>
          <w:lang w:eastAsia="sk-SK"/>
        </w:rPr>
      </w:pPr>
      <w:r w:rsidRPr="009827E5">
        <w:rPr>
          <w:rFonts w:eastAsia="Times New Roman"/>
          <w:b/>
          <w:bCs/>
          <w:szCs w:val="20"/>
          <w:lang w:eastAsia="sk-SK"/>
        </w:rPr>
        <w:t>Poznámka:</w:t>
      </w:r>
    </w:p>
    <w:p w:rsidR="00881C5D" w:rsidRPr="009827E5" w:rsidRDefault="00881C5D" w:rsidP="00881C5D">
      <w:pPr>
        <w:jc w:val="both"/>
        <w:rPr>
          <w:rFonts w:eastAsia="Times New Roman"/>
          <w:bCs/>
          <w:szCs w:val="20"/>
          <w:lang w:eastAsia="sk-SK"/>
        </w:rPr>
      </w:pPr>
      <w:r w:rsidRPr="009827E5">
        <w:rPr>
          <w:rFonts w:eastAsia="Times New Roman"/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881C5D" w:rsidRPr="009827E5" w:rsidRDefault="00881C5D" w:rsidP="00881C5D">
      <w:pPr>
        <w:jc w:val="both"/>
        <w:rPr>
          <w:rFonts w:eastAsia="Times New Roman"/>
          <w:bCs/>
          <w:szCs w:val="20"/>
          <w:lang w:eastAsia="sk-SK"/>
        </w:rPr>
      </w:pPr>
    </w:p>
    <w:p w:rsidR="00881C5D" w:rsidRPr="009827E5" w:rsidRDefault="00881C5D" w:rsidP="00881C5D">
      <w:pPr>
        <w:jc w:val="both"/>
        <w:rPr>
          <w:rFonts w:eastAsia="Times New Roman"/>
          <w:bCs/>
          <w:u w:val="single"/>
          <w:lang w:eastAsia="sk-SK"/>
        </w:rPr>
      </w:pPr>
      <w:r w:rsidRPr="009827E5">
        <w:rPr>
          <w:rFonts w:eastAsia="Times New Roman"/>
          <w:bCs/>
          <w:u w:val="single"/>
          <w:lang w:eastAsia="sk-SK"/>
        </w:rPr>
        <w:t xml:space="preserve">Komentár k tabuľke č.4: </w:t>
      </w:r>
    </w:p>
    <w:p w:rsidR="00881C5D" w:rsidRPr="009827E5" w:rsidRDefault="00881C5D" w:rsidP="00881C5D">
      <w:pPr>
        <w:jc w:val="both"/>
        <w:rPr>
          <w:rFonts w:eastAsia="Times New Roman"/>
          <w:bCs/>
          <w:lang w:eastAsia="sk-SK"/>
        </w:rPr>
      </w:pPr>
      <w:r w:rsidRPr="009827E5">
        <w:rPr>
          <w:rFonts w:eastAsia="Times New Roman"/>
          <w:bCs/>
          <w:lang w:eastAsia="sk-SK"/>
        </w:rPr>
        <w:t xml:space="preserve">     Pri výpočte vplyvu na rozpočet verejnej správy vychádzalo </w:t>
      </w:r>
      <w:r w:rsidRPr="00496713">
        <w:rPr>
          <w:rFonts w:eastAsia="Times New Roman"/>
          <w:bCs/>
          <w:lang w:eastAsia="sk-SK"/>
        </w:rPr>
        <w:t>Ministerstvo obrany</w:t>
      </w:r>
      <w:r w:rsidRPr="009827E5">
        <w:rPr>
          <w:rFonts w:eastAsia="Times New Roman"/>
          <w:bCs/>
          <w:lang w:eastAsia="sk-SK"/>
        </w:rPr>
        <w:t xml:space="preserve"> S</w:t>
      </w:r>
      <w:r>
        <w:rPr>
          <w:rFonts w:eastAsia="Times New Roman"/>
          <w:bCs/>
          <w:lang w:eastAsia="sk-SK"/>
        </w:rPr>
        <w:t>lovenskej republiky</w:t>
      </w:r>
      <w:r w:rsidRPr="009827E5">
        <w:rPr>
          <w:rFonts w:eastAsia="Times New Roman"/>
          <w:bCs/>
          <w:lang w:eastAsia="sk-SK"/>
        </w:rPr>
        <w:t xml:space="preserve"> z nasledovných skutočností:</w:t>
      </w:r>
    </w:p>
    <w:p w:rsidR="00881C5D" w:rsidRPr="009827E5" w:rsidRDefault="00881C5D" w:rsidP="00881C5D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827E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Výdavky v EK 630 zahŕňajú výdavky na zavedenie vyplácania náhrady cestovných výdavkov na návštevu rodiny. Pri kalkulácii výdavkov sa vychádzalo z priemerných výdavkov na jedného profesionálneho vojaka podľa § 198 zákona č. 281/2015 Z. z. o štátnej službe profesionálnych vojakov a o zmene a doplnení niektorých zákonov v znení neskorších predpisov, kde priemerný výdavok na jedného profesionálneho vojaka na jednu cestu je 4,31 €, teda na jednu cestu na návštevu rodiny a späť celkom 8,62 € na jedného profesionálneho vojaka. Pri počte 150 vojakov DVP a pri možnosti absolvovať za 11 týždňov DVP celkom dve návštevy rodiny sú predpokladané náklady vo výške </w:t>
      </w:r>
      <w:r w:rsidR="00967C0A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Pr="009827E5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967C0A">
        <w:rPr>
          <w:rFonts w:ascii="Times New Roman" w:eastAsia="Times New Roman" w:hAnsi="Times New Roman"/>
          <w:bCs/>
          <w:sz w:val="24"/>
          <w:szCs w:val="24"/>
          <w:lang w:eastAsia="sk-SK"/>
        </w:rPr>
        <w:t>587</w:t>
      </w:r>
      <w:r w:rsidRPr="009827E5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967C0A">
        <w:rPr>
          <w:rFonts w:ascii="Times New Roman" w:eastAsia="Times New Roman" w:hAnsi="Times New Roman"/>
          <w:bCs/>
          <w:sz w:val="24"/>
          <w:szCs w:val="24"/>
          <w:lang w:eastAsia="sk-SK"/>
        </w:rPr>
        <w:t>66</w:t>
      </w:r>
      <w:r w:rsidRPr="009827E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 ročne.</w:t>
      </w:r>
    </w:p>
    <w:p w:rsidR="00881C5D" w:rsidRPr="009827E5" w:rsidRDefault="00881C5D" w:rsidP="00881C5D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827E5">
        <w:rPr>
          <w:rFonts w:ascii="Times New Roman" w:eastAsia="Times New Roman" w:hAnsi="Times New Roman"/>
          <w:bCs/>
          <w:sz w:val="24"/>
          <w:szCs w:val="24"/>
          <w:lang w:eastAsia="sk-SK"/>
        </w:rPr>
        <w:t>Výdavky v EK 640 zahŕňajú výdavky na vyhotovenie osobnej identifikačnej karty. Náklady na vyhotovenie jednej osobnej identifikačnej karty sú vo výške 1,56 € na jednu osobnú identifikačnú kartu, čo pri počte 150 vojakov DVP je celkom 233,63 € ročne.</w:t>
      </w:r>
    </w:p>
    <w:p w:rsidR="00881C5D" w:rsidRPr="009827E5" w:rsidRDefault="00881C5D" w:rsidP="00881C5D">
      <w:pPr>
        <w:jc w:val="both"/>
        <w:rPr>
          <w:rFonts w:eastAsia="Times New Roman"/>
          <w:bCs/>
          <w:lang w:eastAsia="sk-SK"/>
        </w:rPr>
      </w:pPr>
    </w:p>
    <w:p w:rsidR="00881C5D" w:rsidRPr="009827E5" w:rsidRDefault="00881C5D" w:rsidP="00881C5D">
      <w:pPr>
        <w:spacing w:after="240"/>
        <w:jc w:val="right"/>
        <w:rPr>
          <w:rFonts w:eastAsia="Times New Roman"/>
          <w:bCs/>
          <w:sz w:val="22"/>
          <w:szCs w:val="22"/>
          <w:lang w:eastAsia="sk-SK"/>
        </w:rPr>
      </w:pPr>
      <w:r w:rsidRPr="009827E5">
        <w:rPr>
          <w:rFonts w:eastAsia="Times New Roman"/>
          <w:bCs/>
          <w:sz w:val="22"/>
          <w:szCs w:val="22"/>
          <w:lang w:eastAsia="sk-SK"/>
        </w:rPr>
        <w:t>Tabuľka č. 5</w:t>
      </w:r>
    </w:p>
    <w:tbl>
      <w:tblPr>
        <w:tblpPr w:leftFromText="141" w:rightFromText="141" w:vertAnchor="text" w:horzAnchor="margin" w:tblpXSpec="center" w:tblpY="32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5"/>
        <w:gridCol w:w="1275"/>
        <w:gridCol w:w="1560"/>
        <w:gridCol w:w="1559"/>
        <w:gridCol w:w="1417"/>
        <w:gridCol w:w="1816"/>
      </w:tblGrid>
      <w:tr w:rsidR="00881C5D" w:rsidRPr="009827E5" w:rsidTr="00D64127">
        <w:trPr>
          <w:cantSplit/>
          <w:trHeight w:val="255"/>
        </w:trPr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881C5D" w:rsidRPr="009827E5" w:rsidTr="00D64127">
        <w:trPr>
          <w:cantSplit/>
          <w:trHeight w:val="255"/>
        </w:trPr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 </w:t>
            </w: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  z toho vplyv na 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5D" w:rsidRPr="009827E5" w:rsidRDefault="00881C5D" w:rsidP="00D64127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 </w:t>
            </w: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  z toho vplyv na 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 </w:t>
            </w: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  z toho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 </w:t>
            </w: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81C5D" w:rsidRPr="009827E5" w:rsidTr="00D64127">
        <w:trPr>
          <w:trHeight w:val="255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  z toho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5D" w:rsidRPr="009827E5" w:rsidRDefault="00881C5D" w:rsidP="00D64127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827E5">
              <w:rPr>
                <w:rFonts w:eastAsia="Times New Roman"/>
                <w:b/>
                <w:sz w:val="20"/>
                <w:szCs w:val="20"/>
                <w:lang w:eastAsia="sk-SK"/>
              </w:rPr>
              <w:t> </w:t>
            </w:r>
          </w:p>
        </w:tc>
      </w:tr>
    </w:tbl>
    <w:p w:rsidR="00881C5D" w:rsidRPr="009827E5" w:rsidRDefault="00881C5D" w:rsidP="00881C5D">
      <w:pPr>
        <w:spacing w:line="259" w:lineRule="auto"/>
      </w:pPr>
    </w:p>
    <w:p w:rsidR="00881C5D" w:rsidRPr="009827E5" w:rsidRDefault="00881C5D" w:rsidP="00881C5D">
      <w:pPr>
        <w:spacing w:line="259" w:lineRule="auto"/>
      </w:pPr>
      <w:r w:rsidRPr="009827E5">
        <w:rPr>
          <w:rFonts w:eastAsia="Times New Roman"/>
          <w:b/>
          <w:bCs/>
          <w:lang w:eastAsia="sk-SK"/>
        </w:rPr>
        <w:t>Poznámky:</w:t>
      </w:r>
    </w:p>
    <w:p w:rsidR="00881C5D" w:rsidRPr="009827E5" w:rsidRDefault="00881C5D" w:rsidP="00881C5D">
      <w:pPr>
        <w:spacing w:line="259" w:lineRule="auto"/>
        <w:jc w:val="both"/>
        <w:rPr>
          <w:rFonts w:eastAsia="Times New Roman"/>
          <w:bCs/>
          <w:lang w:eastAsia="sk-SK"/>
        </w:rPr>
      </w:pPr>
      <w:r w:rsidRPr="009827E5">
        <w:rPr>
          <w:rFonts w:eastAsia="Times New Roman"/>
          <w:bCs/>
          <w:lang w:eastAsia="sk-SK"/>
        </w:rPr>
        <w:lastRenderedPageBreak/>
        <w:t xml:space="preserve">     Ak sa vplyv týka viacerých subjektov verejnej správy, vypĺňa sa samostatná tabuľka za každý subjekt. Ak sa týka rôznych skupín zamestnancov, je potrebné počty, mzdy a poistné rozpísať samostatne podľa spôsobu odmeňovania (napr. policajti, colníci ...). </w:t>
      </w:r>
    </w:p>
    <w:p w:rsidR="00881C5D" w:rsidRDefault="00881C5D" w:rsidP="00881C5D">
      <w:pPr>
        <w:spacing w:line="259" w:lineRule="auto"/>
        <w:jc w:val="both"/>
        <w:rPr>
          <w:rFonts w:eastAsia="Times New Roman"/>
          <w:lang w:eastAsia="sk-SK"/>
        </w:rPr>
      </w:pPr>
      <w:r w:rsidRPr="009827E5">
        <w:rPr>
          <w:rFonts w:eastAsia="Times New Roman"/>
          <w:lang w:eastAsia="sk-SK"/>
        </w:rPr>
        <w:t>Priemerný mzdový výdavok je tvorený podielom mzdových výdavkov na jedného zamestnanca na jeden kalendárny mesiac bežného roka. Kategórie 610 a 620 sú z tejto prílohy prenášané do príslušn</w:t>
      </w:r>
      <w:r>
        <w:rPr>
          <w:rFonts w:eastAsia="Times New Roman"/>
          <w:lang w:eastAsia="sk-SK"/>
        </w:rPr>
        <w:t>ých kategórií prílohy „výdavk</w:t>
      </w:r>
      <w:r w:rsidR="007E75DA">
        <w:rPr>
          <w:rFonts w:eastAsia="Times New Roman"/>
          <w:lang w:eastAsia="sk-SK"/>
        </w:rPr>
        <w:t>y“.</w:t>
      </w:r>
    </w:p>
    <w:p w:rsidR="00C4313A" w:rsidRDefault="00C4313A" w:rsidP="00881C5D">
      <w:pPr>
        <w:spacing w:line="259" w:lineRule="auto"/>
        <w:jc w:val="both"/>
        <w:rPr>
          <w:rFonts w:eastAsia="Times New Roman"/>
          <w:lang w:eastAsia="sk-SK"/>
        </w:rPr>
      </w:pPr>
    </w:p>
    <w:p w:rsidR="00C4313A" w:rsidRDefault="00C4313A">
      <w:pPr>
        <w:spacing w:after="160" w:line="259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br w:type="page"/>
      </w:r>
    </w:p>
    <w:p w:rsidR="00271132" w:rsidRDefault="00271132">
      <w:pPr>
        <w:spacing w:after="160" w:line="259" w:lineRule="auto"/>
        <w:rPr>
          <w:rFonts w:eastAsia="Times New Roman"/>
          <w:lang w:eastAsia="sk-SK"/>
        </w:rPr>
        <w:sectPr w:rsidR="00271132" w:rsidSect="00D641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7"/>
        <w:gridCol w:w="4687"/>
      </w:tblGrid>
      <w:tr w:rsidR="00271132" w:rsidTr="00D3629F">
        <w:trPr>
          <w:trHeight w:val="5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1132" w:rsidRDefault="00271132" w:rsidP="00D3629F">
            <w:pPr>
              <w:jc w:val="center"/>
              <w:rPr>
                <w:b/>
                <w:lang w:eastAsia="sk-SK"/>
              </w:rPr>
            </w:pPr>
            <w:r>
              <w:rPr>
                <w:b/>
                <w:sz w:val="28"/>
                <w:lang w:eastAsia="sk-SK"/>
              </w:rPr>
              <w:lastRenderedPageBreak/>
              <w:t>Analýza sociálnych vplyvov</w:t>
            </w:r>
          </w:p>
          <w:p w:rsidR="00271132" w:rsidRDefault="00271132" w:rsidP="00D3629F">
            <w:pPr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71132" w:rsidTr="00D3629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32" w:rsidRDefault="00271132" w:rsidP="00D3629F">
            <w:pPr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  <w:tr w:rsidR="00271132" w:rsidTr="00D3629F">
        <w:trPr>
          <w:trHeight w:val="7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shd w:val="clear" w:color="auto" w:fill="F2F2F2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71132" w:rsidRDefault="00271132" w:rsidP="00D3629F">
            <w:pPr>
              <w:shd w:val="clear" w:color="auto" w:fill="F2F2F2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71132" w:rsidRDefault="00271132" w:rsidP="00D3629F">
            <w:pPr>
              <w:shd w:val="clear" w:color="auto" w:fill="F2F2F2"/>
              <w:rPr>
                <w:rFonts w:ascii="Calibri" w:eastAsia="Times New Roman" w:hAnsi="Calibri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271132" w:rsidRPr="00B60D59" w:rsidTr="00D3629F"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1132" w:rsidRPr="00B60D59" w:rsidRDefault="00271132" w:rsidP="00B04833">
            <w:pPr>
              <w:jc w:val="both"/>
              <w:rPr>
                <w:sz w:val="20"/>
                <w:szCs w:val="20"/>
                <w:lang w:eastAsia="sk-SK"/>
              </w:rPr>
            </w:pPr>
            <w:r w:rsidRPr="00B60D59">
              <w:rPr>
                <w:sz w:val="20"/>
                <w:szCs w:val="20"/>
                <w:lang w:eastAsia="sk-SK"/>
              </w:rPr>
              <w:t>Návrh zákona, ktorým sa mení a dopĺňa zákon č. 321/2002 Z. z. o ozbrojených silách Slovenskej republiky v znení neskorších predpisov a</w:t>
            </w:r>
            <w:r w:rsidR="00B04833">
              <w:rPr>
                <w:sz w:val="20"/>
                <w:szCs w:val="20"/>
                <w:lang w:eastAsia="sk-SK"/>
              </w:rPr>
              <w:t> kto</w:t>
            </w:r>
            <w:r w:rsidR="004B51A6">
              <w:rPr>
                <w:sz w:val="20"/>
                <w:szCs w:val="20"/>
                <w:lang w:eastAsia="sk-SK"/>
              </w:rPr>
              <w:t>rým sa menia a dopĺňajú niektoré</w:t>
            </w:r>
            <w:bookmarkStart w:id="0" w:name="_GoBack"/>
            <w:bookmarkEnd w:id="0"/>
            <w:r w:rsidR="00B04833">
              <w:rPr>
                <w:sz w:val="20"/>
                <w:szCs w:val="20"/>
                <w:lang w:eastAsia="sk-SK"/>
              </w:rPr>
              <w:t xml:space="preserve"> zákony</w:t>
            </w:r>
            <w:r w:rsidRPr="00B60D59">
              <w:rPr>
                <w:sz w:val="20"/>
                <w:szCs w:val="20"/>
                <w:lang w:eastAsia="sk-SK"/>
              </w:rPr>
              <w:t xml:space="preserve"> (ďalej len „návrh zákona“) v čl. IV. novelizuje zákon č. 378/2015 Z. z. o dobrovoľnej vojenskej príprave a o zmene a doplnení niektorých zákonov v znení neskorších predpisov. Návrh zákona prostredníctvom zníženia cestovných výdavkov pri návšteve rodiny počas výkonu dobrovoľnej vojenskej prípravy má pozitívny vplyv na hospodárenie domácnosti vojakov dobrovoľnej vojenskej prípravy. </w:t>
            </w:r>
          </w:p>
        </w:tc>
      </w:tr>
      <w:tr w:rsidR="00271132" w:rsidRPr="00B60D59" w:rsidTr="00D3629F">
        <w:trPr>
          <w:trHeight w:val="446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Pr="00B60D59" w:rsidRDefault="00271132" w:rsidP="008F1D21">
            <w:pPr>
              <w:rPr>
                <w:sz w:val="20"/>
                <w:szCs w:val="20"/>
                <w:lang w:eastAsia="sk-SK"/>
              </w:rPr>
            </w:pPr>
            <w:r w:rsidRPr="00B60D59">
              <w:rPr>
                <w:sz w:val="20"/>
                <w:szCs w:val="20"/>
                <w:lang w:eastAsia="sk-SK"/>
              </w:rPr>
              <w:t>Vojaci dobrovoľnej vojenskej prípravy</w:t>
            </w:r>
            <w:r w:rsidR="008F1D21">
              <w:rPr>
                <w:sz w:val="20"/>
                <w:szCs w:val="20"/>
                <w:lang w:eastAsia="sk-SK"/>
              </w:rPr>
              <w:t>.</w:t>
            </w:r>
          </w:p>
        </w:tc>
      </w:tr>
      <w:tr w:rsidR="00271132" w:rsidRPr="00B60D59" w:rsidTr="00D3629F"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1132" w:rsidRPr="00B60D59" w:rsidRDefault="00271132" w:rsidP="00D3629F">
            <w:pPr>
              <w:rPr>
                <w:sz w:val="20"/>
                <w:szCs w:val="20"/>
                <w:lang w:eastAsia="sk-SK"/>
              </w:rPr>
            </w:pPr>
            <w:r w:rsidRPr="00B60D59">
              <w:rPr>
                <w:sz w:val="20"/>
                <w:szCs w:val="20"/>
                <w:lang w:eastAsia="sk-SK"/>
              </w:rPr>
              <w:t>Bez negatívneho vplyvu.</w:t>
            </w:r>
          </w:p>
        </w:tc>
      </w:tr>
      <w:tr w:rsidR="00271132" w:rsidRPr="00B60D59" w:rsidTr="00D3629F">
        <w:trPr>
          <w:trHeight w:val="496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Pr="00B60D59" w:rsidRDefault="00271132" w:rsidP="00D3629F">
            <w:pPr>
              <w:jc w:val="both"/>
              <w:rPr>
                <w:sz w:val="20"/>
                <w:szCs w:val="20"/>
                <w:lang w:eastAsia="sk-SK"/>
              </w:rPr>
            </w:pPr>
            <w:r w:rsidRPr="00B60D59">
              <w:rPr>
                <w:sz w:val="20"/>
                <w:szCs w:val="20"/>
                <w:lang w:eastAsia="sk-SK"/>
              </w:rPr>
              <w:t>Návrhom zákona nie sú negatívne ovplyvnené žiadne skupiny.</w:t>
            </w:r>
          </w:p>
        </w:tc>
      </w:tr>
      <w:tr w:rsidR="00271132" w:rsidRPr="00B60D59" w:rsidTr="00D3629F">
        <w:trPr>
          <w:trHeight w:val="50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132" w:rsidRDefault="00271132" w:rsidP="00D3629F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132" w:rsidRPr="00B60D59" w:rsidRDefault="00271132" w:rsidP="00D3629F">
            <w:pPr>
              <w:jc w:val="both"/>
              <w:rPr>
                <w:sz w:val="20"/>
                <w:szCs w:val="20"/>
                <w:lang w:eastAsia="sk-SK"/>
              </w:rPr>
            </w:pPr>
            <w:r w:rsidRPr="00B60D59">
              <w:rPr>
                <w:sz w:val="20"/>
                <w:szCs w:val="20"/>
                <w:lang w:eastAsia="sk-SK"/>
              </w:rPr>
              <w:t>Návrhom zákona nie sú ovplyvnené žiadne skupiny v riziku chudoby alebo sociálneho vylúčenia.</w:t>
            </w:r>
          </w:p>
        </w:tc>
      </w:tr>
      <w:tr w:rsidR="00271132" w:rsidTr="00D3629F">
        <w:trPr>
          <w:trHeight w:val="6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71132" w:rsidRDefault="00271132" w:rsidP="00D3629F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71132" w:rsidRDefault="00271132" w:rsidP="00D3629F">
            <w:pPr>
              <w:tabs>
                <w:tab w:val="left" w:pos="3505"/>
              </w:tabs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271132" w:rsidTr="00D362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b/>
                <w:i/>
                <w:sz w:val="20"/>
                <w:szCs w:val="20"/>
                <w:lang w:eastAsia="sk-SK"/>
              </w:rPr>
              <w:t xml:space="preserve">Ovplyvnená skupina: </w:t>
            </w:r>
          </w:p>
        </w:tc>
      </w:tr>
      <w:tr w:rsidR="00844284" w:rsidRPr="00844284" w:rsidTr="00D3629F"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271132" w:rsidRDefault="00271132" w:rsidP="00D3629F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271132" w:rsidRPr="00844284" w:rsidRDefault="00271132" w:rsidP="00303C5F">
            <w:pPr>
              <w:jc w:val="both"/>
              <w:rPr>
                <w:rFonts w:eastAsia="Times New Roman"/>
                <w:bCs/>
                <w:sz w:val="20"/>
                <w:lang w:eastAsia="sk-SK"/>
              </w:rPr>
            </w:pPr>
            <w:r w:rsidRPr="00844284">
              <w:rPr>
                <w:sz w:val="20"/>
                <w:szCs w:val="20"/>
                <w:lang w:eastAsia="sk-SK"/>
              </w:rPr>
              <w:t xml:space="preserve">Návrhom zákona dôjde k poklesu výdavkov vojakov dobrovoľnej vojenskej prípravy v dôsledku náhrady preukázaných cestovných výdavkov spojených s návštevou rodiny. </w:t>
            </w:r>
            <w:r w:rsidRPr="00844284">
              <w:rPr>
                <w:rFonts w:eastAsia="Times New Roman"/>
                <w:bCs/>
                <w:sz w:val="20"/>
                <w:lang w:eastAsia="sk-SK"/>
              </w:rPr>
              <w:t>Pri počte 150 vojakov dobrovoľnej vojenskej prípravy</w:t>
            </w:r>
            <w:r w:rsidR="00BD3D66">
              <w:rPr>
                <w:rFonts w:eastAsia="Times New Roman"/>
                <w:bCs/>
                <w:sz w:val="20"/>
                <w:lang w:eastAsia="sk-SK"/>
              </w:rPr>
              <w:t xml:space="preserve"> a pri možnosti absolvovať za 11 týždňov  dobrovoľnej vojenskej prípravy  celkom dve návštevy rodiny </w:t>
            </w:r>
            <w:r w:rsidRPr="00844284">
              <w:rPr>
                <w:rFonts w:eastAsia="Times New Roman"/>
                <w:bCs/>
                <w:sz w:val="20"/>
                <w:lang w:eastAsia="sk-SK"/>
              </w:rPr>
              <w:t xml:space="preserve">sú odhadované náklady na náhradu cestovných výdavkov vo výške  </w:t>
            </w:r>
            <w:r w:rsidR="00303C5F" w:rsidRPr="00844284">
              <w:rPr>
                <w:rFonts w:eastAsia="Times New Roman"/>
                <w:bCs/>
                <w:sz w:val="20"/>
                <w:lang w:eastAsia="sk-SK"/>
              </w:rPr>
              <w:t>2 587,66</w:t>
            </w:r>
            <w:r w:rsidRPr="00844284">
              <w:rPr>
                <w:rFonts w:eastAsia="Times New Roman"/>
                <w:bCs/>
                <w:sz w:val="20"/>
                <w:lang w:eastAsia="sk-SK"/>
              </w:rPr>
              <w:t xml:space="preserve"> € ročne. Pri kalkulácii nákladov sa vychádzalo z priemerných výdavkov na jedného profesionálneho vojaka podľa § 198 zákona č. 281/2015 Z. z. o štátnej službe profesionálnych vojakov a o zmene a doplnení niektorých zákonov v znení neskorších predpisov, kde priemerný výdavok na jedného profesionálneho vojaka </w:t>
            </w:r>
            <w:r w:rsidR="009A434D" w:rsidRPr="00844284">
              <w:rPr>
                <w:rFonts w:eastAsia="Times New Roman"/>
                <w:bCs/>
                <w:sz w:val="20"/>
                <w:lang w:eastAsia="sk-SK"/>
              </w:rPr>
              <w:t xml:space="preserve">a </w:t>
            </w:r>
            <w:r w:rsidRPr="00844284">
              <w:rPr>
                <w:rFonts w:eastAsia="Times New Roman"/>
                <w:bCs/>
                <w:sz w:val="20"/>
                <w:lang w:eastAsia="sk-SK"/>
              </w:rPr>
              <w:t xml:space="preserve">jednu cestu </w:t>
            </w:r>
            <w:r w:rsidR="009A434D" w:rsidRPr="00844284">
              <w:rPr>
                <w:rFonts w:eastAsia="Times New Roman"/>
                <w:bCs/>
                <w:sz w:val="20"/>
                <w:lang w:eastAsia="sk-SK"/>
              </w:rPr>
              <w:t>na návštevu rodiny predstavuje</w:t>
            </w:r>
            <w:r w:rsidRPr="00844284">
              <w:rPr>
                <w:rFonts w:eastAsia="Times New Roman"/>
                <w:bCs/>
                <w:sz w:val="20"/>
                <w:lang w:eastAsia="sk-SK"/>
              </w:rPr>
              <w:t xml:space="preserve"> sumu 4,31 €, teda na jednu cestu tam a späť celkom 8,62 €. </w:t>
            </w:r>
          </w:p>
        </w:tc>
      </w:tr>
      <w:tr w:rsidR="00271132" w:rsidTr="00D362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271132" w:rsidRDefault="00271132" w:rsidP="00D3629F">
            <w:pPr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71132" w:rsidRDefault="00271132" w:rsidP="00D3629F">
            <w:pPr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271132" w:rsidTr="00D362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Počet dotknutých obyvateľov vychádza z počtu vojakov dobrovoľnej vojenskej prípravy, ktorí absolvujú dobrovoľnú vojenskú prípravu a ich rodín. </w:t>
            </w:r>
          </w:p>
        </w:tc>
      </w:tr>
      <w:tr w:rsidR="00271132" w:rsidTr="00D3629F">
        <w:trPr>
          <w:trHeight w:val="33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32" w:rsidRDefault="00271132" w:rsidP="00D3629F">
            <w:pPr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271132" w:rsidTr="00D3629F">
        <w:trPr>
          <w:trHeight w:val="29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jc w:val="both"/>
              <w:rPr>
                <w:i/>
                <w:sz w:val="20"/>
                <w:lang w:eastAsia="sk-SK"/>
              </w:rPr>
            </w:pPr>
            <w:r>
              <w:rPr>
                <w:i/>
                <w:sz w:val="20"/>
                <w:lang w:eastAsia="sk-SK"/>
              </w:rPr>
              <w:t xml:space="preserve">Má návrh vplyv na prístup k zdrojom, právam, tovarom a službám? </w:t>
            </w:r>
          </w:p>
          <w:p w:rsidR="00271132" w:rsidRDefault="00271132" w:rsidP="00D3629F">
            <w:pPr>
              <w:jc w:val="both"/>
              <w:rPr>
                <w:rFonts w:ascii="Calibri" w:hAnsi="Calibri"/>
                <w:i/>
                <w:lang w:eastAsia="sk-SK"/>
              </w:rPr>
            </w:pPr>
            <w:r>
              <w:rPr>
                <w:i/>
                <w:sz w:val="20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271132" w:rsidTr="00D3629F">
        <w:trPr>
          <w:trHeight w:val="55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doprave,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informáciám</w:t>
            </w:r>
          </w:p>
          <w:p w:rsidR="00271132" w:rsidRDefault="00271132" w:rsidP="00D3629F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Návrh zákona nemá vplyv na prístup k zdrojom, právam, tovarom a službám.</w:t>
            </w:r>
          </w:p>
        </w:tc>
      </w:tr>
      <w:tr w:rsidR="00271132" w:rsidTr="00D3629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271132" w:rsidRDefault="00271132" w:rsidP="00D3629F">
            <w:pPr>
              <w:jc w:val="both"/>
              <w:rPr>
                <w:rFonts w:ascii="Calibri" w:eastAsia="Times New Roman" w:hAnsi="Calibri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271132" w:rsidTr="00D3629F">
        <w:trPr>
          <w:trHeight w:val="242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deti (0 – 17),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Návrh zákona nemá vplyv na žiadnu zo zraniteľných skupín obyvateľstva alebo skupín v riziku chudoby alebo sociálneho vylúčenia.</w:t>
            </w:r>
          </w:p>
        </w:tc>
      </w:tr>
      <w:tr w:rsidR="00271132" w:rsidTr="00D3629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32" w:rsidRDefault="00271132" w:rsidP="00D3629F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4.3 Identifikujte a popíšte vplyv na rovnosť príležitostí.</w:t>
            </w:r>
          </w:p>
          <w:p w:rsidR="00271132" w:rsidRDefault="00271132" w:rsidP="00D3629F">
            <w:pPr>
              <w:jc w:val="both"/>
              <w:rPr>
                <w:rFonts w:ascii="Calibri" w:eastAsia="Times New Roman" w:hAnsi="Calibri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Identifikujte, popíšte a kvantifikujte vplyv na rodovú rovnosť.</w:t>
            </w:r>
          </w:p>
        </w:tc>
      </w:tr>
      <w:tr w:rsidR="00271132" w:rsidTr="00D3629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271132" w:rsidTr="00D3629F">
        <w:trPr>
          <w:trHeight w:val="29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spacing w:before="120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Návrh zákona dodržuje povinnosť rovnakého zaobchádzania.</w:t>
            </w:r>
          </w:p>
        </w:tc>
      </w:tr>
      <w:tr w:rsidR="00271132" w:rsidTr="00D3629F">
        <w:trPr>
          <w:trHeight w:val="34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1132" w:rsidRDefault="00271132" w:rsidP="00D3629F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271132" w:rsidTr="00D3629F">
        <w:trPr>
          <w:trHeight w:val="123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32" w:rsidRDefault="00271132" w:rsidP="00D3629F">
            <w:p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271132" w:rsidRDefault="00271132" w:rsidP="00D3629F">
            <w:pPr>
              <w:numPr>
                <w:ilvl w:val="0"/>
                <w:numId w:val="21"/>
              </w:numPr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Návrh zákona nemá odlišný vplyv na ženy a mužov.</w:t>
            </w:r>
          </w:p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</w:p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</w:p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</w:p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</w:p>
        </w:tc>
      </w:tr>
      <w:tr w:rsidR="00271132" w:rsidTr="00D3629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32" w:rsidRDefault="00271132" w:rsidP="00D3629F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4.4 Identifikujte, popíšte a kvantifikujte vplyvy na zamestnanosť a na trh práce.</w:t>
            </w:r>
          </w:p>
          <w:p w:rsidR="00271132" w:rsidRDefault="00271132" w:rsidP="00D3629F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V prípade kladnej odpovede pripojte </w:t>
            </w:r>
            <w:r>
              <w:rPr>
                <w:rFonts w:eastAsia="Times New Roman"/>
                <w:b/>
                <w:i/>
                <w:sz w:val="20"/>
                <w:szCs w:val="20"/>
                <w:lang w:eastAsia="sk-SK"/>
              </w:rPr>
              <w:t>odôvodnenie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v súlade s Metodickým postupom pre analýzu sociálnych vplyvov.</w:t>
            </w:r>
          </w:p>
        </w:tc>
      </w:tr>
      <w:tr w:rsidR="00271132" w:rsidTr="00D3629F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Uľahčuje návrh vznik nových pracovných miest? Ak áno, ako? Ak je to možné, doplňte kvantifikáciu.</w:t>
            </w:r>
          </w:p>
        </w:tc>
      </w:tr>
      <w:tr w:rsidR="00271132" w:rsidTr="00D3629F">
        <w:trPr>
          <w:trHeight w:val="56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sz w:val="20"/>
                <w:szCs w:val="18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Návrh zákona </w:t>
            </w:r>
            <w:r>
              <w:rPr>
                <w:sz w:val="20"/>
                <w:szCs w:val="18"/>
                <w:lang w:eastAsia="sk-SK"/>
              </w:rPr>
              <w:t>nemá vplyv na vznik nových pracovných miest.</w:t>
            </w:r>
          </w:p>
        </w:tc>
      </w:tr>
      <w:tr w:rsidR="00271132" w:rsidTr="00D3629F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rPr>
                <w:i/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Vedie návrh k zániku pracovných miest?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i/>
                <w:sz w:val="20"/>
                <w:szCs w:val="20"/>
                <w:lang w:eastAsia="sk-SK"/>
              </w:rPr>
              <w:t>Ak áno, ako a akých? Ak je to možné, doplňte kvantifikáciu.</w:t>
            </w:r>
          </w:p>
        </w:tc>
      </w:tr>
      <w:tr w:rsidR="00271132" w:rsidTr="00D3629F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sz w:val="20"/>
                <w:szCs w:val="18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Návrh zákona </w:t>
            </w:r>
            <w:r>
              <w:rPr>
                <w:sz w:val="20"/>
                <w:szCs w:val="18"/>
                <w:lang w:eastAsia="sk-SK"/>
              </w:rPr>
              <w:t>nevedie k zániku pracovných miest.</w:t>
            </w:r>
          </w:p>
        </w:tc>
      </w:tr>
      <w:tr w:rsidR="00271132" w:rsidTr="00D3629F"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Ovplyvňuje návrh dopyt po práci?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i/>
                <w:sz w:val="20"/>
                <w:szCs w:val="20"/>
                <w:lang w:eastAsia="sk-SK"/>
              </w:rPr>
              <w:t>Ak áno, ako?</w:t>
            </w:r>
          </w:p>
        </w:tc>
      </w:tr>
      <w:tr w:rsidR="00271132" w:rsidTr="00D3629F">
        <w:trPr>
          <w:trHeight w:val="20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6D3C09">
            <w:pPr>
              <w:jc w:val="both"/>
              <w:rPr>
                <w:sz w:val="20"/>
                <w:szCs w:val="18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Náhrada cestovných výdavkov vojakom dobrovoľnej vojenskej prípravy pri návšteve rodiny počas výkonu dobrovoľnej vojenskej príprav</w:t>
            </w:r>
            <w:r w:rsidR="006D3C09">
              <w:rPr>
                <w:sz w:val="20"/>
                <w:szCs w:val="20"/>
                <w:lang w:eastAsia="sk-SK"/>
              </w:rPr>
              <w:t>y vytvára predpoklady pre zvýšenie</w:t>
            </w:r>
            <w:r>
              <w:rPr>
                <w:sz w:val="20"/>
                <w:szCs w:val="20"/>
                <w:lang w:eastAsia="sk-SK"/>
              </w:rPr>
              <w:t xml:space="preserve"> záujmu mladých ľudí o dobrovoľnú vojenskú prípravu.</w:t>
            </w:r>
          </w:p>
        </w:tc>
      </w:tr>
      <w:tr w:rsidR="00271132" w:rsidTr="00D3629F"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Má návrh dosah na fungovanie trhu práce?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i/>
                <w:sz w:val="20"/>
                <w:szCs w:val="20"/>
                <w:lang w:eastAsia="sk-SK"/>
              </w:rPr>
              <w:t>Ak áno, aký?</w:t>
            </w:r>
          </w:p>
        </w:tc>
      </w:tr>
      <w:tr w:rsidR="00271132" w:rsidTr="00D3629F">
        <w:trPr>
          <w:trHeight w:val="79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Týka sa makroekonomických dosahov ako je napr. participácia na trhu práce, dlhodobá nezamestnanosť, regionálne rozdiely v mierach zamestnanosti.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  <w:r>
              <w:rPr>
                <w:i/>
                <w:sz w:val="18"/>
                <w:szCs w:val="18"/>
                <w:lang w:eastAsia="sk-SK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jc w:val="both"/>
              <w:rPr>
                <w:sz w:val="20"/>
                <w:szCs w:val="18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Opatrenia zamerané na zvýšenie záujmu o vykonanie dob</w:t>
            </w:r>
            <w:r w:rsidR="006D3C09">
              <w:rPr>
                <w:sz w:val="20"/>
                <w:szCs w:val="20"/>
                <w:lang w:eastAsia="sk-SK"/>
              </w:rPr>
              <w:t>rovoľnej vojenskej prípravy môžu</w:t>
            </w:r>
            <w:r>
              <w:rPr>
                <w:sz w:val="20"/>
                <w:szCs w:val="20"/>
                <w:lang w:eastAsia="sk-SK"/>
              </w:rPr>
              <w:t xml:space="preserve"> synergicky viesť k zvýšeniu záujmu o službu v ozbrojených silách Slovenskej republiky.</w:t>
            </w:r>
          </w:p>
        </w:tc>
      </w:tr>
      <w:tr w:rsidR="00271132" w:rsidTr="00D3629F"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Má návrh špecifické negatívne dôsledky pre isté skupiny profesií, skupín zamestnancov či živnostníkov?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i/>
                <w:sz w:val="20"/>
                <w:szCs w:val="20"/>
                <w:lang w:eastAsia="sk-SK"/>
              </w:rPr>
              <w:t>Ak áno, aké a pre ktoré skupiny?</w:t>
            </w:r>
          </w:p>
        </w:tc>
      </w:tr>
      <w:tr w:rsidR="00271132" w:rsidTr="00D3629F">
        <w:trPr>
          <w:trHeight w:val="21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sz w:val="20"/>
                <w:szCs w:val="18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Návrh zákona </w:t>
            </w:r>
            <w:r>
              <w:rPr>
                <w:sz w:val="20"/>
                <w:szCs w:val="18"/>
                <w:lang w:eastAsia="sk-SK"/>
              </w:rPr>
              <w:t>nemá špecifické negatívne dôsledky.</w:t>
            </w:r>
          </w:p>
        </w:tc>
      </w:tr>
      <w:tr w:rsidR="00271132" w:rsidTr="00D3629F"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1132" w:rsidRDefault="00271132" w:rsidP="00D3629F">
            <w:pPr>
              <w:rPr>
                <w:sz w:val="20"/>
                <w:szCs w:val="20"/>
                <w:lang w:eastAsia="sk-SK"/>
              </w:rPr>
            </w:pPr>
            <w:r>
              <w:rPr>
                <w:i/>
                <w:sz w:val="20"/>
                <w:szCs w:val="20"/>
                <w:lang w:eastAsia="sk-SK"/>
              </w:rPr>
              <w:t>Ovplyvňuje návrh špecifické vekové skupiny zamestnancov? Ak áno, aké? Akým spôsobom?</w:t>
            </w:r>
          </w:p>
        </w:tc>
      </w:tr>
      <w:tr w:rsidR="00271132" w:rsidTr="00D362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rPr>
                <w:i/>
                <w:sz w:val="18"/>
                <w:szCs w:val="18"/>
                <w:lang w:eastAsia="sk-SK"/>
              </w:rPr>
            </w:pPr>
            <w:r>
              <w:rPr>
                <w:i/>
                <w:sz w:val="18"/>
                <w:szCs w:val="18"/>
                <w:lang w:eastAsia="sk-SK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132" w:rsidRDefault="00271132" w:rsidP="00D3629F">
            <w:pPr>
              <w:jc w:val="both"/>
              <w:rPr>
                <w:sz w:val="20"/>
                <w:szCs w:val="18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Návrh zákona </w:t>
            </w:r>
            <w:r>
              <w:rPr>
                <w:sz w:val="20"/>
                <w:szCs w:val="18"/>
                <w:lang w:eastAsia="sk-SK"/>
              </w:rPr>
              <w:t>vo vzťahu k trhu práce neovplyvňuje špecifické vekové skupiny zamestnancov.</w:t>
            </w:r>
          </w:p>
        </w:tc>
      </w:tr>
    </w:tbl>
    <w:p w:rsidR="00D02474" w:rsidRDefault="00D02474" w:rsidP="00F07C87">
      <w:pPr>
        <w:spacing w:after="160" w:line="259" w:lineRule="auto"/>
      </w:pPr>
    </w:p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EA" w:rsidRDefault="00C417EA">
      <w:r>
        <w:separator/>
      </w:r>
    </w:p>
  </w:endnote>
  <w:endnote w:type="continuationSeparator" w:id="0">
    <w:p w:rsidR="00C417EA" w:rsidRDefault="00C4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420520"/>
      <w:docPartObj>
        <w:docPartGallery w:val="Page Numbers (Bottom of Page)"/>
        <w:docPartUnique/>
      </w:docPartObj>
    </w:sdtPr>
    <w:sdtEndPr/>
    <w:sdtContent>
      <w:p w:rsidR="00BD3D66" w:rsidRDefault="00BD3D66" w:rsidP="00D641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A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EA" w:rsidRDefault="00C417EA">
      <w:r>
        <w:separator/>
      </w:r>
    </w:p>
  </w:footnote>
  <w:footnote w:type="continuationSeparator" w:id="0">
    <w:p w:rsidR="00C417EA" w:rsidRDefault="00C4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CF548E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5D47B5"/>
    <w:multiLevelType w:val="hybridMultilevel"/>
    <w:tmpl w:val="C51C74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63131B"/>
    <w:multiLevelType w:val="hybridMultilevel"/>
    <w:tmpl w:val="2B108BC8"/>
    <w:lvl w:ilvl="0" w:tplc="35FEC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80C71"/>
    <w:multiLevelType w:val="hybridMultilevel"/>
    <w:tmpl w:val="EFCCFCAE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70862"/>
    <w:multiLevelType w:val="hybridMultilevel"/>
    <w:tmpl w:val="D86E9A6E"/>
    <w:lvl w:ilvl="0" w:tplc="041B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F5EF8"/>
    <w:multiLevelType w:val="hybridMultilevel"/>
    <w:tmpl w:val="669A8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31D5B"/>
    <w:multiLevelType w:val="hybridMultilevel"/>
    <w:tmpl w:val="E1AC1A9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F22CC"/>
    <w:multiLevelType w:val="hybridMultilevel"/>
    <w:tmpl w:val="EFCCFCAE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B451F"/>
    <w:multiLevelType w:val="hybridMultilevel"/>
    <w:tmpl w:val="C51C74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ACB"/>
    <w:multiLevelType w:val="hybridMultilevel"/>
    <w:tmpl w:val="6CDE04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5"/>
  </w:num>
  <w:num w:numId="18">
    <w:abstractNumId w:val="6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D"/>
    <w:rsid w:val="00012E48"/>
    <w:rsid w:val="000244C0"/>
    <w:rsid w:val="000A4454"/>
    <w:rsid w:val="001A30F6"/>
    <w:rsid w:val="001A7116"/>
    <w:rsid w:val="002062D9"/>
    <w:rsid w:val="00214F2C"/>
    <w:rsid w:val="0021647F"/>
    <w:rsid w:val="00271132"/>
    <w:rsid w:val="0028125B"/>
    <w:rsid w:val="00303C5F"/>
    <w:rsid w:val="0034785A"/>
    <w:rsid w:val="00386C20"/>
    <w:rsid w:val="003C5694"/>
    <w:rsid w:val="003F4DA7"/>
    <w:rsid w:val="00486CA5"/>
    <w:rsid w:val="00497391"/>
    <w:rsid w:val="004B51A6"/>
    <w:rsid w:val="004C114C"/>
    <w:rsid w:val="004F1E6F"/>
    <w:rsid w:val="005077C6"/>
    <w:rsid w:val="00631E8C"/>
    <w:rsid w:val="00634C90"/>
    <w:rsid w:val="00676F35"/>
    <w:rsid w:val="006913C6"/>
    <w:rsid w:val="006B6CF0"/>
    <w:rsid w:val="006D3C09"/>
    <w:rsid w:val="007E75DA"/>
    <w:rsid w:val="00822071"/>
    <w:rsid w:val="00844284"/>
    <w:rsid w:val="00863F99"/>
    <w:rsid w:val="00881C5D"/>
    <w:rsid w:val="00886908"/>
    <w:rsid w:val="008F1D21"/>
    <w:rsid w:val="008F5880"/>
    <w:rsid w:val="00904415"/>
    <w:rsid w:val="00914357"/>
    <w:rsid w:val="00967C0A"/>
    <w:rsid w:val="009A434D"/>
    <w:rsid w:val="00A14F51"/>
    <w:rsid w:val="00A64FF8"/>
    <w:rsid w:val="00A940EB"/>
    <w:rsid w:val="00B04833"/>
    <w:rsid w:val="00B43E70"/>
    <w:rsid w:val="00B90B8D"/>
    <w:rsid w:val="00BD3D66"/>
    <w:rsid w:val="00C00846"/>
    <w:rsid w:val="00C417EA"/>
    <w:rsid w:val="00C4313A"/>
    <w:rsid w:val="00CA78F8"/>
    <w:rsid w:val="00D02474"/>
    <w:rsid w:val="00D3629F"/>
    <w:rsid w:val="00D64127"/>
    <w:rsid w:val="00E422B4"/>
    <w:rsid w:val="00F07C87"/>
    <w:rsid w:val="00F63734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EC45"/>
  <w15:docId w15:val="{F6C36EA8-7D12-4412-B675-FB91577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C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1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1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81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881C5D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881C5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81C5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81C5D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881C5D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81C5D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1C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1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81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81C5D"/>
    <w:rPr>
      <w:rFonts w:ascii="Calibri" w:eastAsia="Calibri" w:hAnsi="Calibri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881C5D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881C5D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881C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881C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881C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88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semiHidden/>
    <w:rsid w:val="00881C5D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1C5D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881C5D"/>
    <w:pPr>
      <w:ind w:left="720"/>
    </w:pPr>
    <w:rPr>
      <w:rFonts w:ascii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881C5D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81C5D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881C5D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10"/>
    <w:rsid w:val="00881C5D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881C5D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qFormat/>
    <w:rsid w:val="00881C5D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qFormat/>
    <w:rsid w:val="00881C5D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qFormat/>
    <w:rsid w:val="00881C5D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881C5D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881C5D"/>
    <w:pPr>
      <w:spacing w:before="480" w:after="120"/>
    </w:pPr>
    <w:rPr>
      <w:b/>
      <w:bCs/>
      <w:sz w:val="32"/>
      <w:szCs w:val="32"/>
      <w:lang w:eastAsia="cs-CZ"/>
    </w:rPr>
  </w:style>
  <w:style w:type="character" w:styleId="Zstupntext">
    <w:name w:val="Placeholder Text"/>
    <w:basedOn w:val="Predvolenpsmoodseku"/>
    <w:uiPriority w:val="99"/>
    <w:semiHidden/>
    <w:rsid w:val="00881C5D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81C5D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Hlavika">
    <w:name w:val="header"/>
    <w:basedOn w:val="Normlny"/>
    <w:link w:val="HlavikaChar"/>
    <w:uiPriority w:val="99"/>
    <w:unhideWhenUsed/>
    <w:rsid w:val="00881C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1C5D"/>
    <w:rPr>
      <w:rFonts w:ascii="Times New Roman" w:eastAsia="Calibri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1C5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1C5D"/>
    <w:rPr>
      <w:rFonts w:ascii="Times New Roman" w:eastAsia="Calibri" w:hAnsi="Times New Roman" w:cs="Times New Roman"/>
      <w:sz w:val="24"/>
      <w:szCs w:val="24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881C5D"/>
    <w:rPr>
      <w:rFonts w:ascii="Calibri" w:eastAsia="Calibri" w:hAnsi="Calibri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881C5D"/>
    <w:rPr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881C5D"/>
    <w:pPr>
      <w:ind w:left="721" w:hanging="437"/>
    </w:pPr>
    <w:rPr>
      <w:rFonts w:asciiTheme="minorHAnsi" w:eastAsiaTheme="minorHAnsi" w:hAnsiTheme="minorHAnsi" w:cstheme="minorBidi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81C5D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C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C5D"/>
    <w:rPr>
      <w:rFonts w:ascii="Segoe UI" w:eastAsia="Calibr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881C5D"/>
  </w:style>
  <w:style w:type="paragraph" w:styleId="Bezriadkovania">
    <w:name w:val="No Spacing"/>
    <w:uiPriority w:val="99"/>
    <w:qFormat/>
    <w:rsid w:val="00881C5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h1a">
    <w:name w:val="h1a"/>
    <w:basedOn w:val="Predvolenpsmoodseku"/>
    <w:rsid w:val="00881C5D"/>
  </w:style>
  <w:style w:type="paragraph" w:customStyle="1" w:styleId="Default">
    <w:name w:val="Default"/>
    <w:rsid w:val="00881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A30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30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30F6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0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0F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MPK_doložka-vybraných-vplyvov-a-analýzy-vplyvov"/>
    <f:field ref="objsubject" par="" edit="true" text=""/>
    <f:field ref="objcreatedby" par="" text="Benovičová, Silvia"/>
    <f:field ref="objcreatedat" par="" text="16.7.2019 9:14:55"/>
    <f:field ref="objchangedby" par="" text="Administrator, System"/>
    <f:field ref="objmodifiedat" par="" text="16.7.2019 9:14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JAKAL Martin</cp:lastModifiedBy>
  <cp:revision>9</cp:revision>
  <cp:lastPrinted>2019-08-20T06:24:00Z</cp:lastPrinted>
  <dcterms:created xsi:type="dcterms:W3CDTF">2019-08-19T05:13:00Z</dcterms:created>
  <dcterms:modified xsi:type="dcterms:W3CDTF">2019-09-05T12:05:00Z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justify;"&gt;&amp;nbsp; &amp;nbsp; &amp;nbsp;&amp;nbsp; Verejnosť bola o&amp;nbsp;príprave návrhu zákona, ktorým sa mení a dopĺňa zákon č. 321/2002 Z. z. o ozbrojených silách Slovenskej republiky v znení neskorších predpisov a&amp;nbsp;o&amp;nbsp;zmene a&amp;nbsp;dopl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 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SELP-OdL-111/2019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LP/2019/544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4. 7. 2019</vt:lpwstr>
  </property>
  <property fmtid="{D5CDD505-2E9C-101B-9397-08002B2CF9AE}" pid="59" name="FSC#SKEDITIONSLOVLEX@103.510:AttrDateDocPropUkonceniePKK">
    <vt:lpwstr>10. 7. 2019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justify;"&gt;&amp;nbsp;&lt;/p&gt;&lt;p style="text-align: justify;"&gt;&amp;nbsp; &amp;nbsp; &amp;nbsp;&amp;nbsp; Vplyv na rozpočet verejnej správy v&amp;nbsp;súvislosti s vysielaním ozbrojených síl v&amp;nbsp;rámci plnenia záväzkov z&amp;nbsp;medzinárodných zmlúv, ktorými je Slo</vt:lpwstr>
  </property>
  <property fmtid="{D5CDD505-2E9C-101B-9397-08002B2CF9AE}" pid="66" name="FSC#SKEDITIONSLOVLEX@103.510:AttrStrListDocPropAltRiesenia">
    <vt:lpwstr>Pri spracúvaní návrhu zákona neboli posudzované žiadne alternatívne riešenia. </vt:lpwstr>
  </property>
  <property fmtid="{D5CDD505-2E9C-101B-9397-08002B2CF9AE}" pid="67" name="FSC#SKEDITIONSLOVLEX@103.510:AttrStrListDocPropStanoviskoGest">
    <vt:lpwstr>&lt;p style="text-align: justify;"&gt;&amp;nbsp;&lt;/p&gt;&lt;p style="text-align: justify;"&gt;&lt;strong&gt;&lt;u&gt;Stanovisko komisie:&lt;/u&gt;&lt;/strong&gt;&lt;/p&gt;&lt;p style="text-align: justify;"&gt;&lt;strong&gt;I. Úvod: &lt;/strong&gt;Ministerstvo obrany Slovenskej republiky dňa&amp;nbsp;3.&amp;nbsp;júla 2019 predloži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justify;"&gt;&amp;nbsp; &amp;nbsp;&amp;nbsp; Návrh zákona, ktorým sa mení&amp;nbsp; a&amp;nbsp;dopĺňa zákon č. 321/2002 Z. z. o&amp;nbsp;ozbrojených silách Slovenskej republiky v&amp;nbsp;znení neskorších predpisov a&amp;nbsp;</vt:lpwstr>
  </property>
  <property fmtid="{D5CDD505-2E9C-101B-9397-08002B2CF9AE}" pid="150" name="FSC#SKEDITIONSLOVLEX@103.510:vytvorenedna">
    <vt:lpwstr>16. 7. 2019</vt:lpwstr>
  </property>
  <property fmtid="{D5CDD505-2E9C-101B-9397-08002B2CF9AE}" pid="151" name="FSC#COOSYSTEM@1.1:Container">
    <vt:lpwstr>COO.2145.1000.3.3496484</vt:lpwstr>
  </property>
  <property fmtid="{D5CDD505-2E9C-101B-9397-08002B2CF9AE}" pid="152" name="FSC#FSCFOLIO@1.1001:docpropproject">
    <vt:lpwstr/>
  </property>
</Properties>
</file>