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338C" w:rsidRDefault="0039338C">
      <w:pPr>
        <w:jc w:val="center"/>
        <w:divId w:val="777793353"/>
        <w:rPr>
          <w:rFonts w:ascii="Times" w:hAnsi="Times" w:cs="Times"/>
          <w:sz w:val="25"/>
          <w:szCs w:val="25"/>
        </w:rPr>
      </w:pPr>
      <w:r>
        <w:rPr>
          <w:rFonts w:ascii="Times" w:hAnsi="Times" w:cs="Times"/>
          <w:sz w:val="25"/>
          <w:szCs w:val="25"/>
        </w:rPr>
        <w:t>Nariadenie vlády Slovenskej republiky, ktorým sa mení a dopĺňa nariadenie vlády Slovenskej republiky č. 148/2016 Z. z. o sprístupňovaní elektrického zariadenia určeného na používanie v rámci určitých limitov napätia na trhu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46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23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9338C" w:rsidRDefault="0039338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9338C">
        <w:trPr>
          <w:divId w:val="11205659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Vôbec nezaslali</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46 (46o,0z)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338C" w:rsidRDefault="0039338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Spôsob vyhodnotenia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označeniu novelizačných bodov</w:t>
            </w:r>
            <w:r>
              <w:rPr>
                <w:rFonts w:ascii="Times" w:hAnsi="Times" w:cs="Times"/>
                <w:sz w:val="25"/>
                <w:szCs w:val="25"/>
              </w:rPr>
              <w:br/>
              <w:t>Za novelizačným bodom 8. chýba označenie novelizačného bodu (ako bodu 9.), ktorým sa upravuje § 9 ods. 1 písm. c). Doterajšie novelizačné body 9. až 15. je z uvedeného dôvodu potrebné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boli niektoré novelizačné body vypustené alebo preformulované.</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Berieme na vedomie.</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4 upozorňujem, že v súvislosti s vypustením písmena n) bola vypustená aj legislatívna skratka (ďalej len „členský štát“), ktorá sa naďalej používa v prílohe č. 2, v bode 7 na konci vety doplniť bodku, v bode 10 poznámke pod čiarou k odkazu 16c vypustiť slová „písm. a) až g)“ ako nadbytočné, body 14 až 16 spojiť do jedného novelizačného bodu, v bode 16 nadpise § 14 nahradiť slovo „ustanovenia“ slovom „ustanovenie“ a na konci pripojiť túto vetu: „Poznámky pod čiarou k odkazom 23 a 24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Členský štát doplnený. (A) Bodka doplnená. (A) Materiál bol preformulovaný, poznámka z novelizačných bodov bola vypustená. (N) Body 14 až 16 spojené do novelizačného bodu 12. (A) V bode 16 nadpise § 14 ostáva slovo „ustanovenia“, nakoľko obsahuje viacero odsekov. (N) Poznámky pod čiarou k odkazom 20 až 24 vypustené. (A)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3</w:t>
            </w:r>
            <w:r>
              <w:rPr>
                <w:rFonts w:ascii="Times" w:hAnsi="Times" w:cs="Times"/>
                <w:sz w:val="25"/>
                <w:szCs w:val="25"/>
              </w:rPr>
              <w:br/>
              <w:t>Nad rámec znenia novelizačného bodu 3 navrhujeme v § 6 nariadenia vlády vypustenie písmena f) a ponechanie písmen i) a j). Súčasne navrhujeme primerané prečíslovanie a zmenu znenia novovkladanej poznámky pod čiarou k odkazu vzťahujúcemu sa na plnenie povinností výrobcu podľa osobitného predpisu tak, aby bolo zabezpečené potrebné prepojenie nariadenia vlády ako lex specialis so zákonom č. 56/2018 Z. z. ako lex generalis, pokiaľ ide o plnenie povinností výrobcu podľa § 5 ods. 1 písm. f), i) až q) zákona č. 56/2018 Z. z.. Rovnako navrhujeme primerané prečíslovanie nasledujúcich poznámok pod čiarou. V rámci návrhu konsolidovaného znenia by § 6 nariadenia vlády mal podľa našej pripomienky znieť: „§ 6 Povinnosti výrobcu Výrobca je povinný a) zabezpečiť pri uvedení elektrického zariadenia na trh,8) aby bolo navrhnuté a vyrobené podľa základných zásad bezpečnosti podľa prílohy č. 1, b) vypracovať technickú dokumentáciu podľa prílohy č. 3, c) zabezpečiť posúdenie zhody elektrického zariadenia podľa postupu posudzovania zhody uvedeného v prílohe č. 3, d) vydať EÚ vyhlásenie o zhode podľa § 12, e) umiestniť označenie CE9) podľa § 13, f) zaviesť postupy na zachovanie zhody sériovej výroby s požiadavkami podľa tohto nariadenia vlády a zohľadniť zmeny návrhu elektrického zariadenia alebo vlastností elektrického zariadenia alebo zmeny v harmonizovanej technickej norme10) podľa § 11 ods. 1, v medzinárodnej technickej norme11) podľa § 11 ods. 2 alebo v slovenskej technickej norme12) podľa § 11 ods. 3 alebo v iných technických špecifikáciách,13) na základe ktorých sa vyhlasuje zhoda elektrického zariadenia, g) vykonať v záujme ochrany života, zdravia a bezpečnosti spotrebiteľov skúšky vzoriek elektrického zariadenia, ktoré je sprístupnené na trhu vzhľadom na riziko, ktoré elektrické zariadenie predstavuje, h) prešetriť podnety, ktoré sa týkajú nesúladu elektrického zariadenia s týmto nariadením vlády, viesť evidenciu týchto podnetov, evidenciu nevyhovujúcich elektrických zariadení a evidenciu elektrických zariadení, ktoré boli spätne prevzaté,14) a informovať o tom distribútora, i) umiestniť na elektrickom zariadení označenie typu, označenie série, označenie šarže alebo iný údaj, ktorý umožní identifikáciu elektrického zariadenia, alebo ak to rozmer alebo povaha elektrického zariadenia neumožňujú, uviesť požadované informácie na obale alebo v sprievodnej dokumentácii elektrického zariadenia, j) plniť povinnosti ustanovené osobitným predpisom.15)“. Odôvodnenie: Navrhované znenie podľa nášho názoru dôslednejšie zabezpečuje predkladateľom sledovaný cieľ, zabezpečiť súlad so zákonom č. 56/2018 Z. z. a odstrániť nadbytočnú duplicitu. V návrhu znenia sa ponecháva v § 6 nariadenia vlády tiež písmeno f), čo považujeme za nadbytočné a duplicitné vo vzťahu k 5 ods. 1 písm. f) zákona č. 56/2018 Z. z. Na druhej strane považujeme za potrebné ponechať aj naďalej v § 6 nariadenia vlády písmená i) a j) v súčasnosti platného znenia predmetného nariadenia vlády. Písmeno i) nariadenia vlády je svojím obsahom obdobou § 5 ods. 1 písm. i)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148/2016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i) zákona č. 56/2018 Z. z. do poznámky pod čiarou k odkazu 14) predloženého návrhu, ale v záujme zabezpečenia právnej istoty adresátov právnej normy navrhujeme jeho výslovné uvedenie v legislatívnom texte nariadenia vlády. Obdobne to platí pre povinnosť podľa § 6 písm. j) nariadenia vlády vo vzťahu k § 5 ods. 1 písm. j) zákona č. 56/2018 Z. z. Návrh na úpravu poznámky pod čiarou je legislatívno-technickou pripomienkou v nadväznosti na vecné pripomienky k § 6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bolo ustanovenie § 6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 </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8</w:t>
            </w:r>
            <w:r>
              <w:rPr>
                <w:rFonts w:ascii="Times" w:hAnsi="Times" w:cs="Times"/>
                <w:sz w:val="25"/>
                <w:szCs w:val="25"/>
              </w:rPr>
              <w:br/>
              <w:t>Nad rámec znenia novelizačného bodu 8 navrhujeme v § 8 ods. 2 nariadenia vlády ponechanie tiež písmena e) platného znenia nariadenia vlády. Súčasne navrhujeme primerane prečíslovať novovkladaný odkaz v zmysle predchádzajúcich pripomienok a nahradiť znenie príslušnej poznámky pod čiarou znením: „Poznámka pod čiarou k odkazu 17a) znie: „17a) § 7 ods. 2 písm. a) až c) a f) až k) zákona č. 56/2018 Z. z.“.“. V rámci návrhu konsolidovaného znenia by § 8 ods. 2 nariadenia vlády mal podľa našej pripomienky znieť: „(2) Dovozca je povinný a) vykonať v záujme ochrany života, zdravia a bezpečnosti spotrebiteľov skúšky vzoriek elektrického zariadenia, ktoré je sprístupnené na trhu, vzhľadom na riziko, ktoré elektrické zariadenie predstavuje, b) prešetriť podnety, ktoré sa týkajú nesúladu elektrického zariadenia s týmto nariadením vlády, viesť evidenciu týchto podnetov, evidenciu nevyhovujúcich elektrických zariadení a evidenciu elektrických zariadení, ktoré boli spätne prevzaté, a informovať o tom distribútora, c) plniť povinnosti ustanovené osobitným predpisom.17a)“ Odôvodnenie: Navrhované znenie podľa nášho názoru dôslednejšie zabezpečuje predkladateľom sledovaný cieľ, zabezpečiť súlad so zákonom č. 56/2018 Z. z. V nadväznosti na znenie § 7 ods. 2 písm. e) zákona č. 56/2018 Z. z. navrhujeme ponechanie § 8 ods. 2 písm. e) platného nariadenia vlády ako súčasť legislatívneho textu predmetného nariadenia vlády. V ďalšom odôvodnení sa odvolávame na odôvodnenie pripomienky uplatnenej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bolo ustanovenie § 8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nahradiť znenie novokladanej poznámky pod čiarou, ktorú súčasne navrhujeme prečíslovať v zmysle našich predchádzajúcich pripomienok, znením: „Poznámka pod čiarou k odkazu 17c) znie: „17c) § 8 ods. 2 písm. a) až f) zákona č. 56/2018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preformulovaný, poznámka z novelizačných bodov bola vypustená.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4</w:t>
            </w:r>
            <w:r>
              <w:rPr>
                <w:rFonts w:ascii="Times" w:hAnsi="Times" w:cs="Times"/>
                <w:sz w:val="25"/>
                <w:szCs w:val="25"/>
              </w:rPr>
              <w:br/>
              <w:t>Navrhujeme nahradiť znenie tohto novelizačného bodu znením: „4. V § 6 sa vypúšťajú písmena k) až q).“. Odôvodnenie: Legislatívno-technická pripomienka v nadväznosti na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bolo ustanovenie § 6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7</w:t>
            </w:r>
            <w:r>
              <w:rPr>
                <w:rFonts w:ascii="Times" w:hAnsi="Times" w:cs="Times"/>
                <w:sz w:val="25"/>
                <w:szCs w:val="25"/>
              </w:rPr>
              <w:br/>
              <w:t>Navrhujeme zvážiť vypustenie § 8 ods. 1 nariadenia vlády (v minimálnom rozsahu písmen a) a d)). Alternatívne navrhujeme nahradiť návrh znenia § 8 ods. 1 písm. c) nariadenia vlády znením: „c) výrobca nesplnil povinnosti podľa § 6 písm. b) až e) a i) a povinnosti podľa osobitného predpisu17) alebo“. Súčasne navrhujeme nahradiť navrhované znenie príslušnej poznámky pod čiarou znením: „Poznámka pod čiarou k odkazu 17 znie: „17) § 5 ods. 1 písm. k) zákona č. 56/2018 Z. z.“.“. Odôvodnenie: Navrhujeme predkladateľovi v záujme dosiahnutia ním vytýčeného cieľa, odstrániť duplicitné ustanovenia v novelizovanom nariadení vlády v nadväznosti na zákon č. 56/2018 Z. z., zvážiť ďalšie znenie § 8 ods. 1 tohto nariadenia vlády s ohľadom na znenie § 7 ods. 1 zákona č. 56/2018 Z. z. Alternatívna možnosť predstavuje legislatívno-technickú pripomienku v nadväznosti na nami uplatnenú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bolo ustanovenie § 8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9</w:t>
            </w:r>
            <w:r>
              <w:rPr>
                <w:rFonts w:ascii="Times" w:hAnsi="Times" w:cs="Times"/>
                <w:sz w:val="25"/>
                <w:szCs w:val="25"/>
              </w:rPr>
              <w:br/>
              <w:t>Navrhujeme zvážiť vypustenie § 9 ods. 1 nariadenia vlády (v minimálnom rozsahu písmen a) a d)). Alternatívne navrhujeme nahradiť návrh znenia § 9 ods. 1 písm. c) nariadenia vlády znením: „c) výrobca nesplnil povinnosti podľa § 6 písm. b) až e) a i) a povinnosti podľa osobitného predpisu17) a dovozca nesplnil povinnosti podľa osobitného predpisu17b) alebo“. Poznámka pod čiarou k odkazu 17b) znie: „17b) § 7 ods. 2 písm. a) zákona č. 56/2018 Z. z.“.“. Odôvodnenie: Navrhujeme predkladateľovi v záujme dosiahnutia ním vytýčeného cieľa, odstrániť duplicitné ustanovenia v novelizovanom nariadení vlády v nadväznosti na zákon č. 56/2018 Z. z., zvážiť ďalšie znenie § 9 ods. 1 tohto nariadenia vlády s ohľadom na znenie § 8 ods. 1 zákona č. 56/2018 Z. z. Alternatívna možnosť predstavuje legislatívno-technickú pripomienku v nadväznosti na nami uplatnenú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Na konci prvej vety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bolo ustanovenie upravené.</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Slová "určeného výrobku podľa § 2" odporúčame nahradiť slovami "elektrického zariadenia" alebo slovami "elektrického zariadenia podľa § 2 písm. a)". V novelizačnom bode 16 odporúčame vypustiť poznámky pod čiarou k odkazom 23 a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bolo toto ustanovenie vypustené a doplnené do § 14 tak, aby dosiahla normatívnosť textu a odstránila sa duplicita predmetného ustanovenia so zákonom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 xml:space="preserve">V odseku 2 odporúčame vložiť čiarku za slovo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poznámke pod čiarou k odkazu 16c odporúčame vypustiť slová "písm. a) až g)", keďže odsek 2 § 8 zákona č. 56/2018 Z. z. tvoria iba písmená a) až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 tento odkaz spolu s poznámkou pod čiarou vypustený.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V tomto novelizačnom bode odporúčame vypustiť aj poznámky pod čiarou k odkazom 15 a 16.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14</w:t>
            </w:r>
            <w:r>
              <w:rPr>
                <w:rFonts w:ascii="Times" w:hAnsi="Times" w:cs="Times"/>
                <w:sz w:val="25"/>
                <w:szCs w:val="25"/>
              </w:rPr>
              <w:br/>
              <w:t>Odsek 1 je potrebné vypustiť. Spôsob vypracovania EÚ vyhlásenia o zhode a jeho náležitosti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upravený tak, aby sa dosiahla normatívnosť textu a odstránila sa duplicita predmetného ustanovenia so zákonom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8</w:t>
            </w:r>
            <w:r>
              <w:rPr>
                <w:rFonts w:ascii="Times" w:hAnsi="Times" w:cs="Times"/>
                <w:sz w:val="25"/>
                <w:szCs w:val="25"/>
              </w:rPr>
              <w:br/>
              <w:t>Písmeno b) je potrebné vypustiť. Povinnosti dovozcu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tieto ustanovenia zákona uvedené pripomienkujúcim sa uplatňujú len ak tak ustanovuje nariadenie vlády, ktoré je aproximačným naradením vlády a nie je vykonávacím nariadením vlády k zákonu č. 56/2018. Materiál bol po MPK predkladateľom preformulovaný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16</w:t>
            </w:r>
            <w:r>
              <w:rPr>
                <w:rFonts w:ascii="Times" w:hAnsi="Times" w:cs="Times"/>
                <w:sz w:val="25"/>
                <w:szCs w:val="25"/>
              </w:rPr>
              <w:br/>
              <w:t>Tento bod je potrebné vypustiť. Nariadením vlády nie je možné upravovať pôsobnosť a kompetenciu orgánu štátnej správy; tá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čiastočne upravený, nakoľko bolo toto ustanovenie vypustené a nahradené ustanoveniami v § 14 (spoločné ustanovenia).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10</w:t>
            </w:r>
            <w:r>
              <w:rPr>
                <w:rFonts w:ascii="Times" w:hAnsi="Times" w:cs="Times"/>
                <w:sz w:val="25"/>
                <w:szCs w:val="25"/>
              </w:rPr>
              <w:br/>
              <w:t>Tento bod je potrebné vypustiť. Povinnosti distribútora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10 bol vypustený a nahradený ustanoveniami § 14 (Spoločné ustanovenia). Ustanovenia zákona uvedené pripomienkujúcim subjektom sa uplatňujú len ak tak ustanovuje nariadenie vlády, ktoré je aproximačným naradením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5</w:t>
            </w:r>
            <w:r>
              <w:rPr>
                <w:rFonts w:ascii="Times" w:hAnsi="Times" w:cs="Times"/>
                <w:sz w:val="25"/>
                <w:szCs w:val="25"/>
              </w:rPr>
              <w:br/>
              <w:t>Tento bod je potrebné vypustiť. Povinnosti splnomocneného zástupcu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5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11</w:t>
            </w:r>
            <w:r>
              <w:rPr>
                <w:rFonts w:ascii="Times" w:hAnsi="Times" w:cs="Times"/>
                <w:sz w:val="25"/>
                <w:szCs w:val="25"/>
              </w:rPr>
              <w:br/>
              <w:t>Tento bod je potrebné vypustiť. Rozšírenie povinností dovozcu a distribútora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11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15</w:t>
            </w:r>
            <w:r>
              <w:rPr>
                <w:rFonts w:ascii="Times" w:hAnsi="Times" w:cs="Times"/>
                <w:sz w:val="25"/>
                <w:szCs w:val="25"/>
              </w:rPr>
              <w:br/>
              <w:t>Tento bod je potrebné vypustiť. Spôsob umiestňovania označenia CE na elektrické zariadenie alebo na jeho štítok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15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čl. I bod 7</w:t>
            </w:r>
            <w:r>
              <w:rPr>
                <w:rFonts w:ascii="Times" w:hAnsi="Times" w:cs="Times"/>
                <w:sz w:val="25"/>
                <w:szCs w:val="25"/>
              </w:rPr>
              <w:br/>
              <w:t>Na konci novelizačné novelizačného bodu je potrebné doplniť bodku.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 k materiálu (obal materiálu)</w:t>
            </w:r>
            <w:r>
              <w:rPr>
                <w:rFonts w:ascii="Times" w:hAnsi="Times" w:cs="Times"/>
                <w:sz w:val="25"/>
                <w:szCs w:val="25"/>
              </w:rPr>
              <w:br/>
              <w:t>S účinnosťou od 01.06.2018 došlo k zmene Legislatívnych pravidiel vlády Slovenskej republiky (ďalej len „legislatívne pravidlá“) a Smernice na prípravu a predkladanie materiálov na rokovanie vlády Slovenskej republiky (ďalej len „smernica“). Osobitne upozorňujeme predkladateľa na to, že v súčasnosti už nie je obligatórnou súčasťou predkladaného materiálu návrh komuniké, ale vyhlásenie predkladateľa o bezrozpornosti materiálu. Vzhľadom na odporúčame predkladateľovi predložený materiál upraviť v súlade s novými legislatívnymi pravidlami.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Odôvodenie: predkladateľ vkladal materiál cez Slov-lex, ktorý uvedenú zmenu Legislatívnych pravidiel vlády Slovenskej republiky nezohľadnil. Zároveň dodávame, že predkladateľ návrh komuniké nepredloží na Legislatívne rokovanie vlády Slovenskej republiky. </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7</w:t>
            </w:r>
            <w:r>
              <w:rPr>
                <w:rFonts w:ascii="Times" w:hAnsi="Times" w:cs="Times"/>
                <w:sz w:val="25"/>
                <w:szCs w:val="25"/>
              </w:rPr>
              <w:br/>
              <w:t>Odporúčame na konci prvej vety novelizačného bodu doplniť chýbajúcu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Podľa aktuálnej Doložky zlučiteľnosti návrhu právneho predpisu s právom EÚ nie je potrebné právne akty v sekundárnom práve deliť na legislatívne akty a nelegislatívne akty. Nariadenie Európskeho parlamentu a Rady (ES) 765/2008 z 9. júla 2008, ktorým sa stanovujú požiadavky akreditácie a dohľadu nad trhom v súvislosti s uvádzaním výrobkov na trh a ktorým sa zrušuje nariadenie (EHS) č. 339/93 (Ú. v. EÚ L 218, 13. 8. 2008) a Rozhodnutie Európskeho parlamentu a Rady č. 768/2008/ES z 9. júla 2008 o spoločnom rámci na uvádzanie výrobkov na trh a o zrušení rozhodnutia 93/465/EHS (Ú. v. EÚ L 218, 13.8.2008) nepredstavujú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Slovo "písmena" odporúčame nahradiť slovom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 xml:space="preserve">1. Predkladateľ predložil do legislatívneho procesu spolu s návrhom nariadenia aj tabuľku zhody so smernicou 2014/35/EÚ. V záhlaví tabuľky zhody, kde sú uvedené právne predpisy Slovenskej republiky, do ktorých sa smernica 2014/35/EÚ transponuje, predkladateľ uviedol návrh nariadenia pod číslom „Xxx/2018, pričom túto skratku používa v celej tabuľky zhody. Predkladateľ však v tabuľke zhody používa v stĺpci 4 aj skratku „Xxx/2016“, takto označený právny predpis však v záhlaví tabuľky zhody absentuje. Ide pravdepodobne o platné znenie nariadenia vlády SR č. 148/2016 Z. z. Zároveň však predkladateľ používa v tabuľke zhody na preukazovanie transpozície smernice 2014/35/EÚ aj platné znenie nariadenia vlády SR č. 148/2016 Z. z., a to pod skratkou „148/2016 Z. z.“. Na základe uvedeného sa tabuľka zhody stáva neprehľadnou a zmätočnou. Tabuľku zhody žiadame upraviť a jasne rozlišovať medzi návrhom nariadenia a jeho platným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pred číselné označenie nariadenia „765/2008“ doplniť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2. Zo záhlavia tabuľky zhody, kde sú uvedené právne predpisy Slovenskej republiky, do ktorých sa smernica 2014/35/EÚ transponuje, je potrebné vypustiť „4. Zákon č. 575/2001 Z. z. o organizácii činnosti vlády a organizácii ústrednej štátnej správy v znení neskorších predpisov.“, keďže sa predmetným právnym predpisom transpozícia smernice v tabuľke zhody nepreukazuje.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doplniť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Nakoľko návrh nariadenia vlády neimplementuje nariadenie (EÚ) č. 1025/2012 v platnom znení, a táto pripomienka nebola vznesená pri ďalších materiáloch predložených predkladateľom do MPK, rozhodol sa predkladateľ neakceptovať predmetnú pripomienku.</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3. Transpozícia čl. 6 ods. 4 smernice sa preukazuje v tabuľke zhody ustanovením § 6 písm. g) a i) návrhu nariadenia. Predmetom návrhu nariadenia je však len § 6 písm. i), preto je potrebné upraviť stĺpec 4 tabuľky zhody a rozlišovať medzi návrhom nariadenia a platným znením nariadenia. Rovnakú pripomienku uplatňujeme aj pri preukazovaní článku 8 ods. 1 a 2, článku 9 ods. 1 a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4. Pri preukazovaní transpozície čl. 27 smernice je potrebné v stĺpci 4 tabuľky zhody k § 17 nariadenia namiesto právneho predpisu „147/2016 Z. z.“ uviesť predpis „148/2016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5. Pri preukazovaní transpozície čl. 15 ods. 1 smernice je potrebné znenie § 12 ods. 1 návrhu nariadenia v stĺpci 6 tabuľky zhody zosúladiť so znením návrhu nariadenia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článok 15 ods. 1 je dostatočne a správne transponovaný, čomu zodpovedá aj znenie tabuľky zhody k tomuto článku, nakoľko je transponovaný prostredníctvom § 14 ods. 5 návrhu naradenia vlády ako aj § 23 zákon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6. Transpozícia čl. 15 ods. 2 smernice sa preukazuje v tabuľke zhody ustanovením § 12 ods. 2 návrhu nariadenia, avšak podľa nášho názoru nedostatočne. Žiadame do návrhu nariadenia zapracovať, resp. preukázať transpozíciu predmetného článku smernice v časti: „musí sa neustále aktualizovať. Preloží sa do jazyka alebo jazykov požadovaných členským štátom, v ktorom sa elektrické zariadenie uvádza na trh alebo sa na ňom sprístupňuje.“.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boli doplnené príslušné § návrhu nariadenia vlády, upravujúceho odkaz na zákon č. 56/2018, Z. z., ktorý sa na EÚ vyhlásenie o zhode vzťahuje ako aj samotné znenie § 23 ods. 4 zákona č. 56/2018 Z. z. ktoré ho upravuje.</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7. Transpozícia čl. 15 ods. 3 a 4 smernice sa preukazuje ustanovením § 12 ods. 1 návrhu nariadenia, v ktorom sa odkazuje na osobitný predpis. Odporúčame preto k predmetnému článku smernice doplniť do tabuľky zhody aj túto osobitnú úpravu. Rovnakú pripomienku uplatňujeme aj pri preukazovaní čl. 17 ods. 1 a 2 smernice, čl. 19 ods. 3 smernice, čl. 21 ods.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bolo predmetné ustanovenie § 12, upravujúce vydanie EÚ vyhlásenia o zhode, ak sa na elektrické zariadenie vzťahuje viac právnych predpisov vrátené do pôvodného znenia účinného § 12 ods. 3 nariadenia vlády č. 148/2016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8. Transpozícia čl. 24 smernice je preukázaná v tabuľke zhody ustanovením § 14 návrhu nariadenia, avšak podľa nášho názoru nedostatočne. Smernica v tomto článku vyžaduje ustanoviť pravidlá týkajúce sa sankcií, uplatniteľných na porušenia ustanovení vnútroštátneho práva prijatých podľa tejto smernice hospodárskymi subjektmi, a prijať všetky potrebné opatrenia na zabezpečenie ich vykonávania. Tieto pravidlá môžu za závažné porušenia zahŕňať trestné sankcie. Stanovené sankcie musia byť účinné, primerané a odrádzajúce. Žiadame preukázať transpozíciu predmetného článku v tejto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dôvodovej správe, osobitná časť, K bodu 12:</w:t>
            </w:r>
            <w:r>
              <w:rPr>
                <w:rFonts w:ascii="Times" w:hAnsi="Times" w:cs="Times"/>
                <w:sz w:val="25"/>
                <w:szCs w:val="25"/>
              </w:rPr>
              <w:br/>
              <w:t xml:space="preserve">V dôvodovej správe, osobitná časť – K bodu 12 žiadame skrátenú citáciu nariadenia upraviť v zmysle bodu 62.6. Prílohy č. 1 k Legislatívnym pravidlám vlády SR nasledovne: „nariadenie (EÚ) č. 1025/2012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bodom 14 až 16</w:t>
            </w:r>
            <w:r>
              <w:rPr>
                <w:rFonts w:ascii="Times" w:hAnsi="Times" w:cs="Times"/>
                <w:sz w:val="25"/>
                <w:szCs w:val="25"/>
              </w:rPr>
              <w:br/>
              <w:t xml:space="preserve">Navrhujeme spojiť novelizačné body 14 až 16 do jedného novelizačného 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a príslušné ustanovenia boli preformulované alebo vypustené a nahradené ustanoveniami § 14.</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V poznámke pod čiarou k odkazu 16c navrhujeme vypustiť slová „písm. a) až g)“.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avšak pripomienka bola zohľadnená v časti „Spoločné ustanovenia“.</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5A" w:rsidRDefault="00DC775A" w:rsidP="000A67D5">
      <w:pPr>
        <w:spacing w:after="0" w:line="240" w:lineRule="auto"/>
      </w:pPr>
      <w:r>
        <w:separator/>
      </w:r>
    </w:p>
  </w:endnote>
  <w:endnote w:type="continuationSeparator" w:id="0">
    <w:p w:rsidR="00DC775A" w:rsidRDefault="00DC775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12159"/>
      <w:docPartObj>
        <w:docPartGallery w:val="Page Numbers (Bottom of Page)"/>
        <w:docPartUnique/>
      </w:docPartObj>
    </w:sdtPr>
    <w:sdtEndPr>
      <w:rPr>
        <w:rFonts w:ascii="Times New Roman" w:hAnsi="Times New Roman" w:cs="Times New Roman"/>
        <w:sz w:val="24"/>
        <w:szCs w:val="24"/>
      </w:rPr>
    </w:sdtEndPr>
    <w:sdtContent>
      <w:p w:rsidR="00D1515D" w:rsidRPr="00D1515D" w:rsidRDefault="00D1515D">
        <w:pPr>
          <w:pStyle w:val="Pta"/>
          <w:jc w:val="center"/>
          <w:rPr>
            <w:rFonts w:ascii="Times New Roman" w:hAnsi="Times New Roman" w:cs="Times New Roman"/>
            <w:sz w:val="24"/>
            <w:szCs w:val="24"/>
          </w:rPr>
        </w:pPr>
        <w:r w:rsidRPr="00D1515D">
          <w:rPr>
            <w:rFonts w:ascii="Times New Roman" w:hAnsi="Times New Roman" w:cs="Times New Roman"/>
            <w:sz w:val="24"/>
            <w:szCs w:val="24"/>
          </w:rPr>
          <w:fldChar w:fldCharType="begin"/>
        </w:r>
        <w:r w:rsidRPr="00D1515D">
          <w:rPr>
            <w:rFonts w:ascii="Times New Roman" w:hAnsi="Times New Roman" w:cs="Times New Roman"/>
            <w:sz w:val="24"/>
            <w:szCs w:val="24"/>
          </w:rPr>
          <w:instrText>PAGE   \* MERGEFORMAT</w:instrText>
        </w:r>
        <w:r w:rsidRPr="00D1515D">
          <w:rPr>
            <w:rFonts w:ascii="Times New Roman" w:hAnsi="Times New Roman" w:cs="Times New Roman"/>
            <w:sz w:val="24"/>
            <w:szCs w:val="24"/>
          </w:rPr>
          <w:fldChar w:fldCharType="separate"/>
        </w:r>
        <w:r w:rsidR="00C749B7">
          <w:rPr>
            <w:rFonts w:ascii="Times New Roman" w:hAnsi="Times New Roman" w:cs="Times New Roman"/>
            <w:noProof/>
            <w:sz w:val="24"/>
            <w:szCs w:val="24"/>
          </w:rPr>
          <w:t>2</w:t>
        </w:r>
        <w:r w:rsidRPr="00D1515D">
          <w:rPr>
            <w:rFonts w:ascii="Times New Roman" w:hAnsi="Times New Roman" w:cs="Times New Roman"/>
            <w:sz w:val="24"/>
            <w:szCs w:val="24"/>
          </w:rPr>
          <w:fldChar w:fldCharType="end"/>
        </w:r>
      </w:p>
    </w:sdtContent>
  </w:sdt>
  <w:p w:rsidR="00D1515D" w:rsidRDefault="00D151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5A" w:rsidRDefault="00DC775A" w:rsidP="000A67D5">
      <w:pPr>
        <w:spacing w:after="0" w:line="240" w:lineRule="auto"/>
      </w:pPr>
      <w:r>
        <w:separator/>
      </w:r>
    </w:p>
  </w:footnote>
  <w:footnote w:type="continuationSeparator" w:id="0">
    <w:p w:rsidR="00DC775A" w:rsidRDefault="00DC775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20FF9"/>
    <w:rsid w:val="00146547"/>
    <w:rsid w:val="00146B48"/>
    <w:rsid w:val="00150388"/>
    <w:rsid w:val="00154A91"/>
    <w:rsid w:val="002109B0"/>
    <w:rsid w:val="0021228E"/>
    <w:rsid w:val="00230F3C"/>
    <w:rsid w:val="0025077E"/>
    <w:rsid w:val="002654AA"/>
    <w:rsid w:val="002827B4"/>
    <w:rsid w:val="002A5577"/>
    <w:rsid w:val="002D7471"/>
    <w:rsid w:val="00310A55"/>
    <w:rsid w:val="00322014"/>
    <w:rsid w:val="0039338C"/>
    <w:rsid w:val="0039526D"/>
    <w:rsid w:val="003B435B"/>
    <w:rsid w:val="003D101C"/>
    <w:rsid w:val="003D5E45"/>
    <w:rsid w:val="003E4226"/>
    <w:rsid w:val="004075B2"/>
    <w:rsid w:val="00436C44"/>
    <w:rsid w:val="00474A9D"/>
    <w:rsid w:val="005324B5"/>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749B7"/>
    <w:rsid w:val="00CA44D2"/>
    <w:rsid w:val="00CE47A6"/>
    <w:rsid w:val="00CF3D59"/>
    <w:rsid w:val="00D1515D"/>
    <w:rsid w:val="00D261C9"/>
    <w:rsid w:val="00D85172"/>
    <w:rsid w:val="00D969AC"/>
    <w:rsid w:val="00DC775A"/>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676">
      <w:bodyDiv w:val="1"/>
      <w:marLeft w:val="0"/>
      <w:marRight w:val="0"/>
      <w:marTop w:val="0"/>
      <w:marBottom w:val="0"/>
      <w:divBdr>
        <w:top w:val="none" w:sz="0" w:space="0" w:color="auto"/>
        <w:left w:val="none" w:sz="0" w:space="0" w:color="auto"/>
        <w:bottom w:val="none" w:sz="0" w:space="0" w:color="auto"/>
        <w:right w:val="none" w:sz="0" w:space="0" w:color="auto"/>
      </w:divBdr>
    </w:div>
    <w:div w:id="297296509">
      <w:bodyDiv w:val="1"/>
      <w:marLeft w:val="0"/>
      <w:marRight w:val="0"/>
      <w:marTop w:val="0"/>
      <w:marBottom w:val="0"/>
      <w:divBdr>
        <w:top w:val="none" w:sz="0" w:space="0" w:color="auto"/>
        <w:left w:val="none" w:sz="0" w:space="0" w:color="auto"/>
        <w:bottom w:val="none" w:sz="0" w:space="0" w:color="auto"/>
        <w:right w:val="none" w:sz="0" w:space="0" w:color="auto"/>
      </w:divBdr>
    </w:div>
    <w:div w:id="777793353">
      <w:bodyDiv w:val="1"/>
      <w:marLeft w:val="0"/>
      <w:marRight w:val="0"/>
      <w:marTop w:val="0"/>
      <w:marBottom w:val="0"/>
      <w:divBdr>
        <w:top w:val="none" w:sz="0" w:space="0" w:color="auto"/>
        <w:left w:val="none" w:sz="0" w:space="0" w:color="auto"/>
        <w:bottom w:val="none" w:sz="0" w:space="0" w:color="auto"/>
        <w:right w:val="none" w:sz="0" w:space="0" w:color="auto"/>
      </w:divBdr>
    </w:div>
    <w:div w:id="1113861200">
      <w:bodyDiv w:val="1"/>
      <w:marLeft w:val="0"/>
      <w:marRight w:val="0"/>
      <w:marTop w:val="0"/>
      <w:marBottom w:val="0"/>
      <w:divBdr>
        <w:top w:val="none" w:sz="0" w:space="0" w:color="auto"/>
        <w:left w:val="none" w:sz="0" w:space="0" w:color="auto"/>
        <w:bottom w:val="none" w:sz="0" w:space="0" w:color="auto"/>
        <w:right w:val="none" w:sz="0" w:space="0" w:color="auto"/>
      </w:divBdr>
    </w:div>
    <w:div w:id="1120565984">
      <w:bodyDiv w:val="1"/>
      <w:marLeft w:val="0"/>
      <w:marRight w:val="0"/>
      <w:marTop w:val="0"/>
      <w:marBottom w:val="0"/>
      <w:divBdr>
        <w:top w:val="none" w:sz="0" w:space="0" w:color="auto"/>
        <w:left w:val="none" w:sz="0" w:space="0" w:color="auto"/>
        <w:bottom w:val="none" w:sz="0" w:space="0" w:color="auto"/>
        <w:right w:val="none" w:sz="0" w:space="0" w:color="auto"/>
      </w:divBdr>
    </w:div>
    <w:div w:id="1420442226">
      <w:bodyDiv w:val="1"/>
      <w:marLeft w:val="0"/>
      <w:marRight w:val="0"/>
      <w:marTop w:val="0"/>
      <w:marBottom w:val="0"/>
      <w:divBdr>
        <w:top w:val="none" w:sz="0" w:space="0" w:color="auto"/>
        <w:left w:val="none" w:sz="0" w:space="0" w:color="auto"/>
        <w:bottom w:val="none" w:sz="0" w:space="0" w:color="auto"/>
        <w:right w:val="none" w:sz="0" w:space="0" w:color="auto"/>
      </w:divBdr>
    </w:div>
    <w:div w:id="1424453527">
      <w:bodyDiv w:val="1"/>
      <w:marLeft w:val="0"/>
      <w:marRight w:val="0"/>
      <w:marTop w:val="0"/>
      <w:marBottom w:val="0"/>
      <w:divBdr>
        <w:top w:val="none" w:sz="0" w:space="0" w:color="auto"/>
        <w:left w:val="none" w:sz="0" w:space="0" w:color="auto"/>
        <w:bottom w:val="none" w:sz="0" w:space="0" w:color="auto"/>
        <w:right w:val="none" w:sz="0" w:space="0" w:color="auto"/>
      </w:divBdr>
    </w:div>
    <w:div w:id="1673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9.2018 10:48:24"/>
    <f:field ref="objchangedby" par="" text="Administrator, System"/>
    <f:field ref="objmodifiedat" par="" text="5.9.2018 10:48: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4732</Words>
  <Characters>26973</Characters>
  <Application>Microsoft Office Word</Application>
  <DocSecurity>0</DocSecurity>
  <Lines>224</Lines>
  <Paragraphs>63</Paragraphs>
  <ScaleCrop>false</ScaleCrop>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2018-09-05T08:48:00Z</dcterms:created>
  <dcterms:modified xsi:type="dcterms:W3CDTF">2019-08-28T09:02:00Z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148/2016 Z. z. o sprístupňovaní elektrického zariadenia určeného na používanie v rámci určitých limitov napätia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148/2016 Z. z. o sprístupňovaní elektrického zariadenia určeného na používanie v rámci určitých limitov napätia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2018/300/007837/02604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3. 7. 2018</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2014/35/EÚ z  26. februára 2014 o harmonizáci</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148/2016 Z. z. o sprístupňovaní elektrického zariadenia určeného na používanie v rámci určitých limitov napätia n</vt:lpwstr>
  </property>
  <property fmtid="{D5CDD505-2E9C-101B-9397-08002B2CF9AE}" pid="149" name="FSC#COOSYSTEM@1.1:Container">
    <vt:lpwstr>COO.2145.1000.3.2948732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5. 9. 2018</vt:lpwstr>
  </property>
</Properties>
</file>