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420CFC">
              <w:rPr>
                <w:sz w:val="25"/>
                <w:szCs w:val="25"/>
              </w:rPr>
              <w:t>Úrad pre verejné obstarávanie</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420CFC">
              <w:rPr>
                <w:sz w:val="25"/>
                <w:szCs w:val="25"/>
              </w:rPr>
              <w:t xml:space="preserve"> Zákon ktorým sa mení a dopĺňa zákon č. 343/2015 Z. z. o verejnom obstarávaní a o zmene a doplnení niektorých zákonov v znení neskorších predpisov a ktorým sa menia a dopĺňajú niektoré zákony</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1CA43B73" w:rsidR="008570D4" w:rsidRPr="00117A7E" w:rsidRDefault="006C279F" w:rsidP="002B14DD">
            <w:pPr>
              <w:pStyle w:val="Odsekzoznamu"/>
              <w:numPr>
                <w:ilvl w:val="0"/>
                <w:numId w:val="7"/>
              </w:numPr>
              <w:tabs>
                <w:tab w:val="left" w:pos="360"/>
              </w:tabs>
            </w:pPr>
            <w:r>
              <w:rPr>
                <w:rFonts w:ascii="Times" w:hAnsi="Times" w:cs="Times"/>
                <w:sz w:val="25"/>
                <w:szCs w:val="25"/>
              </w:rPr>
              <w:t>je upravený v práve Európskej únie</w:t>
            </w:r>
          </w:p>
          <w:p w14:paraId="740EE8C5" w14:textId="7F31F485" w:rsidR="006C279F" w:rsidRDefault="006C279F">
            <w:pPr>
              <w:divId w:val="1457987094"/>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 26 a 114 Zmluvy o fungovaní Európskej únie</w:t>
            </w:r>
          </w:p>
          <w:p w14:paraId="394454C0" w14:textId="3A7E9C1C" w:rsidR="00054456" w:rsidRPr="00117A7E" w:rsidRDefault="00054456" w:rsidP="00054456">
            <w:pPr>
              <w:pStyle w:val="Odsekzoznamu"/>
              <w:tabs>
                <w:tab w:val="left" w:pos="360"/>
              </w:tabs>
              <w:ind w:left="360"/>
            </w:pPr>
          </w:p>
          <w:p w14:paraId="53CBD045" w14:textId="5DDB4D83" w:rsidR="006C279F" w:rsidRDefault="00420CFC">
            <w:pPr>
              <w:divId w:val="1898589558"/>
              <w:rPr>
                <w:rFonts w:ascii="Times" w:hAnsi="Times" w:cs="Times"/>
                <w:sz w:val="25"/>
                <w:szCs w:val="25"/>
              </w:rPr>
            </w:pPr>
            <w:r>
              <w:rPr>
                <w:rFonts w:ascii="Times" w:hAnsi="Times" w:cs="Times"/>
                <w:i/>
                <w:iCs/>
                <w:sz w:val="25"/>
                <w:szCs w:val="25"/>
              </w:rPr>
              <w:t>b)</w:t>
            </w:r>
            <w:r w:rsidR="006C279F">
              <w:rPr>
                <w:rFonts w:ascii="Times" w:hAnsi="Times" w:cs="Times"/>
                <w:i/>
                <w:iCs/>
                <w:sz w:val="25"/>
                <w:szCs w:val="25"/>
              </w:rPr>
              <w:t xml:space="preserve"> sekundárnom </w:t>
            </w:r>
            <w:r w:rsidR="006C279F">
              <w:rPr>
                <w:rFonts w:ascii="Times" w:hAnsi="Times" w:cs="Times"/>
                <w:sz w:val="25"/>
                <w:szCs w:val="25"/>
              </w:rPr>
              <w:br/>
            </w:r>
            <w:r w:rsidR="006C279F">
              <w:rPr>
                <w:rFonts w:ascii="Times" w:hAnsi="Times" w:cs="Times"/>
                <w:sz w:val="25"/>
                <w:szCs w:val="25"/>
              </w:rPr>
              <w:br/>
              <w:t xml:space="preserve">Smernica Európskeho parlamentu a Rady 2014/24/EÚ o verejnom obstarávaní a o zrušení smernice 2004/18/ES (Ú. v. EÚ L 94; 28.3.2014) v platnom </w:t>
            </w:r>
            <w:proofErr w:type="spellStart"/>
            <w:r w:rsidR="006C279F">
              <w:rPr>
                <w:rFonts w:ascii="Times" w:hAnsi="Times" w:cs="Times"/>
                <w:sz w:val="25"/>
                <w:szCs w:val="25"/>
              </w:rPr>
              <w:t>zneníSmernica</w:t>
            </w:r>
            <w:proofErr w:type="spellEnd"/>
            <w:r w:rsidR="006C279F">
              <w:rPr>
                <w:rFonts w:ascii="Times" w:hAnsi="Times" w:cs="Times"/>
                <w:sz w:val="25"/>
                <w:szCs w:val="25"/>
              </w:rPr>
              <w:t xml:space="preserve"> Európskeho parlamentu a Rady 2014/25/EÚ o obstarávaní vykonávanom subjektmi pôsobiacimi v odvetviach vodného hospodárstva, energetiky, dopravy a poštových služieb a o zrušení smernice 2004/17/ES (Ú. v. EÚ L 94; 28.3.2014) v platnom </w:t>
            </w:r>
            <w:proofErr w:type="spellStart"/>
            <w:r w:rsidR="006C279F">
              <w:rPr>
                <w:rFonts w:ascii="Times" w:hAnsi="Times" w:cs="Times"/>
                <w:sz w:val="25"/>
                <w:szCs w:val="25"/>
              </w:rPr>
              <w:t>zneníSmernica</w:t>
            </w:r>
            <w:proofErr w:type="spellEnd"/>
            <w:r w:rsidR="006C279F">
              <w:rPr>
                <w:rFonts w:ascii="Times" w:hAnsi="Times" w:cs="Times"/>
                <w:sz w:val="25"/>
                <w:szCs w:val="25"/>
              </w:rPr>
              <w:t xml:space="preserve"> Rady o koordinácii zákonov, iných právnych predpisov a správnych opatrení týkajúcich sa uplatňovania postupov preskúmavania v rámci verejného obstarávania tovarov a prác (89/665/EHS) (Ú. v. EÚ L 395; 30.12.1989) v platnom </w:t>
            </w:r>
            <w:proofErr w:type="spellStart"/>
            <w:r w:rsidR="006C279F">
              <w:rPr>
                <w:rFonts w:ascii="Times" w:hAnsi="Times" w:cs="Times"/>
                <w:sz w:val="25"/>
                <w:szCs w:val="25"/>
              </w:rPr>
              <w:t>zneníSmernica</w:t>
            </w:r>
            <w:proofErr w:type="spellEnd"/>
            <w:r w:rsidR="006C279F">
              <w:rPr>
                <w:rFonts w:ascii="Times" w:hAnsi="Times" w:cs="Times"/>
                <w:sz w:val="25"/>
                <w:szCs w:val="25"/>
              </w:rPr>
              <w:t xml:space="preserve"> Rady 92/13/EHS, ktorou sa koordinujú zákony, iné právne predpisy a správne opatrenia o uplatňovaní právnych predpisov spoločenstva, o postupoch verejného obstarávania subjektov pôsobiacich vo vodnom, energetickom, dopravnom a telekomunikačnom sektore (Ú. v. EÚ L 76; 23.3.1992) v platnom znení</w:t>
            </w:r>
          </w:p>
          <w:p w14:paraId="5C41D9D3" w14:textId="17E36934" w:rsidR="006F3E6F" w:rsidRPr="00117A7E" w:rsidRDefault="006F3E6F" w:rsidP="008A2A21">
            <w:pPr>
              <w:tabs>
                <w:tab w:val="left" w:pos="360"/>
              </w:tabs>
            </w:pPr>
          </w:p>
          <w:p w14:paraId="5DE3403E" w14:textId="518C596A" w:rsidR="0023485C" w:rsidRPr="00117A7E" w:rsidRDefault="0023485C" w:rsidP="006F3E6F">
            <w:pPr>
              <w:pStyle w:val="Odsekzoznamu"/>
              <w:tabs>
                <w:tab w:val="left" w:pos="360"/>
              </w:tabs>
              <w:ind w:left="360"/>
            </w:pPr>
          </w:p>
          <w:p w14:paraId="20F46682" w14:textId="5FAFFF5C" w:rsidR="0023485C" w:rsidRPr="00117A7E" w:rsidRDefault="00420CFC" w:rsidP="00420CFC">
            <w:pPr>
              <w:tabs>
                <w:tab w:val="left" w:pos="360"/>
              </w:tabs>
            </w:pPr>
            <w:r>
              <w:rPr>
                <w:rFonts w:ascii="Times" w:hAnsi="Times" w:cs="Times"/>
                <w:i/>
                <w:iCs/>
                <w:sz w:val="25"/>
                <w:szCs w:val="25"/>
              </w:rPr>
              <w:t>c)</w:t>
            </w:r>
            <w:r w:rsidR="006C279F" w:rsidRPr="00420CFC">
              <w:rPr>
                <w:rFonts w:ascii="Times" w:hAnsi="Times" w:cs="Times"/>
                <w:i/>
                <w:iCs/>
                <w:sz w:val="25"/>
                <w:szCs w:val="25"/>
              </w:rPr>
              <w:t xml:space="preserve"> v judikatúre Súdneho dvora Európskej únie</w:t>
            </w:r>
          </w:p>
          <w:p w14:paraId="47C8A381" w14:textId="741D3E85" w:rsidR="0023485C" w:rsidRPr="00117A7E" w:rsidRDefault="0023485C" w:rsidP="006F3E6F">
            <w:pPr>
              <w:pStyle w:val="Odsekzoznamu"/>
              <w:tabs>
                <w:tab w:val="left" w:pos="360"/>
              </w:tabs>
              <w:ind w:left="360"/>
            </w:pPr>
          </w:p>
        </w:tc>
        <w:bookmarkStart w:id="0" w:name="_GoBack"/>
        <w:bookmarkEnd w:id="0"/>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35B83A01" w:rsidR="001F0AA3" w:rsidRPr="00117A7E" w:rsidRDefault="001F0AA3" w:rsidP="00420CFC">
            <w:pPr>
              <w:pStyle w:val="Odsekzoznamu"/>
              <w:tabs>
                <w:tab w:val="left" w:pos="360"/>
              </w:tabs>
              <w:ind w:left="360"/>
            </w:pPr>
          </w:p>
          <w:p w14:paraId="30A89794" w14:textId="7C71009E" w:rsidR="006C279F" w:rsidRDefault="006C279F">
            <w:pPr>
              <w:divId w:val="384566120"/>
              <w:rPr>
                <w:rFonts w:ascii="Times" w:hAnsi="Times" w:cs="Times"/>
                <w:sz w:val="25"/>
                <w:szCs w:val="25"/>
              </w:rPr>
            </w:pPr>
            <w:r>
              <w:rPr>
                <w:rFonts w:ascii="Times" w:hAnsi="Times" w:cs="Times"/>
                <w:sz w:val="25"/>
                <w:szCs w:val="25"/>
              </w:rPr>
              <w:br/>
              <w:t>C-538/07C-531/16C 124/17</w:t>
            </w:r>
          </w:p>
          <w:p w14:paraId="10E820A7" w14:textId="1631B219" w:rsidR="0023485C" w:rsidRPr="00117A7E" w:rsidRDefault="0023485C" w:rsidP="006C279F">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1A424BF2" w14:textId="2AB175BC" w:rsidR="006C279F" w:rsidRDefault="006C279F"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6C279F" w14:paraId="0D72721B" w14:textId="77777777">
        <w:trPr>
          <w:divId w:val="686366939"/>
          <w:jc w:val="center"/>
        </w:trPr>
        <w:tc>
          <w:tcPr>
            <w:tcW w:w="250" w:type="pct"/>
            <w:tcBorders>
              <w:top w:val="nil"/>
              <w:left w:val="nil"/>
              <w:bottom w:val="nil"/>
              <w:right w:val="nil"/>
            </w:tcBorders>
            <w:hideMark/>
          </w:tcPr>
          <w:p w14:paraId="38D610CE" w14:textId="77777777" w:rsidR="006C279F" w:rsidRDefault="006C279F">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074F6F6E" w14:textId="77777777" w:rsidR="006C279F" w:rsidRDefault="006C279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6C279F" w14:paraId="0E575591" w14:textId="77777777">
        <w:trPr>
          <w:divId w:val="686366939"/>
          <w:jc w:val="center"/>
        </w:trPr>
        <w:tc>
          <w:tcPr>
            <w:tcW w:w="0" w:type="auto"/>
            <w:tcBorders>
              <w:top w:val="nil"/>
              <w:left w:val="nil"/>
              <w:bottom w:val="nil"/>
              <w:right w:val="nil"/>
            </w:tcBorders>
            <w:hideMark/>
          </w:tcPr>
          <w:p w14:paraId="7A90308D" w14:textId="77777777" w:rsidR="006C279F" w:rsidRDefault="006C279F">
            <w:pPr>
              <w:spacing w:after="250"/>
              <w:rPr>
                <w:rFonts w:ascii="Times" w:hAnsi="Times" w:cs="Times"/>
                <w:b/>
                <w:bCs/>
                <w:sz w:val="25"/>
                <w:szCs w:val="25"/>
              </w:rPr>
            </w:pPr>
          </w:p>
        </w:tc>
        <w:tc>
          <w:tcPr>
            <w:tcW w:w="150" w:type="pct"/>
            <w:tcBorders>
              <w:top w:val="nil"/>
              <w:left w:val="nil"/>
              <w:bottom w:val="nil"/>
              <w:right w:val="nil"/>
            </w:tcBorders>
            <w:hideMark/>
          </w:tcPr>
          <w:p w14:paraId="08A37AA7" w14:textId="77777777" w:rsidR="006C279F" w:rsidRDefault="006C279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2A4FBAA" w14:textId="77777777" w:rsidR="006C279F" w:rsidRDefault="006C279F">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6C279F" w14:paraId="31C8DC47" w14:textId="77777777">
        <w:trPr>
          <w:divId w:val="686366939"/>
          <w:jc w:val="center"/>
        </w:trPr>
        <w:tc>
          <w:tcPr>
            <w:tcW w:w="0" w:type="auto"/>
            <w:tcBorders>
              <w:top w:val="nil"/>
              <w:left w:val="nil"/>
              <w:bottom w:val="nil"/>
              <w:right w:val="nil"/>
            </w:tcBorders>
            <w:hideMark/>
          </w:tcPr>
          <w:p w14:paraId="477A66FB" w14:textId="77777777" w:rsidR="006C279F" w:rsidRDefault="006C279F">
            <w:pPr>
              <w:spacing w:after="250"/>
              <w:rPr>
                <w:rFonts w:ascii="Times" w:hAnsi="Times" w:cs="Times"/>
                <w:sz w:val="25"/>
                <w:szCs w:val="25"/>
              </w:rPr>
            </w:pPr>
          </w:p>
        </w:tc>
        <w:tc>
          <w:tcPr>
            <w:tcW w:w="0" w:type="auto"/>
            <w:tcBorders>
              <w:top w:val="nil"/>
              <w:left w:val="nil"/>
              <w:bottom w:val="nil"/>
              <w:right w:val="nil"/>
            </w:tcBorders>
            <w:hideMark/>
          </w:tcPr>
          <w:p w14:paraId="3DCD8AB8" w14:textId="77777777" w:rsidR="006C279F" w:rsidRDefault="006C279F">
            <w:pPr>
              <w:rPr>
                <w:sz w:val="20"/>
                <w:szCs w:val="20"/>
              </w:rPr>
            </w:pPr>
          </w:p>
        </w:tc>
        <w:tc>
          <w:tcPr>
            <w:tcW w:w="0" w:type="auto"/>
            <w:tcBorders>
              <w:top w:val="nil"/>
              <w:left w:val="nil"/>
              <w:bottom w:val="nil"/>
              <w:right w:val="nil"/>
            </w:tcBorders>
            <w:vAlign w:val="center"/>
            <w:hideMark/>
          </w:tcPr>
          <w:p w14:paraId="114F7F07" w14:textId="77777777" w:rsidR="006C279F" w:rsidRDefault="006C279F">
            <w:pPr>
              <w:spacing w:after="250"/>
              <w:rPr>
                <w:rFonts w:ascii="Times" w:hAnsi="Times" w:cs="Times"/>
                <w:sz w:val="25"/>
                <w:szCs w:val="25"/>
              </w:rPr>
            </w:pPr>
            <w:r>
              <w:rPr>
                <w:rFonts w:ascii="Times" w:hAnsi="Times" w:cs="Times"/>
                <w:sz w:val="25"/>
                <w:szCs w:val="25"/>
              </w:rPr>
              <w:t>nie je</w:t>
            </w:r>
            <w:r>
              <w:rPr>
                <w:rFonts w:ascii="Times" w:hAnsi="Times" w:cs="Times"/>
                <w:sz w:val="25"/>
                <w:szCs w:val="25"/>
              </w:rPr>
              <w:br/>
            </w:r>
          </w:p>
        </w:tc>
      </w:tr>
      <w:tr w:rsidR="006C279F" w14:paraId="1F4108A7" w14:textId="77777777">
        <w:trPr>
          <w:divId w:val="686366939"/>
          <w:jc w:val="center"/>
        </w:trPr>
        <w:tc>
          <w:tcPr>
            <w:tcW w:w="0" w:type="auto"/>
            <w:tcBorders>
              <w:top w:val="nil"/>
              <w:left w:val="nil"/>
              <w:bottom w:val="nil"/>
              <w:right w:val="nil"/>
            </w:tcBorders>
            <w:hideMark/>
          </w:tcPr>
          <w:p w14:paraId="01B75422" w14:textId="77777777" w:rsidR="006C279F" w:rsidRDefault="006C279F">
            <w:pPr>
              <w:spacing w:after="250"/>
              <w:rPr>
                <w:rFonts w:ascii="Times" w:hAnsi="Times" w:cs="Times"/>
                <w:sz w:val="25"/>
                <w:szCs w:val="25"/>
              </w:rPr>
            </w:pPr>
          </w:p>
        </w:tc>
        <w:tc>
          <w:tcPr>
            <w:tcW w:w="0" w:type="auto"/>
            <w:tcBorders>
              <w:top w:val="nil"/>
              <w:left w:val="nil"/>
              <w:bottom w:val="nil"/>
              <w:right w:val="nil"/>
            </w:tcBorders>
            <w:hideMark/>
          </w:tcPr>
          <w:p w14:paraId="712342A3" w14:textId="77777777" w:rsidR="006C279F" w:rsidRDefault="006C279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70C06073" w14:textId="77777777" w:rsidR="006C279F" w:rsidRDefault="006C279F">
            <w:pPr>
              <w:spacing w:after="250"/>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6C279F" w14:paraId="30D1669E" w14:textId="77777777">
        <w:trPr>
          <w:divId w:val="686366939"/>
          <w:jc w:val="center"/>
        </w:trPr>
        <w:tc>
          <w:tcPr>
            <w:tcW w:w="0" w:type="auto"/>
            <w:tcBorders>
              <w:top w:val="nil"/>
              <w:left w:val="nil"/>
              <w:bottom w:val="nil"/>
              <w:right w:val="nil"/>
            </w:tcBorders>
            <w:hideMark/>
          </w:tcPr>
          <w:p w14:paraId="1CF59F4D" w14:textId="77777777" w:rsidR="006C279F" w:rsidRDefault="006C279F">
            <w:pPr>
              <w:spacing w:after="250"/>
              <w:rPr>
                <w:rFonts w:ascii="Times" w:hAnsi="Times" w:cs="Times"/>
                <w:sz w:val="25"/>
                <w:szCs w:val="25"/>
              </w:rPr>
            </w:pPr>
          </w:p>
        </w:tc>
        <w:tc>
          <w:tcPr>
            <w:tcW w:w="0" w:type="auto"/>
            <w:tcBorders>
              <w:top w:val="nil"/>
              <w:left w:val="nil"/>
              <w:bottom w:val="nil"/>
              <w:right w:val="nil"/>
            </w:tcBorders>
            <w:hideMark/>
          </w:tcPr>
          <w:p w14:paraId="15ECFC08" w14:textId="77777777" w:rsidR="006C279F" w:rsidRDefault="006C279F">
            <w:pPr>
              <w:rPr>
                <w:sz w:val="20"/>
                <w:szCs w:val="20"/>
              </w:rPr>
            </w:pPr>
          </w:p>
        </w:tc>
        <w:tc>
          <w:tcPr>
            <w:tcW w:w="0" w:type="auto"/>
            <w:tcBorders>
              <w:top w:val="nil"/>
              <w:left w:val="nil"/>
              <w:bottom w:val="nil"/>
              <w:right w:val="nil"/>
            </w:tcBorders>
            <w:vAlign w:val="center"/>
            <w:hideMark/>
          </w:tcPr>
          <w:p w14:paraId="3F8D7514" w14:textId="77777777" w:rsidR="006C279F" w:rsidRDefault="006C279F">
            <w:pPr>
              <w:spacing w:after="250"/>
              <w:rPr>
                <w:rFonts w:ascii="Times" w:hAnsi="Times" w:cs="Times"/>
                <w:sz w:val="25"/>
                <w:szCs w:val="25"/>
              </w:rPr>
            </w:pPr>
            <w:r>
              <w:rPr>
                <w:rFonts w:ascii="Times" w:hAnsi="Times" w:cs="Times"/>
                <w:sz w:val="25"/>
                <w:szCs w:val="25"/>
              </w:rPr>
              <w:t>nie je</w:t>
            </w:r>
            <w:r>
              <w:rPr>
                <w:rFonts w:ascii="Times" w:hAnsi="Times" w:cs="Times"/>
                <w:sz w:val="25"/>
                <w:szCs w:val="25"/>
              </w:rPr>
              <w:br/>
            </w:r>
          </w:p>
        </w:tc>
      </w:tr>
      <w:tr w:rsidR="006C279F" w14:paraId="624C3A70" w14:textId="77777777">
        <w:trPr>
          <w:divId w:val="686366939"/>
          <w:jc w:val="center"/>
        </w:trPr>
        <w:tc>
          <w:tcPr>
            <w:tcW w:w="0" w:type="auto"/>
            <w:tcBorders>
              <w:top w:val="nil"/>
              <w:left w:val="nil"/>
              <w:bottom w:val="nil"/>
              <w:right w:val="nil"/>
            </w:tcBorders>
            <w:hideMark/>
          </w:tcPr>
          <w:p w14:paraId="6C5A99E1" w14:textId="77777777" w:rsidR="006C279F" w:rsidRDefault="006C279F">
            <w:pPr>
              <w:spacing w:after="250"/>
              <w:rPr>
                <w:rFonts w:ascii="Times" w:hAnsi="Times" w:cs="Times"/>
                <w:sz w:val="25"/>
                <w:szCs w:val="25"/>
              </w:rPr>
            </w:pPr>
          </w:p>
        </w:tc>
        <w:tc>
          <w:tcPr>
            <w:tcW w:w="0" w:type="auto"/>
            <w:tcBorders>
              <w:top w:val="nil"/>
              <w:left w:val="nil"/>
              <w:bottom w:val="nil"/>
              <w:right w:val="nil"/>
            </w:tcBorders>
            <w:hideMark/>
          </w:tcPr>
          <w:p w14:paraId="6ACE4ED0" w14:textId="77777777" w:rsidR="006C279F" w:rsidRDefault="006C279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07B267FE" w14:textId="77777777" w:rsidR="006C279F" w:rsidRDefault="006C279F">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6C279F" w14:paraId="4958F703" w14:textId="77777777">
        <w:trPr>
          <w:divId w:val="686366939"/>
          <w:jc w:val="center"/>
        </w:trPr>
        <w:tc>
          <w:tcPr>
            <w:tcW w:w="0" w:type="auto"/>
            <w:tcBorders>
              <w:top w:val="nil"/>
              <w:left w:val="nil"/>
              <w:bottom w:val="nil"/>
              <w:right w:val="nil"/>
            </w:tcBorders>
            <w:hideMark/>
          </w:tcPr>
          <w:p w14:paraId="216AB940" w14:textId="77777777" w:rsidR="006C279F" w:rsidRDefault="006C279F">
            <w:pPr>
              <w:spacing w:after="250"/>
              <w:rPr>
                <w:rFonts w:ascii="Times" w:hAnsi="Times" w:cs="Times"/>
                <w:sz w:val="25"/>
                <w:szCs w:val="25"/>
              </w:rPr>
            </w:pPr>
          </w:p>
        </w:tc>
        <w:tc>
          <w:tcPr>
            <w:tcW w:w="0" w:type="auto"/>
            <w:tcBorders>
              <w:top w:val="nil"/>
              <w:left w:val="nil"/>
              <w:bottom w:val="nil"/>
              <w:right w:val="nil"/>
            </w:tcBorders>
            <w:hideMark/>
          </w:tcPr>
          <w:p w14:paraId="16518892" w14:textId="77777777" w:rsidR="006C279F" w:rsidRDefault="006C279F">
            <w:pPr>
              <w:rPr>
                <w:sz w:val="20"/>
                <w:szCs w:val="20"/>
              </w:rPr>
            </w:pPr>
          </w:p>
        </w:tc>
        <w:tc>
          <w:tcPr>
            <w:tcW w:w="0" w:type="auto"/>
            <w:tcBorders>
              <w:top w:val="nil"/>
              <w:left w:val="nil"/>
              <w:bottom w:val="nil"/>
              <w:right w:val="nil"/>
            </w:tcBorders>
            <w:vAlign w:val="center"/>
            <w:hideMark/>
          </w:tcPr>
          <w:p w14:paraId="50F104FB" w14:textId="77777777" w:rsidR="006C279F" w:rsidRDefault="006C279F">
            <w:pPr>
              <w:spacing w:after="250"/>
              <w:rPr>
                <w:rFonts w:ascii="Times" w:hAnsi="Times" w:cs="Times"/>
                <w:sz w:val="25"/>
                <w:szCs w:val="25"/>
              </w:rPr>
            </w:pPr>
            <w:r>
              <w:rPr>
                <w:rFonts w:ascii="Times" w:hAnsi="Times" w:cs="Times"/>
                <w:sz w:val="25"/>
                <w:szCs w:val="25"/>
              </w:rPr>
              <w:t>Zákon č. 343/2015 Z. z. o verejnom obstarávaní a o zmene a doplnení niektorých zákonov v znení neskorších predpisov - úplný</w:t>
            </w:r>
            <w:r>
              <w:rPr>
                <w:rFonts w:ascii="Times" w:hAnsi="Times" w:cs="Times"/>
                <w:sz w:val="25"/>
                <w:szCs w:val="25"/>
              </w:rPr>
              <w:br/>
            </w:r>
          </w:p>
        </w:tc>
      </w:tr>
      <w:tr w:rsidR="006C279F" w14:paraId="4A2AA33C" w14:textId="77777777">
        <w:trPr>
          <w:divId w:val="686366939"/>
          <w:jc w:val="center"/>
        </w:trPr>
        <w:tc>
          <w:tcPr>
            <w:tcW w:w="0" w:type="auto"/>
            <w:tcBorders>
              <w:top w:val="nil"/>
              <w:left w:val="nil"/>
              <w:bottom w:val="nil"/>
              <w:right w:val="nil"/>
            </w:tcBorders>
            <w:hideMark/>
          </w:tcPr>
          <w:p w14:paraId="75090228" w14:textId="77777777" w:rsidR="006C279F" w:rsidRDefault="006C279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75A4B117" w14:textId="77777777" w:rsidR="006C279F" w:rsidRDefault="006C279F">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6C279F" w14:paraId="3B7B8A2B" w14:textId="77777777">
        <w:trPr>
          <w:divId w:val="686366939"/>
          <w:jc w:val="center"/>
        </w:trPr>
        <w:tc>
          <w:tcPr>
            <w:tcW w:w="0" w:type="auto"/>
            <w:tcBorders>
              <w:top w:val="nil"/>
              <w:left w:val="nil"/>
              <w:bottom w:val="nil"/>
              <w:right w:val="nil"/>
            </w:tcBorders>
            <w:hideMark/>
          </w:tcPr>
          <w:p w14:paraId="60C51394" w14:textId="77777777" w:rsidR="006C279F" w:rsidRDefault="006C279F">
            <w:pPr>
              <w:spacing w:after="250"/>
              <w:rPr>
                <w:rFonts w:ascii="Times" w:hAnsi="Times" w:cs="Times"/>
                <w:b/>
                <w:bCs/>
                <w:sz w:val="25"/>
                <w:szCs w:val="25"/>
              </w:rPr>
            </w:pPr>
          </w:p>
        </w:tc>
        <w:tc>
          <w:tcPr>
            <w:tcW w:w="0" w:type="auto"/>
            <w:tcBorders>
              <w:top w:val="nil"/>
              <w:left w:val="nil"/>
              <w:bottom w:val="nil"/>
              <w:right w:val="nil"/>
            </w:tcBorders>
            <w:hideMark/>
          </w:tcPr>
          <w:p w14:paraId="038D0C5B" w14:textId="77777777" w:rsidR="006C279F" w:rsidRDefault="006C279F">
            <w:pPr>
              <w:rPr>
                <w:sz w:val="20"/>
                <w:szCs w:val="20"/>
              </w:rPr>
            </w:pPr>
          </w:p>
        </w:tc>
        <w:tc>
          <w:tcPr>
            <w:tcW w:w="0" w:type="auto"/>
            <w:tcBorders>
              <w:top w:val="nil"/>
              <w:left w:val="nil"/>
              <w:bottom w:val="nil"/>
              <w:right w:val="nil"/>
            </w:tcBorders>
            <w:vAlign w:val="center"/>
            <w:hideMark/>
          </w:tcPr>
          <w:p w14:paraId="551FAEA3" w14:textId="77777777" w:rsidR="006C279F" w:rsidRDefault="006C279F">
            <w:pPr>
              <w:spacing w:after="250"/>
              <w:rPr>
                <w:rFonts w:ascii="Times" w:hAnsi="Times" w:cs="Times"/>
                <w:sz w:val="25"/>
                <w:szCs w:val="25"/>
              </w:rPr>
            </w:pPr>
            <w:r>
              <w:rPr>
                <w:rFonts w:ascii="Times" w:hAnsi="Times" w:cs="Times"/>
                <w:sz w:val="25"/>
                <w:szCs w:val="25"/>
              </w:rPr>
              <w:t>úplne</w:t>
            </w:r>
          </w:p>
        </w:tc>
      </w:tr>
    </w:tbl>
    <w:p w14:paraId="0FF88273" w14:textId="74FE705B"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632CC"/>
    <w:rsid w:val="000C03E4"/>
    <w:rsid w:val="000C5887"/>
    <w:rsid w:val="00117A7E"/>
    <w:rsid w:val="001D60ED"/>
    <w:rsid w:val="001F0AA3"/>
    <w:rsid w:val="0020025E"/>
    <w:rsid w:val="0023485C"/>
    <w:rsid w:val="002B14DD"/>
    <w:rsid w:val="002E6AC0"/>
    <w:rsid w:val="003841E0"/>
    <w:rsid w:val="003D0DA4"/>
    <w:rsid w:val="00420CFC"/>
    <w:rsid w:val="00482868"/>
    <w:rsid w:val="004A3CCB"/>
    <w:rsid w:val="004B1E6E"/>
    <w:rsid w:val="004E7F23"/>
    <w:rsid w:val="00596545"/>
    <w:rsid w:val="0062360C"/>
    <w:rsid w:val="00632C56"/>
    <w:rsid w:val="006C0FA0"/>
    <w:rsid w:val="006C279F"/>
    <w:rsid w:val="006E1D9C"/>
    <w:rsid w:val="006F3E6F"/>
    <w:rsid w:val="00785F65"/>
    <w:rsid w:val="007F5B72"/>
    <w:rsid w:val="00814DF5"/>
    <w:rsid w:val="00824CCF"/>
    <w:rsid w:val="00847169"/>
    <w:rsid w:val="008570D4"/>
    <w:rsid w:val="008655C8"/>
    <w:rsid w:val="008A2A21"/>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E0D24C8-BF01-4F31-9BBB-5C61C60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901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58">
          <w:marLeft w:val="0"/>
          <w:marRight w:val="0"/>
          <w:marTop w:val="0"/>
          <w:marBottom w:val="0"/>
          <w:divBdr>
            <w:top w:val="none" w:sz="0" w:space="0" w:color="auto"/>
            <w:left w:val="none" w:sz="0" w:space="0" w:color="auto"/>
            <w:bottom w:val="none" w:sz="0" w:space="0" w:color="auto"/>
            <w:right w:val="none" w:sz="0" w:space="0" w:color="auto"/>
          </w:divBdr>
        </w:div>
      </w:divsChild>
    </w:div>
    <w:div w:id="603802541">
      <w:bodyDiv w:val="1"/>
      <w:marLeft w:val="0"/>
      <w:marRight w:val="0"/>
      <w:marTop w:val="0"/>
      <w:marBottom w:val="0"/>
      <w:divBdr>
        <w:top w:val="none" w:sz="0" w:space="0" w:color="auto"/>
        <w:left w:val="none" w:sz="0" w:space="0" w:color="auto"/>
        <w:bottom w:val="none" w:sz="0" w:space="0" w:color="auto"/>
        <w:right w:val="none" w:sz="0" w:space="0" w:color="auto"/>
      </w:divBdr>
      <w:divsChild>
        <w:div w:id="384566120">
          <w:marLeft w:val="0"/>
          <w:marRight w:val="0"/>
          <w:marTop w:val="0"/>
          <w:marBottom w:val="0"/>
          <w:divBdr>
            <w:top w:val="none" w:sz="0" w:space="0" w:color="auto"/>
            <w:left w:val="none" w:sz="0" w:space="0" w:color="auto"/>
            <w:bottom w:val="none" w:sz="0" w:space="0" w:color="auto"/>
            <w:right w:val="none" w:sz="0" w:space="0" w:color="auto"/>
          </w:divBdr>
        </w:div>
      </w:divsChild>
    </w:div>
    <w:div w:id="686366939">
      <w:bodyDiv w:val="1"/>
      <w:marLeft w:val="0"/>
      <w:marRight w:val="0"/>
      <w:marTop w:val="0"/>
      <w:marBottom w:val="0"/>
      <w:divBdr>
        <w:top w:val="none" w:sz="0" w:space="0" w:color="auto"/>
        <w:left w:val="none" w:sz="0" w:space="0" w:color="auto"/>
        <w:bottom w:val="none" w:sz="0" w:space="0" w:color="auto"/>
        <w:right w:val="none" w:sz="0" w:space="0" w:color="auto"/>
      </w:divBdr>
    </w:div>
    <w:div w:id="1128010699">
      <w:bodyDiv w:val="1"/>
      <w:marLeft w:val="0"/>
      <w:marRight w:val="0"/>
      <w:marTop w:val="0"/>
      <w:marBottom w:val="0"/>
      <w:divBdr>
        <w:top w:val="none" w:sz="0" w:space="0" w:color="auto"/>
        <w:left w:val="none" w:sz="0" w:space="0" w:color="auto"/>
        <w:bottom w:val="none" w:sz="0" w:space="0" w:color="auto"/>
        <w:right w:val="none" w:sz="0" w:space="0" w:color="auto"/>
      </w:divBdr>
      <w:divsChild>
        <w:div w:id="145798709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419591681">
      <w:bodyDiv w:val="1"/>
      <w:marLeft w:val="0"/>
      <w:marRight w:val="0"/>
      <w:marTop w:val="0"/>
      <w:marBottom w:val="0"/>
      <w:divBdr>
        <w:top w:val="none" w:sz="0" w:space="0" w:color="auto"/>
        <w:left w:val="none" w:sz="0" w:space="0" w:color="auto"/>
        <w:bottom w:val="none" w:sz="0" w:space="0" w:color="auto"/>
        <w:right w:val="none" w:sz="0" w:space="0" w:color="auto"/>
      </w:divBdr>
      <w:divsChild>
        <w:div w:id="485167281">
          <w:marLeft w:val="0"/>
          <w:marRight w:val="0"/>
          <w:marTop w:val="0"/>
          <w:marBottom w:val="0"/>
          <w:divBdr>
            <w:top w:val="none" w:sz="0" w:space="0" w:color="auto"/>
            <w:left w:val="none" w:sz="0" w:space="0" w:color="auto"/>
            <w:bottom w:val="none" w:sz="0" w:space="0" w:color="auto"/>
            <w:right w:val="none" w:sz="0" w:space="0" w:color="auto"/>
          </w:divBdr>
        </w:div>
      </w:divsChild>
    </w:div>
    <w:div w:id="2040281797">
      <w:bodyDiv w:val="1"/>
      <w:marLeft w:val="0"/>
      <w:marRight w:val="0"/>
      <w:marTop w:val="0"/>
      <w:marBottom w:val="0"/>
      <w:divBdr>
        <w:top w:val="none" w:sz="0" w:space="0" w:color="auto"/>
        <w:left w:val="none" w:sz="0" w:space="0" w:color="auto"/>
        <w:bottom w:val="none" w:sz="0" w:space="0" w:color="auto"/>
        <w:right w:val="none" w:sz="0" w:space="0" w:color="auto"/>
      </w:divBdr>
      <w:divsChild>
        <w:div w:id="183070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7.2019 15:31:36"/>
    <f:field ref="objchangedby" par="" text="Administrator, System"/>
    <f:field ref="objmodifiedat" par="" text="1.7.2019 15:31:39"/>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98CA5E-F076-4EB0-ACFD-FFCE0D1C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Majchrak Robert</cp:lastModifiedBy>
  <cp:revision>2</cp:revision>
  <dcterms:created xsi:type="dcterms:W3CDTF">2019-08-14T13:14:00Z</dcterms:created>
  <dcterms:modified xsi:type="dcterms:W3CDTF">2019-08-14T13:14:00Z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COO.2145.1000.3.3474195</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na rok 2019</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10276-P/2019</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LP/2019/520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C-538/07_x000d_
C-531/16_x000d_
C 124/17</vt:lpwstr>
  </property>
  <property fmtid="{D5CDD505-2E9C-101B-9397-08002B2CF9AE}" pid="44" name="FSC#SKEDITIONSLOVLEX@103.510:AttrStrListDocPropLehotaPrebratieSmernice">
    <vt:lpwstr>nie je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nie je </vt:lpwstr>
  </property>
  <property fmtid="{D5CDD505-2E9C-101B-9397-08002B2CF9AE}" pid="47" name="FSC#SKEDITIONSLOVLEX@103.510:AttrStrListDocPropInfoUzPreberanePP">
    <vt:lpwstr>Zákon č. 343/2015 Z. z. o verejnom obstarávaní a o zmene a doplnení niektorých zákonov v znení neskorších predpisov - úplný</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25. 6. 2019</vt:lpwstr>
  </property>
  <property fmtid="{D5CDD505-2E9C-101B-9397-08002B2CF9AE}" pid="51" name="FSC#SKEDITIONSLOVLEX@103.510:AttrDateDocPropUkonceniePKK">
    <vt:lpwstr>1. 7. 2019</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Pozitívne_x000d_
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58"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59"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funkciaPred">
    <vt:lpwstr>referent</vt:lpwstr>
  </property>
  <property fmtid="{D5CDD505-2E9C-101B-9397-08002B2CF9AE}" pid="135" name="FSC#SKEDITIONSLOVLEX@103.510:funkciaPredAkuzativ">
    <vt:lpwstr>refrentovi</vt:lpwstr>
  </property>
  <property fmtid="{D5CDD505-2E9C-101B-9397-08002B2CF9AE}" pid="136" name="FSC#SKEDITIONSLOVLEX@103.510:funkciaPredDativ">
    <vt:lpwstr>referenta</vt:lpwstr>
  </property>
  <property fmtid="{D5CDD505-2E9C-101B-9397-08002B2CF9AE}" pid="137" name="FSC#SKEDITIONSLOVLEX@103.510:funkciaZodpPred">
    <vt:lpwstr>predseda</vt:lpwstr>
  </property>
  <property fmtid="{D5CDD505-2E9C-101B-9397-08002B2CF9AE}" pid="138" name="FSC#SKEDITIONSLOVLEX@103.510:funkciaZodpPredAkuzativ">
    <vt:lpwstr>predsedu</vt:lpwstr>
  </property>
  <property fmtid="{D5CDD505-2E9C-101B-9397-08002B2CF9AE}" pid="139" name="FSC#SKEDITIONSLOVLEX@103.510:funkciaZodpPredDativ">
    <vt:lpwstr>predsedovi</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JUDr. Miroslav Hlivák_x000d_
predseda</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1. 7. 2019</vt:lpwstr>
  </property>
</Properties>
</file>