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D8" w:rsidRPr="005B6616" w:rsidRDefault="00093AD8" w:rsidP="00093AD8">
      <w:pPr>
        <w:jc w:val="center"/>
        <w:rPr>
          <w:rFonts w:ascii="Times New Roman" w:hAnsi="Times New Roman" w:cs="Times New Roman"/>
          <w:b/>
          <w:sz w:val="28"/>
          <w:szCs w:val="28"/>
        </w:rPr>
      </w:pPr>
      <w:r w:rsidRPr="005B6616">
        <w:rPr>
          <w:rFonts w:ascii="Times New Roman" w:hAnsi="Times New Roman" w:cs="Times New Roman"/>
          <w:b/>
          <w:sz w:val="28"/>
          <w:szCs w:val="28"/>
        </w:rPr>
        <w:t>Predkladacia správa</w:t>
      </w:r>
    </w:p>
    <w:p w:rsidR="00093AD8" w:rsidRPr="005B6616" w:rsidRDefault="00093AD8" w:rsidP="00093AD8">
      <w:pPr>
        <w:spacing w:after="0" w:line="240" w:lineRule="auto"/>
        <w:jc w:val="both"/>
        <w:rPr>
          <w:rFonts w:ascii="Times New Roman" w:hAnsi="Times New Roman" w:cs="Times New Roman"/>
          <w:sz w:val="24"/>
          <w:szCs w:val="24"/>
        </w:rPr>
      </w:pPr>
    </w:p>
    <w:p w:rsidR="00093AD8" w:rsidRPr="005B6616" w:rsidRDefault="00093AD8" w:rsidP="00093A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6616">
        <w:rPr>
          <w:rFonts w:ascii="Times New Roman" w:eastAsia="Calibri" w:hAnsi="Times New Roman" w:cs="Times New Roman"/>
          <w:sz w:val="24"/>
          <w:szCs w:val="24"/>
          <w:lang w:eastAsia="sk-SK"/>
        </w:rPr>
        <w:t xml:space="preserve">Návrh </w:t>
      </w:r>
      <w:r w:rsidRPr="005B6616">
        <w:rPr>
          <w:rFonts w:ascii="Times New Roman" w:eastAsia="Calibri" w:hAnsi="Times New Roman" w:cs="Times New Roman"/>
          <w:sz w:val="24"/>
          <w:szCs w:val="24"/>
        </w:rPr>
        <w:t>z</w:t>
      </w:r>
      <w:r w:rsidRPr="005B6616">
        <w:rPr>
          <w:rFonts w:ascii="Times New Roman" w:hAnsi="Times New Roman" w:cs="Times New Roman"/>
          <w:sz w:val="24"/>
          <w:szCs w:val="24"/>
        </w:rPr>
        <w:t xml:space="preserve">ákona, ktorým sa mení a dopĺňa zákon č. 281/2015 Z. z. o štátnej službe profesionálnych vojakov a o zmene a doplnení niektorých zákonov v znení neskorších predpisov a ktorým sa menia niektoré zákony (ďalej len „návrh zákona“) bol spracovaný </w:t>
      </w:r>
      <w:r w:rsidR="00C27793" w:rsidRPr="002167C2">
        <w:rPr>
          <w:rFonts w:ascii="Times New Roman" w:hAnsi="Times New Roman" w:cs="Times New Roman"/>
          <w:sz w:val="24"/>
          <w:szCs w:val="24"/>
        </w:rPr>
        <w:t>na</w:t>
      </w:r>
      <w:r w:rsidR="00C27793">
        <w:rPr>
          <w:rFonts w:ascii="Times New Roman" w:hAnsi="Times New Roman" w:cs="Times New Roman"/>
          <w:color w:val="FF0000"/>
          <w:sz w:val="24"/>
          <w:szCs w:val="24"/>
        </w:rPr>
        <w:t xml:space="preserve"> </w:t>
      </w:r>
      <w:r w:rsidR="00C27793" w:rsidRPr="00FD6BB6">
        <w:rPr>
          <w:rFonts w:ascii="Times New Roman" w:hAnsi="Times New Roman" w:cs="Times New Roman"/>
          <w:sz w:val="24"/>
          <w:szCs w:val="24"/>
        </w:rPr>
        <w:t xml:space="preserve">základe koncepcie </w:t>
      </w:r>
      <w:r w:rsidRPr="00FD6BB6">
        <w:rPr>
          <w:rFonts w:ascii="Times New Roman" w:hAnsi="Times New Roman" w:cs="Times New Roman"/>
          <w:sz w:val="24"/>
          <w:szCs w:val="24"/>
        </w:rPr>
        <w:t>manažmentu vojenského personálu ozbrojených síl Slovenskej republiky (ďalej len „koncepcia“)</w:t>
      </w:r>
      <w:r w:rsidR="00C27793" w:rsidRPr="00FD6BB6">
        <w:rPr>
          <w:rFonts w:ascii="Times New Roman" w:hAnsi="Times New Roman" w:cs="Times New Roman"/>
          <w:sz w:val="24"/>
          <w:szCs w:val="24"/>
        </w:rPr>
        <w:t xml:space="preserve"> schválenej vládou Slovenskej republiky (uznesenie č. 250 z 29. mája 2019). Koncepcia</w:t>
      </w:r>
      <w:r w:rsidRPr="00FD6BB6">
        <w:rPr>
          <w:rFonts w:ascii="Times New Roman" w:hAnsi="Times New Roman" w:cs="Times New Roman"/>
          <w:sz w:val="24"/>
          <w:szCs w:val="24"/>
        </w:rPr>
        <w:t xml:space="preserve"> </w:t>
      </w:r>
      <w:r w:rsidRPr="005B6616">
        <w:rPr>
          <w:rFonts w:ascii="Times New Roman" w:hAnsi="Times New Roman" w:cs="Times New Roman"/>
          <w:sz w:val="24"/>
          <w:szCs w:val="24"/>
        </w:rPr>
        <w:t xml:space="preserve">predstavuje smerovanie implementácie bezpečnostnej, obrannej a vojenskej stratégie, Bielej knihy o obrane Slovenskej republiky a Dlhodobého plánu rozvoja obrany s dôrazom na výstavbu a rozvoj ozbrojených síl Slovenskej republiky s výhľadom do roku 2030 v oblasti ľudských zdrojov, predovšetkým  vojenského personálu. </w:t>
      </w:r>
    </w:p>
    <w:p w:rsidR="00093AD8" w:rsidRPr="005B6616" w:rsidRDefault="00093AD8" w:rsidP="00093AD8">
      <w:pPr>
        <w:spacing w:after="0" w:line="240" w:lineRule="auto"/>
        <w:ind w:firstLine="709"/>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Koncepcia v oblasti motivácie a stimulácie poukázala na deformáciu súčasného systému odmeňovania. V záujme nastavenia kvalitného systému odmeňovania, ktorý bude na strane jednej naplňovať jednu zo základných podmienok odmeňovania, ktorou je spravodlivosť v odmeňovaní a na strane druhej konkurencieschopnosť na trhu práce, bolo preto nevyhnutné  pristúpiť k transformácii systému odmeňovania, založenom na</w:t>
      </w:r>
      <w:r w:rsidRPr="005B6616">
        <w:rPr>
          <w:rFonts w:ascii="Times New Roman" w:hAnsi="Times New Roman" w:cs="Times New Roman"/>
          <w:sz w:val="24"/>
          <w:szCs w:val="24"/>
        </w:rPr>
        <w:t xml:space="preserve"> zmene filozofie systému odmeňovania spočívajúcom v prechode zo systému odmeňovania založenom na hodnostnom plate na systém odmeňovania založenom na odmeňovaní za výkon funkcie.</w:t>
      </w:r>
    </w:p>
    <w:p w:rsidR="00093AD8" w:rsidRPr="005B6616" w:rsidRDefault="00093AD8" w:rsidP="00093AD8">
      <w:pPr>
        <w:pStyle w:val="Odsekzoznamu"/>
        <w:ind w:left="0" w:firstLine="708"/>
        <w:contextualSpacing w:val="0"/>
        <w:jc w:val="both"/>
      </w:pPr>
      <w:r w:rsidRPr="005B6616">
        <w:t>Cieľom návrhu zákona je úprava systému odmeňovania spojená so zvýšením platových náležitostí profesionálnych vojakov, odrážajúcich náročnosť vojenského povolania v nadväznosti na vykonávanú funkciu, a vytvárajúcich predpoklady ich konkurencieschopnosti na trhu práce. Návrh zákona zachováva síce inštitút hodnostného platu, ale s tým, že bude dvojzložkový. Hodnostný plat bude pozostávať z hodnostnej tarify a funkčnej tarify. P</w:t>
      </w:r>
      <w:r w:rsidRPr="005B6616">
        <w:rPr>
          <w:bCs/>
        </w:rPr>
        <w:t>odiel</w:t>
      </w:r>
      <w:r w:rsidRPr="005B6616">
        <w:t xml:space="preserve"> na hodnostnom plate bude tvoriť približne 1/3 hodnostná tarifa a 2/3 funkčná tarifa. </w:t>
      </w:r>
    </w:p>
    <w:p w:rsidR="00093AD8" w:rsidRPr="005B6616" w:rsidRDefault="00093AD8" w:rsidP="00093AD8">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 xml:space="preserve">Návrhom zákona sa zavádza inštitút zvyšovania hodnostného platu o 1 % za každý rok výkonu štátnej služby. Ďalej, funkčná tarifa, vo vzťahu k vykonávanej funkcii v jednotlivých vojenských hodnostiach, môže byť zvýšená až do výšky </w:t>
      </w:r>
      <w:r w:rsidR="00E6596D" w:rsidRPr="002167C2">
        <w:rPr>
          <w:rFonts w:ascii="Times New Roman" w:hAnsi="Times New Roman" w:cs="Times New Roman"/>
          <w:sz w:val="24"/>
          <w:szCs w:val="24"/>
        </w:rPr>
        <w:t xml:space="preserve">50 % </w:t>
      </w:r>
      <w:r w:rsidR="002167C2">
        <w:rPr>
          <w:rFonts w:ascii="Times New Roman" w:hAnsi="Times New Roman" w:cs="Times New Roman"/>
          <w:sz w:val="24"/>
          <w:szCs w:val="24"/>
        </w:rPr>
        <w:t xml:space="preserve"> </w:t>
      </w:r>
      <w:r w:rsidRPr="005B6616">
        <w:rPr>
          <w:rFonts w:ascii="Times New Roman" w:hAnsi="Times New Roman" w:cs="Times New Roman"/>
          <w:sz w:val="24"/>
          <w:szCs w:val="24"/>
        </w:rPr>
        <w:t>pričom jedným z rozhodujúcich prvkov bude charakter vykonávanej funkcie.</w:t>
      </w:r>
    </w:p>
    <w:p w:rsidR="00093AD8" w:rsidRPr="005B6616" w:rsidRDefault="00093AD8" w:rsidP="00093AD8">
      <w:pPr>
        <w:pStyle w:val="Textpoznmkypodiarou"/>
        <w:ind w:left="0" w:firstLine="644"/>
        <w:jc w:val="both"/>
        <w:rPr>
          <w:sz w:val="24"/>
          <w:szCs w:val="24"/>
        </w:rPr>
      </w:pPr>
      <w:r w:rsidRPr="005B6616">
        <w:rPr>
          <w:sz w:val="24"/>
          <w:szCs w:val="24"/>
        </w:rPr>
        <w:t xml:space="preserve">Úprava platových náležitostí profesionálnych vojakov v rámci transformácie systému odmeňovania vytvára reálne predpoklady smerujúce k postupnej eliminácii a zastaveniu poklesu záujmu o vojenské povolanie, k zvýšeniu atraktivity a konkurencieschopnosti vojenského povolania na trhu práce, k stabilizácii skúsených, vzdelaných, vycvičených a jazykovo pripravených profesionálnych vojakov. </w:t>
      </w:r>
    </w:p>
    <w:p w:rsidR="00093AD8" w:rsidRPr="005B6616" w:rsidRDefault="00093AD8" w:rsidP="00093AD8">
      <w:pPr>
        <w:pStyle w:val="Textpoznmkypodiarou"/>
        <w:ind w:left="0" w:firstLine="709"/>
        <w:jc w:val="both"/>
        <w:rPr>
          <w:sz w:val="24"/>
          <w:szCs w:val="24"/>
        </w:rPr>
      </w:pPr>
      <w:r w:rsidRPr="005B6616">
        <w:rPr>
          <w:sz w:val="24"/>
          <w:szCs w:val="24"/>
        </w:rPr>
        <w:t>Návrh zákona, ktorým Ministerstv</w:t>
      </w:r>
      <w:r w:rsidR="001165A0">
        <w:rPr>
          <w:sz w:val="24"/>
          <w:szCs w:val="24"/>
        </w:rPr>
        <w:t>o</w:t>
      </w:r>
      <w:r w:rsidRPr="005B6616">
        <w:rPr>
          <w:sz w:val="24"/>
          <w:szCs w:val="24"/>
        </w:rPr>
        <w:t xml:space="preserve"> obrany Slovenskej republiky (ďalej len „ministerstvo obrany“) pristupuje k naplňovaniu svojich cieľov v oblasti skvalitňovania štátnej služby profesionálnych vojakov transponovaných do právnej úpravy platových náležitostí profesionálnych vojakov spojenej so  zvýšením ich platov je tiež o zhodnocovaní investícií, ktoré ministerstvo obrany na vojenský personál vynakladá. Potreba investícií do vojenského personálu je v priamej úmere s plnením úloh, ktoré pre profesionálnych vojakov vyplývajú zo všeobecne záväzných právnych predpisov a kladú vysoké nároky na ich psychickú odolnosť, fyzickú zdatnosť, profesionálnu odbornosť, bezúhonnosť a pripravenosť plniť povinnosti ustanovené príslušnými zákonmi pri obrane štátu tak v čase bezpečnosti, ako aj krízových situáciách vojenského i nevojenského charakteru. Profesionálni vojaci majú obmedzené niektoré ústavné práva, sú na nich kladené, i spoločensky očakávané, vysoké nároky, pričom pri výkone štátnej služby sa nepredpokladá zlyhanie ľudského faktora, a to ani v osobitne záťažových situáciách, pri ktorých môže dôjsť k ohrozeniu života alebo zdravia aj ich samých. </w:t>
      </w:r>
    </w:p>
    <w:p w:rsidR="00093AD8" w:rsidRPr="005B6616" w:rsidRDefault="00093AD8" w:rsidP="00093AD8">
      <w:pPr>
        <w:pStyle w:val="Textpoznmkypodiarou"/>
        <w:ind w:left="0" w:firstLine="709"/>
        <w:jc w:val="both"/>
        <w:rPr>
          <w:sz w:val="24"/>
          <w:szCs w:val="24"/>
        </w:rPr>
      </w:pPr>
      <w:r w:rsidRPr="005B6616">
        <w:rPr>
          <w:sz w:val="24"/>
          <w:szCs w:val="24"/>
        </w:rPr>
        <w:t xml:space="preserve">Návrhom zákona ministerstvo obrany dodržuje a rozvíja princíp hodnoty za peniaze, nakoľko si je vedomé, že prostriedky, ktoré investuje do vojenského personálu, nie sú prostriedky „len“ ministerstva obrany, ale sú to prostriedky čerpané z verejných zdrojov. </w:t>
      </w:r>
      <w:r w:rsidRPr="005B6616">
        <w:rPr>
          <w:sz w:val="24"/>
          <w:szCs w:val="24"/>
        </w:rPr>
        <w:lastRenderedPageBreak/>
        <w:t>Ministerstvo obrany naplňuje celospoločensky prospešné úlohy na úseku obrany a bezpečnosti, ktoré mu štát zveril do pôsobnosti. Štát je ten, ktorý určuje hodnotu zabezpečenia obrany a bezpečnosti štátu nielen z hľadiska vyčlenených prostriedkov, ktoré môže ministerstvo vynaložiť na modernizačné projekty, ale tiež z hľadiska prostriedkov, ktoré môže vynaložiť na vojenský personál. Hodnota vynaložených prostriedkov sa v konečnom dôsledku odzrkadlí v naplnenosti ozbrojených síl Slovenskej republiky (ďalej len „ozbrojené sily“) vojenským personálom v potrebnej kvantite a kvalite, v pripravenosti a vycvičenosti vojenského personálu s dopadom na rozvoj a udržanie potrebných spôsobilostí ozbrojených síl.</w:t>
      </w:r>
    </w:p>
    <w:p w:rsidR="00093AD8" w:rsidRPr="00F924D2" w:rsidRDefault="00093AD8" w:rsidP="00093AD8">
      <w:pPr>
        <w:spacing w:after="0" w:line="240" w:lineRule="auto"/>
        <w:ind w:firstLine="709"/>
        <w:jc w:val="both"/>
        <w:rPr>
          <w:rFonts w:ascii="Times New Roman" w:hAnsi="Times New Roman" w:cs="Times New Roman"/>
          <w:sz w:val="24"/>
          <w:szCs w:val="24"/>
        </w:rPr>
      </w:pPr>
      <w:r w:rsidRPr="005B6616">
        <w:rPr>
          <w:rFonts w:ascii="Times New Roman" w:hAnsi="Times New Roman" w:cs="Times New Roman"/>
          <w:sz w:val="24"/>
          <w:szCs w:val="24"/>
        </w:rPr>
        <w:t xml:space="preserve">Návrh zákona obsahuje štyri články. </w:t>
      </w:r>
      <w:r w:rsidRPr="001277F2">
        <w:rPr>
          <w:rFonts w:ascii="Times New Roman" w:hAnsi="Times New Roman" w:cs="Times New Roman"/>
          <w:sz w:val="24"/>
          <w:szCs w:val="24"/>
        </w:rPr>
        <w:t>Prvý článok novelizuje doterajšiu právnu úpravu platových náležitostí profesionálnych vojakov</w:t>
      </w:r>
      <w:r w:rsidR="00250099" w:rsidRPr="001277F2">
        <w:rPr>
          <w:rFonts w:ascii="Times New Roman" w:hAnsi="Times New Roman" w:cs="Times New Roman"/>
          <w:sz w:val="24"/>
          <w:szCs w:val="24"/>
        </w:rPr>
        <w:t xml:space="preserve"> a</w:t>
      </w:r>
      <w:r w:rsidRPr="001277F2">
        <w:rPr>
          <w:rFonts w:ascii="Times New Roman" w:hAnsi="Times New Roman" w:cs="Times New Roman"/>
          <w:sz w:val="24"/>
          <w:szCs w:val="24"/>
        </w:rPr>
        <w:t> ustanovovani</w:t>
      </w:r>
      <w:r w:rsidR="00250099" w:rsidRPr="001277F2">
        <w:rPr>
          <w:rFonts w:ascii="Times New Roman" w:hAnsi="Times New Roman" w:cs="Times New Roman"/>
          <w:sz w:val="24"/>
          <w:szCs w:val="24"/>
        </w:rPr>
        <w:t>a</w:t>
      </w:r>
      <w:r w:rsidRPr="001277F2">
        <w:rPr>
          <w:rFonts w:ascii="Times New Roman" w:hAnsi="Times New Roman" w:cs="Times New Roman"/>
          <w:sz w:val="24"/>
          <w:szCs w:val="24"/>
        </w:rPr>
        <w:t xml:space="preserve"> profesionálnych vojakov do funkcií</w:t>
      </w:r>
      <w:r w:rsidR="00250099" w:rsidRPr="001277F2">
        <w:rPr>
          <w:rFonts w:ascii="Times New Roman" w:hAnsi="Times New Roman" w:cs="Times New Roman"/>
          <w:sz w:val="24"/>
          <w:szCs w:val="24"/>
        </w:rPr>
        <w:t xml:space="preserve"> a rozširuje oprávnenie služobného úradu spracúvať na účely plneni</w:t>
      </w:r>
      <w:r w:rsidR="00FC5973">
        <w:rPr>
          <w:rFonts w:ascii="Times New Roman" w:hAnsi="Times New Roman" w:cs="Times New Roman"/>
          <w:sz w:val="24"/>
          <w:szCs w:val="24"/>
        </w:rPr>
        <w:t>a</w:t>
      </w:r>
      <w:r w:rsidR="00250099" w:rsidRPr="001277F2">
        <w:rPr>
          <w:rFonts w:ascii="Times New Roman" w:hAnsi="Times New Roman" w:cs="Times New Roman"/>
          <w:sz w:val="24"/>
          <w:szCs w:val="24"/>
        </w:rPr>
        <w:t xml:space="preserve"> úloh podľa zákona č. 281/2015 Z. z. aj údaje o krvnej skupine profesionálneho vojaka, ktorý profesionálny vojak v závislosti od charakteru plnenia úloh nosí na vojenskej rovnošate</w:t>
      </w:r>
      <w:r w:rsidRPr="001277F2">
        <w:rPr>
          <w:rFonts w:ascii="Times New Roman" w:hAnsi="Times New Roman" w:cs="Times New Roman"/>
          <w:sz w:val="24"/>
          <w:szCs w:val="24"/>
        </w:rPr>
        <w:t xml:space="preserve">. </w:t>
      </w:r>
      <w:r w:rsidRPr="00F924D2">
        <w:rPr>
          <w:rFonts w:ascii="Times New Roman" w:hAnsi="Times New Roman" w:cs="Times New Roman"/>
          <w:sz w:val="24"/>
          <w:szCs w:val="24"/>
        </w:rPr>
        <w:t>V nadväznosti na úpravu skladby hodnostného platu profesionálnych vojakov sa druhým a tretím článkom menia z</w:t>
      </w:r>
      <w:r w:rsidRPr="00F924D2">
        <w:rPr>
          <w:rFonts w:ascii="Times New Roman" w:hAnsi="Times New Roman" w:cs="Times New Roman"/>
          <w:sz w:val="24"/>
          <w:szCs w:val="24"/>
          <w:shd w:val="clear" w:color="auto" w:fill="FFFFFF"/>
        </w:rPr>
        <w:t xml:space="preserve">ákon č. 569/2005 Z. z. o alternatívnej službe v čase vojny a vojnového stavu v znení neskorších predpisov a zákon č. 570/2005 Z. z. o brannej povinnosti a o zmene a doplnení niektorých zákonov v znení neskorších predpisov. Štvrtý článok vymedzuje účinnosť návrhu zákona, ktorá sa vzhľadom na dĺžku legislatívneho procesu navrhuje od </w:t>
      </w:r>
      <w:r w:rsidRPr="002167C2">
        <w:rPr>
          <w:rFonts w:ascii="Times New Roman" w:hAnsi="Times New Roman" w:cs="Times New Roman"/>
          <w:sz w:val="24"/>
          <w:szCs w:val="24"/>
          <w:shd w:val="clear" w:color="auto" w:fill="FFFFFF"/>
        </w:rPr>
        <w:t xml:space="preserve">1. </w:t>
      </w:r>
      <w:r w:rsidR="00382E1C" w:rsidRPr="002167C2">
        <w:rPr>
          <w:rFonts w:ascii="Times New Roman" w:hAnsi="Times New Roman" w:cs="Times New Roman"/>
          <w:sz w:val="24"/>
          <w:szCs w:val="24"/>
          <w:shd w:val="clear" w:color="auto" w:fill="FFFFFF"/>
        </w:rPr>
        <w:t>februára 2020</w:t>
      </w:r>
      <w:r w:rsidRPr="002167C2">
        <w:rPr>
          <w:rFonts w:ascii="Times New Roman" w:hAnsi="Times New Roman" w:cs="Times New Roman"/>
          <w:sz w:val="24"/>
          <w:szCs w:val="24"/>
          <w:shd w:val="clear" w:color="auto" w:fill="FFFFFF"/>
        </w:rPr>
        <w:t>.</w:t>
      </w:r>
    </w:p>
    <w:p w:rsidR="000E23D5" w:rsidRPr="001277F2" w:rsidRDefault="000E23D5" w:rsidP="000E23D5">
      <w:pPr>
        <w:pStyle w:val="Textpoznmkypodiarou"/>
        <w:ind w:left="0" w:firstLine="644"/>
        <w:jc w:val="both"/>
        <w:rPr>
          <w:sz w:val="24"/>
          <w:szCs w:val="24"/>
        </w:rPr>
      </w:pPr>
      <w:r w:rsidRPr="001277F2">
        <w:rPr>
          <w:sz w:val="24"/>
          <w:szCs w:val="24"/>
        </w:rPr>
        <w:t>Návrh zákona si</w:t>
      </w:r>
      <w:r w:rsidR="00251A5D" w:rsidRPr="001277F2">
        <w:rPr>
          <w:sz w:val="24"/>
          <w:szCs w:val="24"/>
        </w:rPr>
        <w:t>,</w:t>
      </w:r>
      <w:r w:rsidRPr="001277F2">
        <w:rPr>
          <w:sz w:val="24"/>
          <w:szCs w:val="24"/>
        </w:rPr>
        <w:t xml:space="preserve"> vzhľadom na zmenu skladby hodnostného platu</w:t>
      </w:r>
      <w:r w:rsidR="00251A5D" w:rsidRPr="001277F2">
        <w:rPr>
          <w:sz w:val="24"/>
          <w:szCs w:val="24"/>
        </w:rPr>
        <w:t>,</w:t>
      </w:r>
      <w:r w:rsidRPr="001277F2">
        <w:rPr>
          <w:sz w:val="24"/>
          <w:szCs w:val="24"/>
        </w:rPr>
        <w:t xml:space="preserve"> vyžiada </w:t>
      </w:r>
      <w:bookmarkStart w:id="0" w:name="_GoBack"/>
      <w:bookmarkEnd w:id="0"/>
      <w:r w:rsidRPr="001277F2">
        <w:rPr>
          <w:sz w:val="24"/>
          <w:szCs w:val="24"/>
        </w:rPr>
        <w:t xml:space="preserve">aj zmenu výnosu Ministerstva obrany Slovenskej republiky o podrobnostiach výpočtu platového koeficientu príslušnej krajiny, ktorý je vydaný na základe splnomocňovacieho ustanovenia § 170 ods. 4 zákona č. 281/2015 Z. z. Zmena tohto výnosu nebude mať vplyv na štátny rozpočet, pretože jeho zmenou sa nezvyšujú zahraničné platy. Na výpočet platového koeficientu príslušnej krajiny má vplyv aj koeficient regulácie, ktorý sa určuje v závislosti od zdrojových možností štátneho rozpočtu. Platový koeficient príslušnej krajiny bude určený tak, aby dosah na rozpočet verejnej správy bol v plnom rozsahu zabezpečený v rámci limitov rozpočtových prostriedkov pridelených kapitole štátneho rozpočtu ministerstva obrany. </w:t>
      </w:r>
    </w:p>
    <w:p w:rsidR="00093AD8" w:rsidRDefault="00093AD8" w:rsidP="00093AD8">
      <w:pPr>
        <w:pStyle w:val="Textpoznmkypodiarou"/>
        <w:ind w:left="0" w:firstLine="644"/>
        <w:jc w:val="both"/>
        <w:rPr>
          <w:sz w:val="24"/>
          <w:szCs w:val="24"/>
        </w:rPr>
      </w:pPr>
      <w:r w:rsidRPr="00F924D2">
        <w:rPr>
          <w:sz w:val="24"/>
          <w:szCs w:val="24"/>
        </w:rPr>
        <w:t xml:space="preserve">Návrh zákona nie je predmetom </w:t>
      </w:r>
      <w:proofErr w:type="spellStart"/>
      <w:r w:rsidRPr="00F924D2">
        <w:rPr>
          <w:sz w:val="24"/>
          <w:szCs w:val="24"/>
        </w:rPr>
        <w:t>vnútrokomunitárneho</w:t>
      </w:r>
      <w:proofErr w:type="spellEnd"/>
      <w:r w:rsidRPr="00F924D2">
        <w:rPr>
          <w:sz w:val="24"/>
          <w:szCs w:val="24"/>
        </w:rPr>
        <w:t xml:space="preserve"> pripomienkového konania.</w:t>
      </w:r>
    </w:p>
    <w:sectPr w:rsidR="00093AD8" w:rsidSect="002167C2">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5B" w:rsidRDefault="00896E5B" w:rsidP="001B354A">
      <w:pPr>
        <w:spacing w:after="0" w:line="240" w:lineRule="auto"/>
      </w:pPr>
      <w:r>
        <w:separator/>
      </w:r>
    </w:p>
  </w:endnote>
  <w:endnote w:type="continuationSeparator" w:id="0">
    <w:p w:rsidR="00896E5B" w:rsidRDefault="00896E5B" w:rsidP="001B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2882"/>
      <w:docPartObj>
        <w:docPartGallery w:val="Page Numbers (Bottom of Page)"/>
        <w:docPartUnique/>
      </w:docPartObj>
    </w:sdtPr>
    <w:sdtContent>
      <w:p w:rsidR="002167C2" w:rsidRDefault="002167C2">
        <w:pPr>
          <w:pStyle w:val="Pta"/>
          <w:jc w:val="center"/>
        </w:pPr>
        <w:r>
          <w:fldChar w:fldCharType="begin"/>
        </w:r>
        <w:r>
          <w:instrText>PAGE   \* MERGEFORMAT</w:instrText>
        </w:r>
        <w:r>
          <w:fldChar w:fldCharType="separate"/>
        </w:r>
        <w:r>
          <w:rPr>
            <w:noProof/>
          </w:rPr>
          <w:t>2</w:t>
        </w:r>
        <w:r>
          <w:fldChar w:fldCharType="end"/>
        </w:r>
      </w:p>
    </w:sdtContent>
  </w:sdt>
  <w:p w:rsidR="001B354A" w:rsidRDefault="001B35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5B" w:rsidRDefault="00896E5B" w:rsidP="001B354A">
      <w:pPr>
        <w:spacing w:after="0" w:line="240" w:lineRule="auto"/>
      </w:pPr>
      <w:r>
        <w:separator/>
      </w:r>
    </w:p>
  </w:footnote>
  <w:footnote w:type="continuationSeparator" w:id="0">
    <w:p w:rsidR="00896E5B" w:rsidRDefault="00896E5B" w:rsidP="001B3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D8"/>
    <w:rsid w:val="00030FA3"/>
    <w:rsid w:val="00093AD8"/>
    <w:rsid w:val="000B5E56"/>
    <w:rsid w:val="000E23D5"/>
    <w:rsid w:val="001165A0"/>
    <w:rsid w:val="001277F2"/>
    <w:rsid w:val="001376C1"/>
    <w:rsid w:val="001B354A"/>
    <w:rsid w:val="002167C2"/>
    <w:rsid w:val="002247A4"/>
    <w:rsid w:val="00250099"/>
    <w:rsid w:val="00251A5D"/>
    <w:rsid w:val="00285D3F"/>
    <w:rsid w:val="00366B05"/>
    <w:rsid w:val="00371332"/>
    <w:rsid w:val="00382E1C"/>
    <w:rsid w:val="00395BC7"/>
    <w:rsid w:val="003F2D97"/>
    <w:rsid w:val="00405434"/>
    <w:rsid w:val="00482ABB"/>
    <w:rsid w:val="005136B1"/>
    <w:rsid w:val="00516048"/>
    <w:rsid w:val="00546821"/>
    <w:rsid w:val="005665B7"/>
    <w:rsid w:val="005A7624"/>
    <w:rsid w:val="005D7FD8"/>
    <w:rsid w:val="005E539C"/>
    <w:rsid w:val="0063453D"/>
    <w:rsid w:val="006531EA"/>
    <w:rsid w:val="006A423D"/>
    <w:rsid w:val="006D2007"/>
    <w:rsid w:val="00764857"/>
    <w:rsid w:val="007E0B24"/>
    <w:rsid w:val="008108F5"/>
    <w:rsid w:val="00862901"/>
    <w:rsid w:val="00896E5B"/>
    <w:rsid w:val="00930CA3"/>
    <w:rsid w:val="00980073"/>
    <w:rsid w:val="009D7513"/>
    <w:rsid w:val="00A01CA3"/>
    <w:rsid w:val="00A66144"/>
    <w:rsid w:val="00AC6D06"/>
    <w:rsid w:val="00B22EB0"/>
    <w:rsid w:val="00BE352E"/>
    <w:rsid w:val="00C27793"/>
    <w:rsid w:val="00C80EC3"/>
    <w:rsid w:val="00CE5A31"/>
    <w:rsid w:val="00D80CF4"/>
    <w:rsid w:val="00D81CC7"/>
    <w:rsid w:val="00E6596D"/>
    <w:rsid w:val="00EB0C46"/>
    <w:rsid w:val="00EF1038"/>
    <w:rsid w:val="00F633A6"/>
    <w:rsid w:val="00F7223D"/>
    <w:rsid w:val="00F770EB"/>
    <w:rsid w:val="00FC5973"/>
    <w:rsid w:val="00FD6B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8EC92-C185-4CDE-B741-6DCDE72F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3AD8"/>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093AD8"/>
    <w:rPr>
      <w:lang w:eastAsia="sk-SK"/>
    </w:rPr>
  </w:style>
  <w:style w:type="paragraph" w:styleId="Odsekzoznamu">
    <w:name w:val="List Paragraph"/>
    <w:aliases w:val="Odsek zoznamu2"/>
    <w:basedOn w:val="Normlny"/>
    <w:link w:val="OdsekzoznamuChar"/>
    <w:uiPriority w:val="34"/>
    <w:qFormat/>
    <w:rsid w:val="00093AD8"/>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093AD8"/>
    <w:rPr>
      <w:sz w:val="20"/>
      <w:szCs w:val="20"/>
      <w:lang w:eastAsia="sk-SK"/>
    </w:rPr>
  </w:style>
  <w:style w:type="paragraph" w:styleId="Textpoznmkypodiarou">
    <w:name w:val="footnote text"/>
    <w:basedOn w:val="Normlny"/>
    <w:link w:val="TextpoznmkypodiarouChar"/>
    <w:uiPriority w:val="99"/>
    <w:unhideWhenUsed/>
    <w:qFormat/>
    <w:rsid w:val="00093AD8"/>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093AD8"/>
    <w:rPr>
      <w:rFonts w:asciiTheme="minorHAnsi" w:hAnsiTheme="minorHAnsi" w:cstheme="minorBidi"/>
      <w:sz w:val="20"/>
      <w:szCs w:val="20"/>
    </w:rPr>
  </w:style>
  <w:style w:type="paragraph" w:styleId="Normlnywebov">
    <w:name w:val="Normal (Web)"/>
    <w:aliases w:val="webb"/>
    <w:basedOn w:val="Normlny"/>
    <w:uiPriority w:val="99"/>
    <w:semiHidden/>
    <w:unhideWhenUsed/>
    <w:rsid w:val="00093A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B35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354A"/>
    <w:rPr>
      <w:rFonts w:asciiTheme="minorHAnsi" w:hAnsiTheme="minorHAnsi" w:cstheme="minorBidi"/>
      <w:sz w:val="22"/>
      <w:szCs w:val="22"/>
    </w:rPr>
  </w:style>
  <w:style w:type="paragraph" w:styleId="Pta">
    <w:name w:val="footer"/>
    <w:basedOn w:val="Normlny"/>
    <w:link w:val="PtaChar"/>
    <w:uiPriority w:val="99"/>
    <w:unhideWhenUsed/>
    <w:rsid w:val="001B354A"/>
    <w:pPr>
      <w:tabs>
        <w:tab w:val="center" w:pos="4536"/>
        <w:tab w:val="right" w:pos="9072"/>
      </w:tabs>
      <w:spacing w:after="0" w:line="240" w:lineRule="auto"/>
    </w:pPr>
  </w:style>
  <w:style w:type="character" w:customStyle="1" w:styleId="PtaChar">
    <w:name w:val="Päta Char"/>
    <w:basedOn w:val="Predvolenpsmoodseku"/>
    <w:link w:val="Pta"/>
    <w:uiPriority w:val="99"/>
    <w:rsid w:val="001B354A"/>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AC6D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6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962</Words>
  <Characters>5488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8</cp:revision>
  <cp:lastPrinted>2019-07-08T09:49:00Z</cp:lastPrinted>
  <dcterms:created xsi:type="dcterms:W3CDTF">2019-07-15T11:17:00Z</dcterms:created>
  <dcterms:modified xsi:type="dcterms:W3CDTF">2019-07-26T06:55:00Z</dcterms:modified>
</cp:coreProperties>
</file>