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90FF8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E13354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7"/>
            </w:tblGrid>
            <w:tr w:rsidR="005E04FA" w:rsidRPr="00B164B5">
              <w:trPr>
                <w:trHeight w:val="205"/>
              </w:trPr>
              <w:tc>
                <w:tcPr>
                  <w:tcW w:w="8407" w:type="dxa"/>
                </w:tcPr>
                <w:p w:rsidR="005E04FA" w:rsidRPr="0069512C" w:rsidRDefault="005E04FA" w:rsidP="0009386D">
                  <w:r w:rsidRPr="0069512C">
                    <w:t xml:space="preserve">Návrh zákona, ktorým sa mení a dopĺňa zákon </w:t>
                  </w:r>
                  <w:r w:rsidR="00FB055C" w:rsidRPr="0069512C">
                    <w:t xml:space="preserve"> </w:t>
                  </w:r>
                  <w:r w:rsidR="0009386D" w:rsidRPr="0069512C">
                    <w:t xml:space="preserve">č. 362/2011 Z. z. </w:t>
                  </w:r>
                  <w:r w:rsidR="00B1647D">
                    <w:t xml:space="preserve"> o liekoch a zdravotníckych pomôckach </w:t>
                  </w:r>
                  <w:r w:rsidR="00B1647D" w:rsidRPr="00B1647D">
                    <w:t>a o zmene a doplnení niektorých zákonov</w:t>
                  </w:r>
                  <w:r w:rsidR="000F7DEA">
                    <w:t xml:space="preserve"> </w:t>
                  </w:r>
                  <w:r w:rsidR="0009386D" w:rsidRPr="0069512C">
                    <w:t>v znení neskorších predpisov</w:t>
                  </w:r>
                </w:p>
              </w:tc>
            </w:tr>
          </w:tbl>
          <w:p w:rsidR="003501A1" w:rsidRPr="00A179AE" w:rsidRDefault="003501A1" w:rsidP="005C2A8E"/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1A1" w:rsidRPr="0069512C" w:rsidRDefault="00A8103A" w:rsidP="005C2A8E">
            <w:r w:rsidRPr="00B164B5">
              <w:rPr>
                <w:i/>
              </w:rPr>
              <w:t xml:space="preserve">  </w:t>
            </w:r>
            <w:r w:rsidR="00F404CC" w:rsidRPr="0069512C">
              <w:t xml:space="preserve">Ministerstvo zdravotníctva Slovenskej </w:t>
            </w:r>
            <w:r w:rsidR="001C026E" w:rsidRPr="0069512C">
              <w:t>r</w:t>
            </w:r>
            <w:r w:rsidR="00F404CC" w:rsidRPr="0069512C">
              <w:t>epubliky</w:t>
            </w:r>
          </w:p>
          <w:p w:rsidR="003501A1" w:rsidRPr="00B164B5" w:rsidRDefault="003501A1" w:rsidP="005C2A8E">
            <w:pPr>
              <w:rPr>
                <w:i/>
              </w:rPr>
            </w:pPr>
          </w:p>
        </w:tc>
      </w:tr>
      <w:tr w:rsidR="003501A1" w:rsidRPr="00A179AE" w:rsidTr="00390FF8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  <w:r w:rsidRPr="00390FF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A179AE" w:rsidRDefault="003501A1" w:rsidP="005C2A8E">
            <w:r w:rsidRPr="00A179AE">
              <w:t>Materiál nelegislatívnej povahy</w:t>
            </w:r>
          </w:p>
        </w:tc>
      </w:tr>
      <w:tr w:rsidR="003501A1" w:rsidRPr="00A179AE" w:rsidTr="00390FF8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501A1" w:rsidRPr="00A179AE" w:rsidRDefault="003501A1" w:rsidP="005C2A8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F404CC" w:rsidP="00390FF8">
            <w:pPr>
              <w:jc w:val="center"/>
            </w:pPr>
            <w:r w:rsidRPr="00390FF8">
              <w:rPr>
                <w:rFonts w:ascii="Wingdings 2" w:hAnsi="Wingdings 2" w:cs="Times"/>
              </w:rPr>
              <w:t>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501A1" w:rsidRPr="00A179AE" w:rsidRDefault="003501A1" w:rsidP="00390FF8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390FF8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5C2A8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  <w:r w:rsidRPr="00390FF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501A1" w:rsidRPr="00A179AE" w:rsidRDefault="003501A1" w:rsidP="005C2A8E">
            <w:r w:rsidRPr="00A179AE">
              <w:t>Transpozícia práva EÚ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501A1" w:rsidRDefault="003501A1" w:rsidP="005C2A8E">
            <w:pPr>
              <w:rPr>
                <w:i/>
              </w:rPr>
            </w:pPr>
            <w:r w:rsidRPr="00390FF8">
              <w:rPr>
                <w:i/>
              </w:rPr>
              <w:t>V prípade transpozície uveďte zoznam transponovaných predpisov:</w:t>
            </w:r>
          </w:p>
          <w:p w:rsidR="0069512C" w:rsidRPr="0069512C" w:rsidRDefault="0069512C" w:rsidP="005C2A8E">
            <w:r>
              <w:t>bezpredmetné</w:t>
            </w:r>
          </w:p>
          <w:p w:rsidR="003501A1" w:rsidRPr="00A179AE" w:rsidRDefault="003501A1" w:rsidP="005C2A8E"/>
        </w:tc>
      </w:tr>
      <w:tr w:rsidR="003501A1" w:rsidRPr="00A179AE" w:rsidTr="00390FF8"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Pr="00B164B5" w:rsidRDefault="0041395D" w:rsidP="0029160D">
            <w:pPr>
              <w:rPr>
                <w:i/>
              </w:rPr>
            </w:pPr>
            <w:r w:rsidRPr="00B164B5">
              <w:rPr>
                <w:rFonts w:ascii="Times" w:hAnsi="Times" w:cs="Times"/>
                <w:i/>
              </w:rPr>
              <w:t xml:space="preserve">Začiatok:   </w:t>
            </w:r>
            <w:r w:rsidRPr="00B164B5">
              <w:rPr>
                <w:rFonts w:ascii="Times" w:hAnsi="Times" w:cs="Times"/>
                <w:i/>
              </w:rPr>
              <w:br/>
              <w:t>Ukončenie: </w:t>
            </w:r>
          </w:p>
        </w:tc>
      </w:tr>
      <w:tr w:rsidR="003501A1" w:rsidRPr="00A179AE" w:rsidTr="00390FF8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390FF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Pr="0069512C" w:rsidRDefault="00B1647D" w:rsidP="005C2A8E">
            <w:r>
              <w:t>júl</w:t>
            </w:r>
            <w:r w:rsidR="0069512C">
              <w:t xml:space="preserve"> 2019</w:t>
            </w:r>
          </w:p>
        </w:tc>
      </w:tr>
      <w:tr w:rsidR="003501A1" w:rsidRPr="00A179AE" w:rsidTr="00390FF8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390FF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Pr="0069512C" w:rsidRDefault="00B1647D" w:rsidP="00B1647D">
            <w:r>
              <w:t>september</w:t>
            </w:r>
            <w:r w:rsidR="0069512C">
              <w:t xml:space="preserve"> 2019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3501A1" w:rsidP="005C2A8E"/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Definícia problému</w:t>
            </w:r>
          </w:p>
        </w:tc>
      </w:tr>
      <w:tr w:rsidR="003501A1" w:rsidRPr="00A179AE" w:rsidTr="00390FF8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20B" w:rsidRDefault="00B7320B"/>
          <w:tbl>
            <w:tblPr>
              <w:tblW w:w="8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5"/>
            </w:tblGrid>
            <w:tr w:rsidR="0041395D" w:rsidRPr="00F46317" w:rsidTr="0041395D">
              <w:trPr>
                <w:trHeight w:val="1477"/>
              </w:trPr>
              <w:tc>
                <w:tcPr>
                  <w:tcW w:w="8975" w:type="dxa"/>
                </w:tcPr>
                <w:p w:rsidR="00B7320B" w:rsidRDefault="00B7320B" w:rsidP="00037239">
                  <w:pPr>
                    <w:pStyle w:val="Normlnywebov"/>
                    <w:ind w:firstLine="63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B7320B">
                    <w:rPr>
                      <w:sz w:val="20"/>
                      <w:szCs w:val="20"/>
                    </w:rPr>
                    <w:t xml:space="preserve">Nariadenie Európskeho parlamentu a Rady (EÚ) č. 2017/745 </w:t>
                  </w:r>
                  <w:r w:rsidRPr="00B7320B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z 5. apríla 2017 o zdravotníckych pomôckach, zmene smernice 2001/83/ES, nariadenia (ES) č. 178/2002 a nariadenia (ES) č. 1223/2009 a o zrušení smerníc Rady 90/385/EHS a 93/42/EHS a </w:t>
                  </w:r>
                  <w:r w:rsidRPr="00B7320B">
                    <w:rPr>
                      <w:sz w:val="20"/>
                      <w:szCs w:val="20"/>
                    </w:rPr>
                    <w:t xml:space="preserve">Nariadenie Európskeho parlamentu a Rady (EÚ) č. 2017/746 </w:t>
                  </w:r>
                  <w:r w:rsidRPr="00B7320B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z 5. apríla 2017 o diagnostických zdravotníckych pomôckach </w:t>
                  </w:r>
                  <w:r w:rsidRPr="00B7320B">
                    <w:rPr>
                      <w:rFonts w:eastAsia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in vitro</w:t>
                  </w:r>
                  <w:r w:rsidRPr="00B7320B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a o zrušení smernice 98/79/ES a rozhodnutia Komisie 2010/227/EÚ</w:t>
                  </w: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>(ďalej len „</w:t>
                  </w:r>
                  <w:r w:rsidR="0087060A" w:rsidRPr="00F46317">
                    <w:rPr>
                      <w:iCs/>
                      <w:sz w:val="20"/>
                      <w:szCs w:val="20"/>
                    </w:rPr>
                    <w:t>n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>ariadeni</w:t>
                  </w:r>
                  <w:r>
                    <w:rPr>
                      <w:iCs/>
                      <w:sz w:val="20"/>
                      <w:szCs w:val="20"/>
                    </w:rPr>
                    <w:t>a (EÚ)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>“) predstavuj</w:t>
                  </w:r>
                  <w:r>
                    <w:rPr>
                      <w:iCs/>
                      <w:sz w:val="20"/>
                      <w:szCs w:val="20"/>
                    </w:rPr>
                    <w:t>ú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 xml:space="preserve"> významnú zmenu v oblasti regulácie </w:t>
                  </w:r>
                  <w:r>
                    <w:rPr>
                      <w:iCs/>
                      <w:sz w:val="20"/>
                      <w:szCs w:val="20"/>
                    </w:rPr>
                    <w:t>zdravotníckych pomôcok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 xml:space="preserve"> v E</w:t>
                  </w:r>
                  <w:r w:rsidR="0029160D" w:rsidRPr="00F46317">
                    <w:rPr>
                      <w:iCs/>
                      <w:sz w:val="20"/>
                      <w:szCs w:val="20"/>
                    </w:rPr>
                    <w:t xml:space="preserve">urópskej </w:t>
                  </w:r>
                  <w:r>
                    <w:rPr>
                      <w:iCs/>
                      <w:sz w:val="20"/>
                      <w:szCs w:val="20"/>
                    </w:rPr>
                    <w:t>ú</w:t>
                  </w:r>
                  <w:r w:rsidR="0029160D" w:rsidRPr="00F46317">
                    <w:rPr>
                      <w:iCs/>
                      <w:sz w:val="20"/>
                      <w:szCs w:val="20"/>
                    </w:rPr>
                    <w:t>ni</w:t>
                  </w:r>
                  <w:r>
                    <w:rPr>
                      <w:iCs/>
                      <w:sz w:val="20"/>
                      <w:szCs w:val="20"/>
                    </w:rPr>
                    <w:t>i.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 xml:space="preserve"> Cieľom </w:t>
                  </w:r>
                  <w:r w:rsidR="0029160D" w:rsidRPr="00F46317">
                    <w:rPr>
                      <w:iCs/>
                      <w:sz w:val="20"/>
                      <w:szCs w:val="20"/>
                    </w:rPr>
                    <w:t>n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>ariaden</w:t>
                  </w:r>
                  <w:r>
                    <w:rPr>
                      <w:iCs/>
                      <w:sz w:val="20"/>
                      <w:szCs w:val="20"/>
                    </w:rPr>
                    <w:t xml:space="preserve">í (EÚ) 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>je harmonizovať pravidlá pre</w:t>
                  </w:r>
                  <w:r>
                    <w:rPr>
                      <w:iCs/>
                      <w:sz w:val="20"/>
                      <w:szCs w:val="20"/>
                    </w:rPr>
                    <w:t xml:space="preserve"> uvádzanie zdravotníckych pomôcok na trh EÚ.</w:t>
                  </w:r>
                  <w:r w:rsidR="00C11AB6" w:rsidRPr="00F46317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E60691" w:rsidRDefault="0029160D" w:rsidP="00037239">
                  <w:pPr>
                    <w:pStyle w:val="Normlnywebov"/>
                    <w:ind w:firstLine="631"/>
                    <w:jc w:val="both"/>
                    <w:rPr>
                      <w:sz w:val="20"/>
                      <w:szCs w:val="20"/>
                    </w:rPr>
                  </w:pPr>
                  <w:r w:rsidRPr="00B7320B">
                    <w:rPr>
                      <w:bCs/>
                      <w:sz w:val="20"/>
                      <w:szCs w:val="20"/>
                    </w:rPr>
                    <w:t>Ministerstvo zdravotníctva</w:t>
                  </w:r>
                  <w:r w:rsidRPr="00B7320B">
                    <w:rPr>
                      <w:sz w:val="20"/>
                      <w:szCs w:val="20"/>
                    </w:rPr>
                    <w:t xml:space="preserve"> </w:t>
                  </w:r>
                  <w:r w:rsidRPr="00B7320B">
                    <w:rPr>
                      <w:bCs/>
                      <w:sz w:val="20"/>
                      <w:szCs w:val="20"/>
                    </w:rPr>
                    <w:t>Slovenskej republiky</w:t>
                  </w:r>
                  <w:r w:rsidRPr="00B7320B">
                    <w:rPr>
                      <w:sz w:val="20"/>
                      <w:szCs w:val="20"/>
                    </w:rPr>
                    <w:t xml:space="preserve"> navrhuje implementovať tie ustanovenia nariaden</w:t>
                  </w:r>
                  <w:r w:rsidR="00B7320B">
                    <w:rPr>
                      <w:sz w:val="20"/>
                      <w:szCs w:val="20"/>
                    </w:rPr>
                    <w:t>í</w:t>
                  </w:r>
                  <w:r w:rsidRPr="00B7320B">
                    <w:rPr>
                      <w:sz w:val="20"/>
                      <w:szCs w:val="20"/>
                    </w:rPr>
                    <w:t xml:space="preserve"> (EÚ), ktoré sú v kompetencii členského štátu. Nariadeni</w:t>
                  </w:r>
                  <w:r w:rsidR="00B7320B">
                    <w:rPr>
                      <w:sz w:val="20"/>
                      <w:szCs w:val="20"/>
                    </w:rPr>
                    <w:t>a</w:t>
                  </w:r>
                  <w:r w:rsidRPr="00B7320B">
                    <w:rPr>
                      <w:sz w:val="20"/>
                      <w:szCs w:val="20"/>
                    </w:rPr>
                    <w:t xml:space="preserve"> (EÚ) </w:t>
                  </w:r>
                  <w:r w:rsidR="00F46317" w:rsidRPr="00B7320B">
                    <w:rPr>
                      <w:sz w:val="20"/>
                      <w:szCs w:val="20"/>
                    </w:rPr>
                    <w:t>uklad</w:t>
                  </w:r>
                  <w:r w:rsidR="00B7320B">
                    <w:rPr>
                      <w:sz w:val="20"/>
                      <w:szCs w:val="20"/>
                    </w:rPr>
                    <w:t>ajú</w:t>
                  </w:r>
                  <w:r w:rsidR="00F46317" w:rsidRPr="00B7320B">
                    <w:rPr>
                      <w:sz w:val="20"/>
                      <w:szCs w:val="20"/>
                    </w:rPr>
                    <w:t>, aby členské štáty</w:t>
                  </w:r>
                  <w:r w:rsidR="00B7320B">
                    <w:rPr>
                      <w:sz w:val="20"/>
                      <w:szCs w:val="20"/>
                    </w:rPr>
                    <w:t xml:space="preserve"> EÚ</w:t>
                  </w:r>
                  <w:r w:rsidR="00F46317" w:rsidRPr="00B7320B">
                    <w:rPr>
                      <w:sz w:val="20"/>
                      <w:szCs w:val="20"/>
                    </w:rPr>
                    <w:t xml:space="preserve"> zabezpečili aj etické preskúmanie klinického skúšania</w:t>
                  </w:r>
                  <w:r w:rsidR="00E60691">
                    <w:rPr>
                      <w:sz w:val="20"/>
                      <w:szCs w:val="20"/>
                    </w:rPr>
                    <w:t xml:space="preserve">, ak ide o zdravotnícke pomôcky alebo </w:t>
                  </w:r>
                  <w:r w:rsidR="00E60691" w:rsidRPr="00B7320B">
                    <w:rPr>
                      <w:sz w:val="20"/>
                      <w:szCs w:val="20"/>
                    </w:rPr>
                    <w:t>etické preskúmanie</w:t>
                  </w:r>
                  <w:r w:rsidR="00E60691">
                    <w:rPr>
                      <w:sz w:val="20"/>
                      <w:szCs w:val="20"/>
                    </w:rPr>
                    <w:t xml:space="preserve"> štúdie výkonu, ak ide o diagnostické zdravotnícke pomôcky in vitro.</w:t>
                  </w:r>
                  <w:r w:rsidRPr="00B7320B">
                    <w:rPr>
                      <w:sz w:val="20"/>
                      <w:szCs w:val="20"/>
                    </w:rPr>
                    <w:t xml:space="preserve"> Preto významnú časť návrhu zákona tvorí zriadenie etickej komisie Ministerstva zdravotníctva SR pre klinické skúšanie </w:t>
                  </w:r>
                  <w:r w:rsidR="00E60691">
                    <w:rPr>
                      <w:sz w:val="20"/>
                      <w:szCs w:val="20"/>
                    </w:rPr>
                    <w:t xml:space="preserve">zdravotníckej pomôcky a </w:t>
                  </w:r>
                  <w:r w:rsidR="00E60691" w:rsidRPr="00B7320B">
                    <w:rPr>
                      <w:sz w:val="20"/>
                      <w:szCs w:val="20"/>
                    </w:rPr>
                    <w:t>etickej komisie Ministerstva zdravotníctva SR pre</w:t>
                  </w:r>
                  <w:r w:rsidR="00E60691">
                    <w:rPr>
                      <w:sz w:val="20"/>
                      <w:szCs w:val="20"/>
                    </w:rPr>
                    <w:t xml:space="preserve"> štúdiu výkonu diagnostickej zdravotníckej pomôcky in vitro. Obe etické komisie</w:t>
                  </w:r>
                  <w:r w:rsidRPr="00B7320B">
                    <w:rPr>
                      <w:sz w:val="20"/>
                      <w:szCs w:val="20"/>
                    </w:rPr>
                    <w:t xml:space="preserve"> ktorá bude posudzovať </w:t>
                  </w:r>
                  <w:r w:rsidR="00E60691">
                    <w:rPr>
                      <w:sz w:val="20"/>
                      <w:szCs w:val="20"/>
                    </w:rPr>
                    <w:t>etické</w:t>
                  </w:r>
                  <w:r w:rsidRPr="00B7320B">
                    <w:rPr>
                      <w:sz w:val="20"/>
                      <w:szCs w:val="20"/>
                    </w:rPr>
                    <w:t xml:space="preserve"> aspekty žiadostí o povolenie klinického skúšania </w:t>
                  </w:r>
                  <w:r w:rsidR="00E60691">
                    <w:rPr>
                      <w:sz w:val="20"/>
                      <w:szCs w:val="20"/>
                    </w:rPr>
                    <w:t xml:space="preserve">zdravotníckej pomôcky a </w:t>
                  </w:r>
                  <w:r w:rsidR="00E60691" w:rsidRPr="00B7320B">
                    <w:rPr>
                      <w:sz w:val="20"/>
                      <w:szCs w:val="20"/>
                    </w:rPr>
                    <w:t>žiadostí o</w:t>
                  </w:r>
                  <w:r w:rsidR="00E60691">
                    <w:rPr>
                      <w:sz w:val="20"/>
                      <w:szCs w:val="20"/>
                    </w:rPr>
                    <w:t> </w:t>
                  </w:r>
                  <w:r w:rsidR="00E60691" w:rsidRPr="00B7320B">
                    <w:rPr>
                      <w:sz w:val="20"/>
                      <w:szCs w:val="20"/>
                    </w:rPr>
                    <w:t>povolenie</w:t>
                  </w:r>
                  <w:r w:rsidR="00E60691">
                    <w:rPr>
                      <w:sz w:val="20"/>
                      <w:szCs w:val="20"/>
                    </w:rPr>
                    <w:t xml:space="preserve"> štúdie výkonu diagnostickej zdravotníckej pomôcky in vitro. Obom</w:t>
                  </w:r>
                  <w:r w:rsidRPr="00B7320B">
                    <w:rPr>
                      <w:sz w:val="20"/>
                      <w:szCs w:val="20"/>
                    </w:rPr>
                    <w:t xml:space="preserve"> </w:t>
                  </w:r>
                  <w:r w:rsidR="00E60691">
                    <w:rPr>
                      <w:sz w:val="20"/>
                      <w:szCs w:val="20"/>
                    </w:rPr>
                    <w:t>e</w:t>
                  </w:r>
                  <w:r w:rsidRPr="00B7320B">
                    <w:rPr>
                      <w:sz w:val="20"/>
                      <w:szCs w:val="20"/>
                    </w:rPr>
                    <w:t>tick</w:t>
                  </w:r>
                  <w:r w:rsidR="00E60691">
                    <w:rPr>
                      <w:sz w:val="20"/>
                      <w:szCs w:val="20"/>
                    </w:rPr>
                    <w:t>ým</w:t>
                  </w:r>
                  <w:r w:rsidRPr="00B7320B">
                    <w:rPr>
                      <w:sz w:val="20"/>
                      <w:szCs w:val="20"/>
                    </w:rPr>
                    <w:t xml:space="preserve"> komisi</w:t>
                  </w:r>
                  <w:r w:rsidR="00E60691">
                    <w:rPr>
                      <w:sz w:val="20"/>
                      <w:szCs w:val="20"/>
                    </w:rPr>
                    <w:t>ám</w:t>
                  </w:r>
                  <w:r w:rsidRPr="00B7320B">
                    <w:rPr>
                      <w:sz w:val="20"/>
                      <w:szCs w:val="20"/>
                    </w:rPr>
                    <w:t xml:space="preserve"> sa dáva aj právomoc v spolupráci so Štátnym ústavom pre kontrolu liečiv </w:t>
                  </w:r>
                  <w:r w:rsidR="00E60691">
                    <w:rPr>
                      <w:sz w:val="20"/>
                      <w:szCs w:val="20"/>
                    </w:rPr>
                    <w:t xml:space="preserve">v Bratislave </w:t>
                  </w:r>
                  <w:r w:rsidRPr="00B7320B">
                    <w:rPr>
                      <w:sz w:val="20"/>
                      <w:szCs w:val="20"/>
                    </w:rPr>
                    <w:t xml:space="preserve">vykonávať aj dohľad nad povoleným klinickým skúšaním </w:t>
                  </w:r>
                  <w:r w:rsidR="00E60691">
                    <w:rPr>
                      <w:sz w:val="20"/>
                      <w:szCs w:val="20"/>
                    </w:rPr>
                    <w:t>zdravotníckej pomôcky alebo povolenou štúdiou výkonu diagnostickej zdravotníckej pomôcky in vitro</w:t>
                  </w:r>
                  <w:r w:rsidR="00E943E4" w:rsidRPr="00B7320B">
                    <w:rPr>
                      <w:sz w:val="20"/>
                      <w:szCs w:val="20"/>
                    </w:rPr>
                    <w:t xml:space="preserve"> </w:t>
                  </w:r>
                  <w:r w:rsidRPr="00B7320B">
                    <w:rPr>
                      <w:sz w:val="20"/>
                      <w:szCs w:val="20"/>
                    </w:rPr>
                    <w:t>na území Slovenskej republiky</w:t>
                  </w:r>
                  <w:r w:rsidR="00E60691">
                    <w:rPr>
                      <w:sz w:val="20"/>
                      <w:szCs w:val="20"/>
                    </w:rPr>
                    <w:t>.</w:t>
                  </w:r>
                </w:p>
                <w:p w:rsidR="0029160D" w:rsidRDefault="0029160D" w:rsidP="00EF7A27">
                  <w:pPr>
                    <w:pStyle w:val="Normlnywebov"/>
                    <w:ind w:firstLine="206"/>
                    <w:jc w:val="both"/>
                    <w:rPr>
                      <w:sz w:val="20"/>
                      <w:szCs w:val="20"/>
                    </w:rPr>
                  </w:pPr>
                  <w:r w:rsidRPr="00E60691">
                    <w:rPr>
                      <w:sz w:val="20"/>
                      <w:szCs w:val="20"/>
                    </w:rPr>
                    <w:t>Návrh zákona počíta sa aj s</w:t>
                  </w:r>
                  <w:r w:rsidR="00E60691">
                    <w:rPr>
                      <w:sz w:val="20"/>
                      <w:szCs w:val="20"/>
                    </w:rPr>
                    <w:t> r</w:t>
                  </w:r>
                  <w:r w:rsidRPr="00E60691">
                    <w:rPr>
                      <w:sz w:val="20"/>
                      <w:szCs w:val="20"/>
                    </w:rPr>
                    <w:t>oz</w:t>
                  </w:r>
                  <w:r w:rsidR="00E60691">
                    <w:rPr>
                      <w:sz w:val="20"/>
                      <w:szCs w:val="20"/>
                    </w:rPr>
                    <w:t xml:space="preserve">šírením funkčnosti </w:t>
                  </w:r>
                  <w:r w:rsidRPr="00E60691">
                    <w:rPr>
                      <w:sz w:val="20"/>
                      <w:szCs w:val="20"/>
                    </w:rPr>
                    <w:t>národného portálu klinického skúšania</w:t>
                  </w:r>
                  <w:r w:rsidR="00E60691">
                    <w:rPr>
                      <w:sz w:val="20"/>
                      <w:szCs w:val="20"/>
                    </w:rPr>
                    <w:t xml:space="preserve"> určeného na vzájomnú</w:t>
                  </w:r>
                  <w:r w:rsidRPr="00E60691">
                    <w:rPr>
                      <w:sz w:val="20"/>
                      <w:szCs w:val="20"/>
                    </w:rPr>
                    <w:t xml:space="preserve"> komunikáci</w:t>
                  </w:r>
                  <w:r w:rsidR="00E60691">
                    <w:rPr>
                      <w:sz w:val="20"/>
                      <w:szCs w:val="20"/>
                    </w:rPr>
                    <w:t>u</w:t>
                  </w:r>
                  <w:r w:rsidRPr="00E60691">
                    <w:rPr>
                      <w:sz w:val="20"/>
                      <w:szCs w:val="20"/>
                    </w:rPr>
                    <w:t xml:space="preserve"> medzi Štátnym ústavom pre kontrolu liečiv</w:t>
                  </w:r>
                  <w:r w:rsidR="00E60691">
                    <w:rPr>
                      <w:sz w:val="20"/>
                      <w:szCs w:val="20"/>
                    </w:rPr>
                    <w:t xml:space="preserve"> v Bratislave</w:t>
                  </w:r>
                  <w:r w:rsidRPr="00E60691">
                    <w:rPr>
                      <w:sz w:val="20"/>
                      <w:szCs w:val="20"/>
                    </w:rPr>
                    <w:t xml:space="preserve"> </w:t>
                  </w:r>
                  <w:r w:rsidR="00F604CA">
                    <w:rPr>
                      <w:sz w:val="20"/>
                      <w:szCs w:val="20"/>
                    </w:rPr>
                    <w:t>a príslušnou</w:t>
                  </w:r>
                  <w:r w:rsidRPr="00E60691">
                    <w:rPr>
                      <w:sz w:val="20"/>
                      <w:szCs w:val="20"/>
                    </w:rPr>
                    <w:t> etickou komisiou.</w:t>
                  </w:r>
                </w:p>
                <w:p w:rsidR="00EF7A27" w:rsidRPr="00EF7A27" w:rsidRDefault="00EF7A27" w:rsidP="00EF7A27">
                  <w:pPr>
                    <w:ind w:firstLine="284"/>
                    <w:jc w:val="both"/>
                  </w:pPr>
                  <w:r w:rsidRPr="00EF7A27">
                    <w:t xml:space="preserve">Návrh zákona reaguje na závery rokovania medzi Štátnym ústavom pre kontrolu liečiv DG </w:t>
                  </w:r>
                  <w:proofErr w:type="spellStart"/>
                  <w:r w:rsidRPr="00EF7A27">
                    <w:t>Santé</w:t>
                  </w:r>
                  <w:proofErr w:type="spellEnd"/>
                  <w:r w:rsidRPr="00EF7A27">
                    <w:t xml:space="preserve"> a </w:t>
                  </w:r>
                  <w:proofErr w:type="spellStart"/>
                  <w:r w:rsidRPr="00EF7A27">
                    <w:t>Food</w:t>
                  </w:r>
                  <w:proofErr w:type="spellEnd"/>
                  <w:r w:rsidRPr="00EF7A27">
                    <w:t xml:space="preserve"> and </w:t>
                  </w:r>
                  <w:proofErr w:type="spellStart"/>
                  <w:r w:rsidRPr="00EF7A27">
                    <w:t>Drug</w:t>
                  </w:r>
                  <w:proofErr w:type="spellEnd"/>
                  <w:r w:rsidRPr="00EF7A27">
                    <w:t xml:space="preserve"> </w:t>
                  </w:r>
                  <w:proofErr w:type="spellStart"/>
                  <w:r w:rsidRPr="00EF7A27">
                    <w:t>Administration</w:t>
                  </w:r>
                  <w:proofErr w:type="spellEnd"/>
                  <w:r w:rsidRPr="00EF7A27">
                    <w:t xml:space="preserve"> (FDA) pri prerokovaní auditu </w:t>
                  </w:r>
                  <w:proofErr w:type="spellStart"/>
                  <w:r w:rsidRPr="00EF7A27">
                    <w:t>Joint</w:t>
                  </w:r>
                  <w:proofErr w:type="spellEnd"/>
                  <w:r w:rsidRPr="00EF7A27">
                    <w:t xml:space="preserve"> Audit </w:t>
                  </w:r>
                  <w:proofErr w:type="spellStart"/>
                  <w:r w:rsidRPr="00EF7A27">
                    <w:t>Programme</w:t>
                  </w:r>
                  <w:proofErr w:type="spellEnd"/>
                  <w:r w:rsidRPr="00EF7A27">
                    <w:t xml:space="preserve"> (JAP) </w:t>
                  </w:r>
                  <w:proofErr w:type="spellStart"/>
                  <w:r w:rsidRPr="00EF7A27">
                    <w:t>folow</w:t>
                  </w:r>
                  <w:proofErr w:type="spellEnd"/>
                  <w:r w:rsidRPr="00EF7A27">
                    <w:t xml:space="preserve">- </w:t>
                  </w:r>
                  <w:proofErr w:type="spellStart"/>
                  <w:r w:rsidRPr="00EF7A27">
                    <w:t>up</w:t>
                  </w:r>
                  <w:proofErr w:type="spellEnd"/>
                  <w:r w:rsidRPr="00EF7A27">
                    <w:t xml:space="preserve"> audit Slovakia a na uznesenie vlády SR</w:t>
                  </w:r>
                  <w:r>
                    <w:t xml:space="preserve"> </w:t>
                  </w:r>
                  <w:r w:rsidRPr="00EF7A27">
                    <w:t xml:space="preserve">č. 50/2019 k auditu legislatívy z pohľadu </w:t>
                  </w:r>
                  <w:proofErr w:type="spellStart"/>
                  <w:r w:rsidRPr="00EF7A27">
                    <w:t>goldplatingu</w:t>
                  </w:r>
                  <w:proofErr w:type="spellEnd"/>
                  <w:r w:rsidRPr="00EF7A27">
                    <w:t>. Predkladaný návrh obsahuje návrh legislatívnych úprav na odstránenie neopodstatnených ustanovení, ktoré prekračujú rámec práva EÚ.</w:t>
                  </w:r>
                </w:p>
                <w:p w:rsidR="00EF7A27" w:rsidRPr="00E60691" w:rsidRDefault="00EF7A27" w:rsidP="00037239">
                  <w:pPr>
                    <w:pStyle w:val="Normlnywebov"/>
                    <w:ind w:firstLine="631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037239" w:rsidRPr="00037239" w:rsidRDefault="0029160D" w:rsidP="00037239">
                  <w:pPr>
                    <w:ind w:firstLine="567"/>
                    <w:jc w:val="both"/>
                  </w:pPr>
                  <w:r w:rsidRPr="00F604CA">
                    <w:rPr>
                      <w:iCs/>
                    </w:rPr>
                    <w:t>Návrh zákona</w:t>
                  </w:r>
                  <w:r w:rsidR="00A133FF" w:rsidRPr="00F604CA">
                    <w:rPr>
                      <w:iCs/>
                    </w:rPr>
                    <w:t xml:space="preserve"> </w:t>
                  </w:r>
                  <w:r w:rsidR="00F604CA">
                    <w:rPr>
                      <w:iCs/>
                    </w:rPr>
                    <w:t xml:space="preserve">umožňuje </w:t>
                  </w:r>
                  <w:r w:rsidR="00A133FF" w:rsidRPr="00F604CA">
                    <w:rPr>
                      <w:iCs/>
                    </w:rPr>
                    <w:t>vyberani</w:t>
                  </w:r>
                  <w:r w:rsidR="00F604CA">
                    <w:rPr>
                      <w:iCs/>
                    </w:rPr>
                    <w:t>e</w:t>
                  </w:r>
                  <w:r w:rsidR="00A133FF" w:rsidRPr="00F604CA">
                    <w:rPr>
                      <w:iCs/>
                    </w:rPr>
                    <w:t xml:space="preserve"> </w:t>
                  </w:r>
                  <w:r w:rsidR="00F604CA">
                    <w:rPr>
                      <w:iCs/>
                    </w:rPr>
                    <w:t xml:space="preserve">správnych </w:t>
                  </w:r>
                  <w:r w:rsidR="00A133FF" w:rsidRPr="00F604CA">
                    <w:rPr>
                      <w:iCs/>
                    </w:rPr>
                    <w:t>po</w:t>
                  </w:r>
                  <w:r w:rsidR="00D12AD9" w:rsidRPr="00F604CA">
                    <w:rPr>
                      <w:iCs/>
                    </w:rPr>
                    <w:t>platkov</w:t>
                  </w:r>
                  <w:r w:rsidR="00037239">
                    <w:rPr>
                      <w:iCs/>
                    </w:rPr>
                    <w:t xml:space="preserve">. </w:t>
                  </w:r>
                  <w:r w:rsidR="00037239" w:rsidRPr="00037239">
                    <w:rPr>
                      <w:rStyle w:val="Zstupntext"/>
                      <w:color w:val="000000"/>
                    </w:rPr>
                    <w:t>V článku II sa navrhuje zmena z</w:t>
                  </w:r>
                  <w:r w:rsidR="00037239" w:rsidRPr="00037239">
                    <w:t>ákona Národnej rady Slovenskej republiky č. 145/1995 Z. z. o správnych poplatkoch v znení neskorších predpisov. Navrhuje sa zvýšenie poplatkov za posudzovanie jednotlivých druhov žiadostí o povolenie klinického skúšania.</w:t>
                  </w:r>
                </w:p>
                <w:p w:rsidR="00025B79" w:rsidRPr="00F46317" w:rsidRDefault="003F4EC6" w:rsidP="00037239">
                  <w:pPr>
                    <w:pStyle w:val="Default"/>
                    <w:ind w:firstLine="609"/>
                    <w:jc w:val="both"/>
                  </w:pPr>
                  <w:r w:rsidRPr="00F604CA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F604CA">
                    <w:rPr>
                      <w:iCs/>
                      <w:sz w:val="20"/>
                      <w:szCs w:val="20"/>
                    </w:rPr>
                    <w:t>Určenie</w:t>
                  </w:r>
                  <w:r w:rsidRPr="00F604CA">
                    <w:rPr>
                      <w:iCs/>
                      <w:sz w:val="20"/>
                      <w:szCs w:val="20"/>
                    </w:rPr>
                    <w:t xml:space="preserve"> výšky </w:t>
                  </w:r>
                  <w:r w:rsidR="00F604CA">
                    <w:rPr>
                      <w:iCs/>
                      <w:sz w:val="20"/>
                      <w:szCs w:val="20"/>
                    </w:rPr>
                    <w:t xml:space="preserve">správnych </w:t>
                  </w:r>
                  <w:r w:rsidRPr="00F604CA">
                    <w:rPr>
                      <w:iCs/>
                      <w:sz w:val="20"/>
                      <w:szCs w:val="20"/>
                    </w:rPr>
                    <w:t>poplatkov deleguj</w:t>
                  </w:r>
                  <w:r w:rsidR="00F604CA">
                    <w:rPr>
                      <w:iCs/>
                      <w:sz w:val="20"/>
                      <w:szCs w:val="20"/>
                    </w:rPr>
                    <w:t>ú</w:t>
                  </w:r>
                  <w:r w:rsidRPr="00F604CA">
                    <w:rPr>
                      <w:iCs/>
                      <w:sz w:val="20"/>
                      <w:szCs w:val="20"/>
                    </w:rPr>
                    <w:t xml:space="preserve"> nariadeni</w:t>
                  </w:r>
                  <w:r w:rsidR="00F604CA">
                    <w:rPr>
                      <w:iCs/>
                      <w:sz w:val="20"/>
                      <w:szCs w:val="20"/>
                    </w:rPr>
                    <w:t>a (EÚ)</w:t>
                  </w:r>
                  <w:r w:rsidRPr="00F604CA">
                    <w:rPr>
                      <w:iCs/>
                      <w:sz w:val="20"/>
                      <w:szCs w:val="20"/>
                    </w:rPr>
                    <w:t xml:space="preserve"> na členské štáty</w:t>
                  </w:r>
                  <w:r w:rsidR="00F604CA">
                    <w:rPr>
                      <w:iCs/>
                      <w:sz w:val="20"/>
                      <w:szCs w:val="20"/>
                    </w:rPr>
                    <w:t xml:space="preserve"> EÚ</w:t>
                  </w:r>
                  <w:r w:rsidRPr="00F604CA">
                    <w:rPr>
                      <w:iCs/>
                      <w:sz w:val="20"/>
                      <w:szCs w:val="20"/>
                    </w:rPr>
                    <w:t>.</w:t>
                  </w:r>
                  <w:r w:rsidR="003C5F58" w:rsidRPr="00F604CA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>V zmysle nariaden</w:t>
                  </w:r>
                  <w:r w:rsidR="00F604CA">
                    <w:rPr>
                      <w:iCs/>
                      <w:sz w:val="20"/>
                      <w:szCs w:val="20"/>
                    </w:rPr>
                    <w:t>í (EÚ)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 m</w:t>
                  </w:r>
                  <w:r w:rsidR="00F604CA">
                    <w:rPr>
                      <w:iCs/>
                      <w:sz w:val="20"/>
                      <w:szCs w:val="20"/>
                    </w:rPr>
                    <w:t>ôžu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 členské štáty </w:t>
                  </w:r>
                  <w:r w:rsidR="00F604CA">
                    <w:rPr>
                      <w:iCs/>
                      <w:sz w:val="20"/>
                      <w:szCs w:val="20"/>
                    </w:rPr>
                    <w:t xml:space="preserve">EÚ 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vyberať </w:t>
                  </w:r>
                  <w:r w:rsidR="00F604CA">
                    <w:rPr>
                      <w:iCs/>
                      <w:sz w:val="20"/>
                      <w:szCs w:val="20"/>
                    </w:rPr>
                    <w:t xml:space="preserve">správne 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poplatky za činnosti </w:t>
                  </w:r>
                  <w:r w:rsidR="00F604CA">
                    <w:rPr>
                      <w:iCs/>
                      <w:sz w:val="20"/>
                      <w:szCs w:val="20"/>
                    </w:rPr>
                    <w:t>u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>stanovené v</w:t>
                  </w:r>
                  <w:r w:rsidR="00F604CA">
                    <w:rPr>
                      <w:iCs/>
                      <w:sz w:val="20"/>
                      <w:szCs w:val="20"/>
                    </w:rPr>
                    <w:t> 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>nariaden</w:t>
                  </w:r>
                  <w:r w:rsidR="00F604CA">
                    <w:rPr>
                      <w:iCs/>
                      <w:sz w:val="20"/>
                      <w:szCs w:val="20"/>
                    </w:rPr>
                    <w:t>iach (EÚ)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F604CA">
                    <w:rPr>
                      <w:iCs/>
                      <w:sz w:val="20"/>
                      <w:szCs w:val="20"/>
                    </w:rPr>
                    <w:t>s podmienkou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, že výška </w:t>
                  </w:r>
                  <w:r w:rsidR="00F604CA">
                    <w:rPr>
                      <w:iCs/>
                      <w:sz w:val="20"/>
                      <w:szCs w:val="20"/>
                    </w:rPr>
                    <w:t xml:space="preserve">správneho 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poplatku </w:t>
                  </w:r>
                  <w:r w:rsidR="00F604CA">
                    <w:rPr>
                      <w:iCs/>
                      <w:sz w:val="20"/>
                      <w:szCs w:val="20"/>
                    </w:rPr>
                    <w:t>sa určí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 transparentn</w:t>
                  </w:r>
                  <w:r w:rsidR="00F604CA">
                    <w:rPr>
                      <w:iCs/>
                      <w:sz w:val="20"/>
                      <w:szCs w:val="20"/>
                    </w:rPr>
                    <w:t>e.</w:t>
                  </w:r>
                  <w:r w:rsidR="00A133FF" w:rsidRPr="00F604CA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037239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F604CA">
                    <w:rPr>
                      <w:iCs/>
                      <w:sz w:val="20"/>
                      <w:szCs w:val="20"/>
                    </w:rPr>
                    <w:t>Na základe doterajších poznatkov z praxe sa navrhujú sa aj nové opatrenia na zabránenie reexportu kategorizovaných liekov</w:t>
                  </w:r>
                  <w:r w:rsidR="00037239">
                    <w:rPr>
                      <w:iCs/>
                      <w:sz w:val="20"/>
                      <w:szCs w:val="20"/>
                    </w:rPr>
                    <w:t xml:space="preserve">.  </w:t>
                  </w:r>
                </w:p>
              </w:tc>
            </w:tr>
          </w:tbl>
          <w:p w:rsidR="003501A1" w:rsidRPr="00F46317" w:rsidRDefault="003501A1" w:rsidP="00390FF8">
            <w:pPr>
              <w:jc w:val="both"/>
              <w:rPr>
                <w:b/>
              </w:rPr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lastRenderedPageBreak/>
              <w:t>Ciele a výsledný stav</w:t>
            </w:r>
          </w:p>
        </w:tc>
      </w:tr>
      <w:tr w:rsidR="003501A1" w:rsidRPr="00A179AE" w:rsidTr="00390FF8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66" w:rsidRDefault="00A16366" w:rsidP="00390FF8">
            <w:pPr>
              <w:jc w:val="both"/>
            </w:pPr>
          </w:p>
          <w:tbl>
            <w:tblPr>
              <w:tblW w:w="8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5"/>
            </w:tblGrid>
            <w:tr w:rsidR="0041395D" w:rsidTr="0041395D">
              <w:trPr>
                <w:trHeight w:val="1400"/>
              </w:trPr>
              <w:tc>
                <w:tcPr>
                  <w:tcW w:w="8975" w:type="dxa"/>
                </w:tcPr>
                <w:p w:rsidR="000C52CC" w:rsidRPr="00FF219E" w:rsidRDefault="000C52CC" w:rsidP="00103B88">
                  <w:pPr>
                    <w:pStyle w:val="Default"/>
                    <w:ind w:firstLine="467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FF219E">
                    <w:rPr>
                      <w:iCs/>
                      <w:sz w:val="20"/>
                      <w:szCs w:val="20"/>
                    </w:rPr>
                    <w:t xml:space="preserve">Doterajšia výška správneho poplatku vo vzťahu ku klinickému skúšaniu </w:t>
                  </w:r>
                  <w:r w:rsidR="00FF219E">
                    <w:rPr>
                      <w:iCs/>
                      <w:sz w:val="20"/>
                      <w:szCs w:val="20"/>
                    </w:rPr>
                    <w:t>zdravotníckej pomôcky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nebola dlhodobo aktualizovaná. 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Zavádza sa aj nový správny poplatok za povolenie štúdie výkonu </w:t>
                  </w:r>
                  <w:r w:rsidR="00FF219E">
                    <w:rPr>
                      <w:sz w:val="20"/>
                      <w:szCs w:val="20"/>
                    </w:rPr>
                    <w:t>diagnostickej zdravotníckej pomôcky in vitro.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Cieľom novely 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zákona 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je transparentné </w:t>
                  </w:r>
                  <w:r w:rsidR="00FF219E">
                    <w:rPr>
                      <w:iCs/>
                      <w:sz w:val="20"/>
                      <w:szCs w:val="20"/>
                    </w:rPr>
                    <w:t>určenie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výšky 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správnych </w:t>
                  </w:r>
                  <w:r w:rsidRPr="00FF219E">
                    <w:rPr>
                      <w:iCs/>
                      <w:sz w:val="20"/>
                      <w:szCs w:val="20"/>
                    </w:rPr>
                    <w:t>poplatkov</w:t>
                  </w:r>
                  <w:r w:rsidR="00FF219E">
                    <w:rPr>
                      <w:iCs/>
                      <w:sz w:val="20"/>
                      <w:szCs w:val="20"/>
                    </w:rPr>
                    <w:t>.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Výška 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správnych 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poplatkov bola 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určená s prihliadnutím na </w:t>
                  </w:r>
                  <w:r w:rsidRPr="00FF219E">
                    <w:rPr>
                      <w:iCs/>
                      <w:sz w:val="20"/>
                      <w:szCs w:val="20"/>
                    </w:rPr>
                    <w:t>predpokladan</w:t>
                  </w:r>
                  <w:r w:rsidR="00FF219E">
                    <w:rPr>
                      <w:iCs/>
                      <w:sz w:val="20"/>
                      <w:szCs w:val="20"/>
                    </w:rPr>
                    <w:t>é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náklad</w:t>
                  </w:r>
                  <w:r w:rsidR="00FF219E">
                    <w:rPr>
                      <w:iCs/>
                      <w:sz w:val="20"/>
                      <w:szCs w:val="20"/>
                    </w:rPr>
                    <w:t>y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na jednotlivé úkony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 v Štátnom ústave pre kontrolu liečiv v Bratislave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a</w:t>
                  </w:r>
                  <w:r w:rsidR="00FF219E">
                    <w:rPr>
                      <w:iCs/>
                      <w:sz w:val="20"/>
                      <w:szCs w:val="20"/>
                    </w:rPr>
                    <w:t> na úkony oboch e</w:t>
                  </w:r>
                  <w:r w:rsidRPr="00FF219E">
                    <w:rPr>
                      <w:iCs/>
                      <w:sz w:val="20"/>
                      <w:szCs w:val="20"/>
                    </w:rPr>
                    <w:t>tick</w:t>
                  </w:r>
                  <w:r w:rsidR="00FF219E">
                    <w:rPr>
                      <w:iCs/>
                      <w:sz w:val="20"/>
                      <w:szCs w:val="20"/>
                    </w:rPr>
                    <w:t>ých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komisi</w:t>
                  </w:r>
                  <w:r w:rsidR="00FF219E">
                    <w:rPr>
                      <w:iCs/>
                      <w:sz w:val="20"/>
                      <w:szCs w:val="20"/>
                    </w:rPr>
                    <w:t>í Ministerstva zdravotníctva SR.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00498C" w:rsidRDefault="0000498C" w:rsidP="00C60DD8">
                  <w:pPr>
                    <w:pStyle w:val="Default"/>
                    <w:ind w:firstLine="467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FF219E">
                    <w:rPr>
                      <w:iCs/>
                      <w:sz w:val="20"/>
                      <w:szCs w:val="20"/>
                    </w:rPr>
                    <w:t>Realizácia nových činností, ktoré vyplývajú z</w:t>
                  </w:r>
                  <w:r w:rsidR="00FF219E">
                    <w:rPr>
                      <w:iCs/>
                      <w:sz w:val="20"/>
                      <w:szCs w:val="20"/>
                    </w:rPr>
                    <w:t> </w:t>
                  </w:r>
                  <w:r w:rsidRPr="00FF219E">
                    <w:rPr>
                      <w:iCs/>
                      <w:sz w:val="20"/>
                      <w:szCs w:val="20"/>
                    </w:rPr>
                    <w:t>nariaden</w:t>
                  </w:r>
                  <w:r w:rsidR="00FF219E">
                    <w:rPr>
                      <w:iCs/>
                      <w:sz w:val="20"/>
                      <w:szCs w:val="20"/>
                    </w:rPr>
                    <w:t>í (EÚ)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, prispeje k naplneniu </w:t>
                  </w:r>
                  <w:r w:rsidR="00FF219E">
                    <w:rPr>
                      <w:iCs/>
                      <w:sz w:val="20"/>
                      <w:szCs w:val="20"/>
                    </w:rPr>
                    <w:t>ich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základného cieľa, zjednodušiť a harmonizovať právne predpisy</w:t>
                  </w:r>
                  <w:r w:rsidR="00FF219E">
                    <w:rPr>
                      <w:iCs/>
                      <w:sz w:val="20"/>
                      <w:szCs w:val="20"/>
                    </w:rPr>
                    <w:t xml:space="preserve"> a zvýšiť bezpečnosť pacienta.</w:t>
                  </w:r>
                  <w:r w:rsidRPr="00FF219E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EF7A27" w:rsidRDefault="00EF7A27" w:rsidP="00EF7A27">
                  <w:pPr>
                    <w:ind w:firstLine="284"/>
                    <w:jc w:val="both"/>
                  </w:pPr>
                  <w:r w:rsidRPr="00EF7A27">
                    <w:t xml:space="preserve">Návrh zákona reaguje na </w:t>
                  </w:r>
                </w:p>
                <w:p w:rsidR="00EF7A27" w:rsidRPr="00EF7A27" w:rsidRDefault="00EF7A27" w:rsidP="00EF7A27">
                  <w:pPr>
                    <w:pStyle w:val="Odsekzoznamu"/>
                    <w:numPr>
                      <w:ilvl w:val="0"/>
                      <w:numId w:val="11"/>
                    </w:numPr>
                    <w:tabs>
                      <w:tab w:val="left" w:pos="290"/>
                    </w:tabs>
                    <w:spacing w:line="240" w:lineRule="auto"/>
                    <w:ind w:left="206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závery rokovania medzi Štátnym ústavom pre kontrolu liečiv DG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Santé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a 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Food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Drug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Administration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(FDA) pri prerokovaní auditu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Joint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Audit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Programme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(JAP)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folow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up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 audit Slovakia a </w:t>
                  </w:r>
                </w:p>
                <w:p w:rsidR="0041395D" w:rsidRPr="00B164B5" w:rsidRDefault="00EF7A27" w:rsidP="00EF7A27">
                  <w:pPr>
                    <w:pStyle w:val="Odsekzoznamu"/>
                    <w:numPr>
                      <w:ilvl w:val="0"/>
                      <w:numId w:val="11"/>
                    </w:numPr>
                    <w:spacing w:line="240" w:lineRule="auto"/>
                    <w:ind w:left="206" w:hanging="142"/>
                    <w:jc w:val="both"/>
                    <w:rPr>
                      <w:i/>
                      <w:sz w:val="20"/>
                      <w:szCs w:val="20"/>
                    </w:rPr>
                  </w:pPr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 xml:space="preserve">uznesenie vlády SR č. 50/2019 k auditu legislatívy z pohľadu </w:t>
                  </w:r>
                  <w:proofErr w:type="spellStart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goldplatingu</w:t>
                  </w:r>
                  <w:proofErr w:type="spellEnd"/>
                  <w:r w:rsidRPr="00EF7A27">
                    <w:rPr>
                      <w:rFonts w:ascii="Times New Roman" w:hAnsi="Times New Roman"/>
                      <w:sz w:val="20"/>
                      <w:szCs w:val="20"/>
                    </w:rPr>
                    <w:t>. Predkladaný návrh obsahuje návrh legislatívnych úprav na odstránenie neopodstatnených ustanovení, ktoré prekračujú rámec práva EÚ.</w:t>
                  </w:r>
                </w:p>
              </w:tc>
            </w:tr>
          </w:tbl>
          <w:p w:rsidR="003501A1" w:rsidRPr="00A179AE" w:rsidRDefault="003501A1" w:rsidP="00390FF8">
            <w:pPr>
              <w:jc w:val="both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D9" w:rsidRPr="00B164B5" w:rsidRDefault="00D12AD9" w:rsidP="00390FF8">
            <w:pPr>
              <w:jc w:val="both"/>
              <w:rPr>
                <w:i/>
              </w:rPr>
            </w:pPr>
          </w:p>
          <w:tbl>
            <w:tblPr>
              <w:tblW w:w="8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5"/>
            </w:tblGrid>
            <w:tr w:rsidR="0041395D" w:rsidRPr="00B164B5" w:rsidTr="00D12AD9">
              <w:trPr>
                <w:trHeight w:val="441"/>
              </w:trPr>
              <w:tc>
                <w:tcPr>
                  <w:tcW w:w="8975" w:type="dxa"/>
                </w:tcPr>
                <w:p w:rsidR="0041395D" w:rsidRPr="00037239" w:rsidRDefault="00D12AD9" w:rsidP="003C5F5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37239">
                    <w:rPr>
                      <w:iCs/>
                      <w:sz w:val="20"/>
                      <w:szCs w:val="20"/>
                    </w:rPr>
                    <w:t>Štátny ústav pre kontrolu liečiv</w:t>
                  </w:r>
                  <w:r w:rsidR="00037239">
                    <w:rPr>
                      <w:iCs/>
                      <w:sz w:val="20"/>
                      <w:szCs w:val="20"/>
                    </w:rPr>
                    <w:t xml:space="preserve"> v Bratislave.</w:t>
                  </w:r>
                </w:p>
              </w:tc>
            </w:tr>
          </w:tbl>
          <w:p w:rsidR="00037239" w:rsidRPr="00037239" w:rsidRDefault="00D12AD9" w:rsidP="00390FF8">
            <w:pPr>
              <w:jc w:val="both"/>
            </w:pPr>
            <w:r w:rsidRPr="00B164B5">
              <w:rPr>
                <w:i/>
              </w:rPr>
              <w:t xml:space="preserve">  </w:t>
            </w:r>
            <w:r w:rsidR="00B164B5" w:rsidRPr="00037239">
              <w:t xml:space="preserve">Ministerstvo zdravotníctva SR </w:t>
            </w:r>
          </w:p>
          <w:p w:rsidR="003501A1" w:rsidRPr="00037239" w:rsidRDefault="00B164B5" w:rsidP="00390FF8">
            <w:pPr>
              <w:jc w:val="both"/>
            </w:pPr>
            <w:r w:rsidRPr="00037239">
              <w:t xml:space="preserve">- </w:t>
            </w:r>
            <w:r w:rsidR="00D12AD9" w:rsidRPr="00037239">
              <w:t xml:space="preserve">Etická komisia </w:t>
            </w:r>
            <w:r w:rsidR="00037239" w:rsidRPr="00037239">
              <w:t xml:space="preserve">Ministerstva zdravotníctva SR </w:t>
            </w:r>
            <w:r w:rsidR="00D12AD9" w:rsidRPr="00037239">
              <w:t xml:space="preserve">pre klinické skúšanie </w:t>
            </w:r>
            <w:r w:rsidR="00037239" w:rsidRPr="00037239">
              <w:t>zdravotníckej pomôcky</w:t>
            </w:r>
          </w:p>
          <w:p w:rsidR="00037239" w:rsidRPr="00037239" w:rsidRDefault="00037239" w:rsidP="00390FF8">
            <w:pPr>
              <w:jc w:val="both"/>
            </w:pPr>
            <w:r w:rsidRPr="00037239">
              <w:t>- Etická komisia Ministerstva zdravotníctva SR pre štúdie výkonu diagnostickej zdravotníckej pomôcky in vitro</w:t>
            </w:r>
          </w:p>
          <w:p w:rsidR="002E5D95" w:rsidRDefault="002E5D95" w:rsidP="00390FF8">
            <w:pPr>
              <w:jc w:val="both"/>
            </w:pPr>
            <w:r>
              <w:t xml:space="preserve"> </w:t>
            </w:r>
          </w:p>
          <w:p w:rsidR="00D12AD9" w:rsidRPr="00037239" w:rsidRDefault="002E5D95" w:rsidP="00390FF8">
            <w:pPr>
              <w:jc w:val="both"/>
            </w:pPr>
            <w:r>
              <w:t>Výrobcovia zdravotníckych pomôcok a</w:t>
            </w:r>
            <w:r w:rsidR="00EF7A27">
              <w:t xml:space="preserve"> výrobcovia </w:t>
            </w:r>
            <w:r>
              <w:t>diagnostických zdravotníckych pomôcok in vitro</w:t>
            </w:r>
          </w:p>
          <w:p w:rsidR="002E5D95" w:rsidRDefault="002E5D95" w:rsidP="00390FF8">
            <w:pPr>
              <w:jc w:val="both"/>
              <w:rPr>
                <w:iCs/>
              </w:rPr>
            </w:pPr>
          </w:p>
          <w:p w:rsidR="00D12AD9" w:rsidRPr="00037239" w:rsidRDefault="00975D90" w:rsidP="00390FF8">
            <w:pPr>
              <w:jc w:val="both"/>
            </w:pPr>
            <w:r w:rsidRPr="00037239">
              <w:rPr>
                <w:iCs/>
              </w:rPr>
              <w:t xml:space="preserve">Zadávatelia - </w:t>
            </w:r>
            <w:r w:rsidR="00FB055C" w:rsidRPr="00037239">
              <w:t>zadávatelia klinického skúšania</w:t>
            </w:r>
            <w:r w:rsidR="00037239">
              <w:t xml:space="preserve"> zdravotníckej pomôcky a zadávatelia </w:t>
            </w:r>
            <w:r w:rsidR="00037239" w:rsidRPr="00037239">
              <w:t>štúdie výkonu diagnostickej zdravotníckej pomôcky in vitro</w:t>
            </w:r>
            <w:r w:rsidR="00FB055C" w:rsidRPr="00037239">
              <w:t>,</w:t>
            </w:r>
            <w:r w:rsidR="00037239">
              <w:t xml:space="preserve"> ktorými sú fyzické osoby alebo právnické</w:t>
            </w:r>
            <w:r w:rsidR="00FB055C" w:rsidRPr="00037239">
              <w:t xml:space="preserve"> osoby, spoločnosti, inštitúcie alebo   organizácie, ktoré </w:t>
            </w:r>
            <w:r w:rsidR="002E5D95">
              <w:t>sú</w:t>
            </w:r>
            <w:r w:rsidR="00FB055C" w:rsidRPr="00037239">
              <w:t xml:space="preserve"> zodpovedn</w:t>
            </w:r>
            <w:r w:rsidR="002E5D95">
              <w:t>é</w:t>
            </w:r>
            <w:r w:rsidR="00FB055C" w:rsidRPr="00037239">
              <w:t xml:space="preserve"> za iniciovanie, riadenie a zabezpečenie financovania klinického   skúšania</w:t>
            </w:r>
            <w:r w:rsidR="002E5D95">
              <w:t xml:space="preserve"> zdravotníckej pomôcky</w:t>
            </w:r>
            <w:r w:rsidR="00FB055C" w:rsidRPr="00037239">
              <w:t xml:space="preserve"> </w:t>
            </w:r>
            <w:r w:rsidR="00037239">
              <w:t xml:space="preserve">alebo štúdie výkonu </w:t>
            </w:r>
            <w:r w:rsidR="002E5D95" w:rsidRPr="00037239">
              <w:t xml:space="preserve">diagnostickej zdravotníckej pomôcky in vitro </w:t>
            </w:r>
            <w:r w:rsidR="00FB055C" w:rsidRPr="00037239">
              <w:t xml:space="preserve">(napríklad </w:t>
            </w:r>
            <w:r w:rsidR="002E5D95">
              <w:t>výrobcovia zdravotníckych pomôcok a diagnostických zdravotníckych pomôcok in vitro</w:t>
            </w:r>
            <w:r w:rsidR="00FB055C" w:rsidRPr="00037239">
              <w:t>, poskytovatelia zdravotnej starostlivosti, univerzity</w:t>
            </w:r>
            <w:r w:rsidR="00B164B5" w:rsidRPr="00037239">
              <w:t>, vedecké ústavy</w:t>
            </w:r>
            <w:r w:rsidR="00FB055C" w:rsidRPr="00037239">
              <w:t>).</w:t>
            </w:r>
          </w:p>
          <w:p w:rsidR="00FE4B85" w:rsidRPr="00037239" w:rsidRDefault="00FE4B85" w:rsidP="00390FF8">
            <w:pPr>
              <w:jc w:val="both"/>
            </w:pPr>
          </w:p>
          <w:p w:rsidR="003501A1" w:rsidRDefault="002E5D95" w:rsidP="002E5D95">
            <w:pPr>
              <w:jc w:val="both"/>
            </w:pPr>
            <w:r>
              <w:t>Výrobcovia liekov (držitelia povolenia na čiastkovú výrobu liekov).</w:t>
            </w:r>
          </w:p>
          <w:p w:rsidR="002E5D95" w:rsidRPr="002E5D95" w:rsidRDefault="002E5D95" w:rsidP="002E5D95">
            <w:pPr>
              <w:jc w:val="both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390FF8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B85" w:rsidRPr="002E5D95" w:rsidRDefault="00FE4B85" w:rsidP="0041395D">
            <w:pPr>
              <w:pStyle w:val="Default"/>
              <w:rPr>
                <w:iCs/>
                <w:sz w:val="20"/>
                <w:szCs w:val="20"/>
              </w:rPr>
            </w:pPr>
            <w:r w:rsidRPr="002E5D95">
              <w:rPr>
                <w:iCs/>
                <w:sz w:val="20"/>
                <w:szCs w:val="20"/>
              </w:rPr>
              <w:t xml:space="preserve">V oblasti klinického skúšania </w:t>
            </w:r>
            <w:r w:rsidR="002E5D95" w:rsidRPr="002E5D95">
              <w:rPr>
                <w:iCs/>
                <w:sz w:val="20"/>
                <w:szCs w:val="20"/>
              </w:rPr>
              <w:t xml:space="preserve">zdravotníckej pomôcky a štúdie výkonu </w:t>
            </w:r>
            <w:r w:rsidR="002E5D95" w:rsidRPr="002E5D95">
              <w:rPr>
                <w:sz w:val="20"/>
                <w:szCs w:val="20"/>
              </w:rPr>
              <w:t>diagnostickej zdravotníckej pomôcky in vitro</w:t>
            </w:r>
            <w:r w:rsidR="002E5D95" w:rsidRPr="002E5D95">
              <w:rPr>
                <w:iCs/>
                <w:sz w:val="20"/>
                <w:szCs w:val="20"/>
              </w:rPr>
              <w:t xml:space="preserve"> </w:t>
            </w:r>
            <w:r w:rsidRPr="002E5D95">
              <w:rPr>
                <w:iCs/>
                <w:sz w:val="20"/>
                <w:szCs w:val="20"/>
              </w:rPr>
              <w:t>alternatívne riešenia nie sú.</w:t>
            </w:r>
          </w:p>
          <w:p w:rsidR="00FE4B85" w:rsidRPr="00390FF8" w:rsidRDefault="00FE4B85" w:rsidP="0041395D">
            <w:pPr>
              <w:pStyle w:val="Default"/>
              <w:rPr>
                <w:sz w:val="20"/>
                <w:szCs w:val="20"/>
              </w:rPr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390FF8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A1" w:rsidRPr="00390FF8" w:rsidRDefault="003501A1" w:rsidP="005C2A8E">
            <w:pPr>
              <w:rPr>
                <w:i/>
              </w:rPr>
            </w:pPr>
            <w:r w:rsidRPr="00390FF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5D95" w:rsidRDefault="002E5D95" w:rsidP="00390FF8">
            <w:pPr>
              <w:jc w:val="center"/>
            </w:pPr>
          </w:p>
          <w:p w:rsidR="003501A1" w:rsidRPr="00A179AE" w:rsidRDefault="003501A1" w:rsidP="00390FF8">
            <w:pPr>
              <w:jc w:val="center"/>
            </w:pPr>
            <w:r w:rsidRPr="00A179AE">
              <w:t>Nie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A179AE" w:rsidRDefault="003501A1" w:rsidP="002E5D95">
            <w:pPr>
              <w:jc w:val="both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90FF8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01A1" w:rsidRPr="002E5D95" w:rsidRDefault="00975D90" w:rsidP="005C2A8E">
            <w:r w:rsidRPr="002E5D95">
              <w:t>bezpredmetné</w:t>
            </w:r>
          </w:p>
        </w:tc>
      </w:tr>
      <w:tr w:rsidR="003501A1" w:rsidRPr="00A179AE" w:rsidTr="00390FF8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Preskúmanie účelnosti</w:t>
            </w:r>
            <w:r w:rsidR="00F62771" w:rsidRPr="00390FF8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390FF8" w:rsidRDefault="003501A1" w:rsidP="00293333">
            <w:pPr>
              <w:rPr>
                <w:i/>
              </w:rPr>
            </w:pPr>
          </w:p>
          <w:p w:rsidR="00293333" w:rsidRPr="00390FF8" w:rsidRDefault="00293333" w:rsidP="00293333">
            <w:pPr>
              <w:rPr>
                <w:i/>
              </w:rPr>
            </w:pPr>
          </w:p>
        </w:tc>
      </w:tr>
      <w:tr w:rsidR="003501A1" w:rsidRPr="00A179AE" w:rsidTr="00390FF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6F1F" w:rsidRDefault="004F6F1F" w:rsidP="00390FF8">
            <w:pPr>
              <w:ind w:left="142" w:hanging="142"/>
            </w:pPr>
          </w:p>
          <w:p w:rsidR="00D13B6F" w:rsidRDefault="00D13B6F" w:rsidP="00390FF8">
            <w:pPr>
              <w:ind w:left="142" w:hanging="142"/>
            </w:pPr>
          </w:p>
          <w:p w:rsidR="00F62771" w:rsidRDefault="00F62771" w:rsidP="00390FF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D35768" w:rsidRDefault="00D35768" w:rsidP="00F22831"/>
          <w:p w:rsidR="00D35768" w:rsidRDefault="00D35768" w:rsidP="00F22831"/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D35768" w:rsidRPr="00A179AE" w:rsidTr="00AE730E"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D35768" w:rsidRPr="00A179AE" w:rsidRDefault="00D35768" w:rsidP="00D3576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Vplyvy navrhovaného materiálu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</w:rPr>
                  <w:id w:val="11215754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91640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5364909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3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r w:rsidRPr="00A179AE">
                    <w:t xml:space="preserve">    z toho rozpočtovo zabezpečené vplyvy</w:t>
                  </w:r>
                </w:p>
              </w:tc>
              <w:sdt>
                <w:sdtPr>
                  <w:id w:val="-207372912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0F7DEA" w:rsidP="00D3576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r w:rsidRPr="00A179AE">
                    <w:t>Áno</w:t>
                  </w:r>
                </w:p>
              </w:tc>
              <w:sdt>
                <w:sdtPr>
                  <w:id w:val="-5438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r w:rsidRPr="00A179AE">
                    <w:t>Nie</w:t>
                  </w:r>
                </w:p>
              </w:tc>
              <w:sdt>
                <w:sdtPr>
                  <w:id w:val="36194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ind w:left="-107" w:right="-108"/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34"/>
                  </w:pPr>
                  <w:r w:rsidRPr="00A179AE">
                    <w:t>Čiastočne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</w:rPr>
                  <w:id w:val="132831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56460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B1647D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17354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B1647D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:rsidR="00D35768" w:rsidRPr="00A179AE" w:rsidRDefault="00D35768" w:rsidP="00D35768">
                  <w:r w:rsidRPr="00A179AE">
                    <w:t xml:space="preserve">    z toho vplyvy na MSP</w:t>
                  </w:r>
                </w:p>
              </w:tc>
              <w:sdt>
                <w:sdtPr>
                  <w:id w:val="193193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</w:pPr>
                  <w:r w:rsidRPr="00A179AE">
                    <w:t>Pozitívne</w:t>
                  </w:r>
                </w:p>
              </w:tc>
              <w:sdt>
                <w:sdtPr>
                  <w:id w:val="-1696063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r w:rsidRPr="00A179AE">
                    <w:t>Žiadne</w:t>
                  </w:r>
                </w:p>
              </w:tc>
              <w:sdt>
                <w:sdtPr>
                  <w:id w:val="67176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</w:pPr>
                  <w:r w:rsidRPr="00A179AE"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Sociálne vplyvy</w:t>
                  </w:r>
                </w:p>
              </w:tc>
              <w:sdt>
                <w:sdtPr>
                  <w:rPr>
                    <w:b/>
                  </w:rPr>
                  <w:id w:val="449357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7083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</w:rPr>
                  <w:id w:val="304755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23513619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31020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informatizáciu</w:t>
                  </w:r>
                </w:p>
              </w:tc>
              <w:sdt>
                <w:sdtPr>
                  <w:rPr>
                    <w:b/>
                  </w:rPr>
                  <w:id w:val="-9407510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12615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37883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653ADA" w:rsidRDefault="00D35768" w:rsidP="00D35768">
                  <w:pPr>
                    <w:rPr>
                      <w:b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V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>plyv</w:t>
                  </w:r>
                  <w:r>
                    <w:rPr>
                      <w:rFonts w:eastAsia="Calibri"/>
                      <w:b/>
                      <w:lang w:eastAsia="en-US"/>
                    </w:rPr>
                    <w:t>y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 xml:space="preserve"> na služby verejnej správy pre občana</w:t>
                  </w:r>
                  <w:r>
                    <w:rPr>
                      <w:rFonts w:eastAsia="Calibri"/>
                      <w:b/>
                      <w:lang w:eastAsia="en-US"/>
                    </w:rPr>
                    <w:t>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ind w:right="-108"/>
                    <w:rPr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rPr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ind w:left="54"/>
                    <w:rPr>
                      <w:b/>
                    </w:rPr>
                  </w:pPr>
                </w:p>
              </w:tc>
            </w:tr>
            <w:tr w:rsidR="00D35768" w:rsidRPr="009634B3" w:rsidTr="00AE730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9634B3" w:rsidRDefault="00D35768" w:rsidP="00D35768">
                  <w:pPr>
                    <w:ind w:left="196" w:hanging="196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b/>
                  </w:rPr>
                  <w:id w:val="-1688362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88498550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2146805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9634B3" w:rsidTr="00AE730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9634B3" w:rsidRDefault="00D35768" w:rsidP="00D35768">
                  <w:pPr>
                    <w:ind w:left="168" w:hanging="168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    </w:t>
                  </w:r>
                  <w:r w:rsidRPr="009634B3">
                    <w:rPr>
                      <w:rFonts w:eastAsia="Calibri"/>
                      <w:b/>
                      <w:lang w:eastAsia="en-US"/>
                    </w:rPr>
                    <w:t>vplyvy na procesy služieb vo verejnej správe</w:t>
                  </w:r>
                </w:p>
              </w:tc>
              <w:sdt>
                <w:sdtPr>
                  <w:rPr>
                    <w:b/>
                  </w:rPr>
                  <w:id w:val="-113984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325040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018029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p w:rsidR="00D35768" w:rsidRDefault="00D35768" w:rsidP="00F22831"/>
          <w:p w:rsidR="00D35768" w:rsidRPr="00A179AE" w:rsidRDefault="00D35768" w:rsidP="00F22831"/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390FF8" w:rsidRDefault="004F6F1F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390FF8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E6EE6" w:rsidRPr="00390FF8" w:rsidRDefault="000E6EE6" w:rsidP="00390FF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:rsidR="00070A71" w:rsidRPr="002E5D95" w:rsidRDefault="00070A71" w:rsidP="00390FF8">
            <w:pPr>
              <w:jc w:val="both"/>
              <w:rPr>
                <w:iCs/>
              </w:rPr>
            </w:pPr>
            <w:r w:rsidRPr="002E5D95">
              <w:rPr>
                <w:iCs/>
              </w:rPr>
              <w:t>Návrh zákona má pozitívne aj negatívne vplyvy na rozpočet verejnej správy (pozitívne</w:t>
            </w:r>
            <w:r w:rsidR="002E5D95">
              <w:rPr>
                <w:iCs/>
              </w:rPr>
              <w:t xml:space="preserve"> vplyvy sú</w:t>
            </w:r>
            <w:r w:rsidRPr="002E5D95">
              <w:rPr>
                <w:iCs/>
              </w:rPr>
              <w:t xml:space="preserve"> </w:t>
            </w:r>
            <w:r w:rsidR="002E5D95">
              <w:rPr>
                <w:iCs/>
              </w:rPr>
              <w:t xml:space="preserve">zvýšené </w:t>
            </w:r>
            <w:r w:rsidRPr="002E5D95">
              <w:rPr>
                <w:iCs/>
              </w:rPr>
              <w:t>príjmy zo správnych poplatkov, negatívne</w:t>
            </w:r>
            <w:r w:rsidR="002E5D95">
              <w:rPr>
                <w:iCs/>
              </w:rPr>
              <w:t xml:space="preserve"> vplyvy sú</w:t>
            </w:r>
            <w:r w:rsidRPr="002E5D95">
              <w:rPr>
                <w:iCs/>
              </w:rPr>
              <w:t xml:space="preserve"> zvýšen</w:t>
            </w:r>
            <w:r w:rsidR="003838AA">
              <w:rPr>
                <w:iCs/>
              </w:rPr>
              <w:t>é</w:t>
            </w:r>
            <w:r w:rsidRPr="002E5D95">
              <w:rPr>
                <w:iCs/>
              </w:rPr>
              <w:t xml:space="preserve"> výdavk</w:t>
            </w:r>
            <w:r w:rsidR="003838AA">
              <w:rPr>
                <w:iCs/>
              </w:rPr>
              <w:t>y</w:t>
            </w:r>
            <w:r w:rsidRPr="002E5D95">
              <w:rPr>
                <w:iCs/>
              </w:rPr>
              <w:t xml:space="preserve"> Štátneho ústavu pre kontrolu liečiv</w:t>
            </w:r>
            <w:r w:rsidR="003838AA">
              <w:rPr>
                <w:iCs/>
              </w:rPr>
              <w:t xml:space="preserve"> v Bratislave</w:t>
            </w:r>
            <w:r w:rsidRPr="002E5D95">
              <w:rPr>
                <w:iCs/>
              </w:rPr>
              <w:t xml:space="preserve"> a Ministerstva zdravotníctva SR).</w:t>
            </w:r>
          </w:p>
          <w:p w:rsidR="005D771C" w:rsidRPr="00070A71" w:rsidRDefault="005D771C" w:rsidP="00390FF8">
            <w:pPr>
              <w:jc w:val="both"/>
              <w:rPr>
                <w:i/>
                <w:iCs/>
              </w:rPr>
            </w:pPr>
          </w:p>
          <w:p w:rsidR="00070A71" w:rsidRPr="003838AA" w:rsidRDefault="00070A71" w:rsidP="00070A71">
            <w:pPr>
              <w:jc w:val="both"/>
            </w:pPr>
            <w:r w:rsidRPr="003838AA">
              <w:t>V každom roku budú vplyvy na rozpočet verejnej správy pozitívne a zároveň aj negatívne. Pozitívne vplyvy predstavujú príjmy zo správnych poplatkov.</w:t>
            </w:r>
          </w:p>
          <w:p w:rsidR="005D771C" w:rsidRDefault="005D771C" w:rsidP="00070A71">
            <w:pPr>
              <w:jc w:val="both"/>
              <w:rPr>
                <w:i/>
              </w:rPr>
            </w:pPr>
          </w:p>
          <w:p w:rsidR="009668E1" w:rsidRDefault="009668E1" w:rsidP="00161902">
            <w:pPr>
              <w:jc w:val="both"/>
              <w:rPr>
                <w:iCs/>
              </w:rPr>
            </w:pPr>
            <w:r w:rsidRPr="003838AA">
              <w:rPr>
                <w:iCs/>
              </w:rPr>
              <w:t xml:space="preserve">Ministerstvo zdravotníctva SR </w:t>
            </w:r>
            <w:r w:rsidR="009D20BB">
              <w:rPr>
                <w:iCs/>
              </w:rPr>
              <w:t xml:space="preserve">uplatnilo pri schvaľovaní zákon č. 156/2018 Z. z. </w:t>
            </w:r>
            <w:r w:rsidRPr="003838AA">
              <w:rPr>
                <w:iCs/>
              </w:rPr>
              <w:t>požiadavku na tri pracovné miesta v súvislosti s organizačným zabezpečením činnosti etic</w:t>
            </w:r>
            <w:r w:rsidR="003838AA" w:rsidRPr="003838AA">
              <w:rPr>
                <w:iCs/>
              </w:rPr>
              <w:t xml:space="preserve">kej komisie MZ SR pre klinické skúšanie </w:t>
            </w:r>
            <w:r w:rsidR="009D20BB">
              <w:rPr>
                <w:iCs/>
              </w:rPr>
              <w:t>vo výške</w:t>
            </w:r>
            <w:r w:rsidRPr="003838AA">
              <w:rPr>
                <w:iCs/>
              </w:rPr>
              <w:t xml:space="preserve"> 56 000 eur ročne.</w:t>
            </w:r>
            <w:r w:rsidR="009D20BB">
              <w:rPr>
                <w:iCs/>
              </w:rPr>
              <w:t xml:space="preserve"> V tomto návrhu zákona sa činnosť etickej komisie pre klinické skúšanie rozširuje aj na klinické skúšanie zdravotníckej pomôcky a na štúdie výkonu diagnostickej zdravotníckej pomôcky in vitro. </w:t>
            </w:r>
            <w:r w:rsidRPr="003838AA">
              <w:rPr>
                <w:iCs/>
              </w:rPr>
              <w:t xml:space="preserve"> </w:t>
            </w:r>
            <w:r w:rsidR="009D20BB" w:rsidRPr="003838AA">
              <w:rPr>
                <w:iCs/>
              </w:rPr>
              <w:t xml:space="preserve">Ministerstvo zdravotníctva SR </w:t>
            </w:r>
            <w:r w:rsidR="009D20BB">
              <w:rPr>
                <w:iCs/>
              </w:rPr>
              <w:t xml:space="preserve">zabezpečí túto činnosť bez uplatňovania  zvýšenia finančných prostriedkov. Navrhuje sa </w:t>
            </w:r>
            <w:r w:rsidR="00161902" w:rsidRPr="003838AA">
              <w:rPr>
                <w:iCs/>
              </w:rPr>
              <w:t xml:space="preserve"> </w:t>
            </w:r>
            <w:r w:rsidR="003838AA" w:rsidRPr="003838AA">
              <w:rPr>
                <w:iCs/>
              </w:rPr>
              <w:t>rozšírenie funkčnosti</w:t>
            </w:r>
            <w:r w:rsidR="00161902" w:rsidRPr="003838AA">
              <w:rPr>
                <w:iCs/>
              </w:rPr>
              <w:t xml:space="preserve"> elektronického národného portálu, </w:t>
            </w:r>
            <w:r w:rsidR="009D20BB">
              <w:rPr>
                <w:iCs/>
              </w:rPr>
              <w:t xml:space="preserve">na ktorého  fungovanie </w:t>
            </w:r>
            <w:r w:rsidR="009D20BB" w:rsidRPr="003838AA">
              <w:rPr>
                <w:iCs/>
              </w:rPr>
              <w:t xml:space="preserve">Ministerstvo zdravotníctva SR </w:t>
            </w:r>
            <w:r w:rsidR="009D20BB">
              <w:rPr>
                <w:iCs/>
              </w:rPr>
              <w:t xml:space="preserve">už </w:t>
            </w:r>
            <w:r w:rsidR="009D20BB">
              <w:rPr>
                <w:iCs/>
              </w:rPr>
              <w:t xml:space="preserve">uplatnilo pri schvaľovaní zákon č. 156/2018 Z. </w:t>
            </w:r>
            <w:r w:rsidR="009D20BB">
              <w:rPr>
                <w:iCs/>
              </w:rPr>
              <w:t xml:space="preserve">požiadavku na krytie výdavkov </w:t>
            </w:r>
            <w:r w:rsidR="00161902" w:rsidRPr="003838AA">
              <w:rPr>
                <w:iCs/>
              </w:rPr>
              <w:t>vo výške 20 000 eur ročne. Pre členov etickej komisie</w:t>
            </w:r>
            <w:r w:rsidR="003838AA" w:rsidRPr="003838AA">
              <w:rPr>
                <w:iCs/>
              </w:rPr>
              <w:t xml:space="preserve"> MZ SR pre klinické skúšanie</w:t>
            </w:r>
            <w:r w:rsidR="009D20BB">
              <w:rPr>
                <w:iCs/>
              </w:rPr>
              <w:t xml:space="preserve"> </w:t>
            </w:r>
            <w:r w:rsidR="009D20BB" w:rsidRPr="003838AA">
              <w:rPr>
                <w:iCs/>
              </w:rPr>
              <w:t xml:space="preserve">Ministerstvo zdravotníctva SR </w:t>
            </w:r>
            <w:r w:rsidR="009D20BB">
              <w:rPr>
                <w:iCs/>
              </w:rPr>
              <w:t>už uplatnilo pri schvaľovaní zákon č. 156/2018 Z. požiadavku na krytie výdavkov</w:t>
            </w:r>
            <w:r w:rsidR="003838AA" w:rsidRPr="003838AA">
              <w:rPr>
                <w:iCs/>
              </w:rPr>
              <w:t xml:space="preserve"> </w:t>
            </w:r>
            <w:r w:rsidR="00161902" w:rsidRPr="003838AA">
              <w:rPr>
                <w:iCs/>
              </w:rPr>
              <w:t xml:space="preserve">vo výške 104 000 eur. </w:t>
            </w:r>
          </w:p>
          <w:p w:rsidR="009D20BB" w:rsidRDefault="009D20BB" w:rsidP="00161902">
            <w:pPr>
              <w:jc w:val="both"/>
              <w:rPr>
                <w:iCs/>
              </w:rPr>
            </w:pPr>
            <w:r>
              <w:rPr>
                <w:iCs/>
              </w:rPr>
              <w:t xml:space="preserve">V súvislosti s týmto návrhom zákona </w:t>
            </w:r>
            <w:r w:rsidRPr="003838AA">
              <w:rPr>
                <w:iCs/>
              </w:rPr>
              <w:t>Ministerstvo zdravotníctva SR</w:t>
            </w:r>
            <w:r>
              <w:rPr>
                <w:iCs/>
              </w:rPr>
              <w:t xml:space="preserve"> neuplatňuje žiadne  krytie finančných prostriedkov</w:t>
            </w:r>
          </w:p>
          <w:p w:rsidR="003838AA" w:rsidRDefault="003838AA" w:rsidP="003838AA">
            <w:pPr>
              <w:jc w:val="both"/>
              <w:rPr>
                <w:iCs/>
              </w:rPr>
            </w:pPr>
          </w:p>
          <w:p w:rsidR="003838AA" w:rsidRDefault="003838AA" w:rsidP="00390FF8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3838AA">
              <w:rPr>
                <w:iCs/>
                <w:sz w:val="20"/>
                <w:szCs w:val="20"/>
              </w:rPr>
              <w:t>N</w:t>
            </w:r>
            <w:r w:rsidR="009F7AC2" w:rsidRPr="003838AA">
              <w:rPr>
                <w:iCs/>
                <w:sz w:val="20"/>
                <w:szCs w:val="20"/>
              </w:rPr>
              <w:t xml:space="preserve">ávrh zákona zaťaží podnikateľský sektor </w:t>
            </w:r>
            <w:r w:rsidR="00D42355">
              <w:rPr>
                <w:iCs/>
                <w:sz w:val="20"/>
                <w:szCs w:val="20"/>
              </w:rPr>
              <w:t xml:space="preserve">v oblasti zdravotníckych pomôcok a diagnostických zdravotníckych pomôcok in vitro </w:t>
            </w:r>
            <w:r w:rsidR="009F7AC2" w:rsidRPr="003838AA">
              <w:rPr>
                <w:iCs/>
                <w:sz w:val="20"/>
                <w:szCs w:val="20"/>
              </w:rPr>
              <w:t xml:space="preserve">vyššími </w:t>
            </w:r>
            <w:r w:rsidR="00161902" w:rsidRPr="003838AA">
              <w:rPr>
                <w:iCs/>
                <w:sz w:val="20"/>
                <w:szCs w:val="20"/>
              </w:rPr>
              <w:t xml:space="preserve">správnymi </w:t>
            </w:r>
            <w:r>
              <w:rPr>
                <w:iCs/>
                <w:sz w:val="20"/>
                <w:szCs w:val="20"/>
              </w:rPr>
              <w:t>poplatkami.</w:t>
            </w:r>
          </w:p>
          <w:p w:rsidR="00D42355" w:rsidRDefault="00D42355" w:rsidP="00390FF8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9F7AC2" w:rsidRPr="003838AA" w:rsidRDefault="009F7AC2" w:rsidP="00390FF8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3838AA">
              <w:rPr>
                <w:iCs/>
                <w:sz w:val="20"/>
                <w:szCs w:val="20"/>
              </w:rPr>
              <w:t xml:space="preserve">Návrh zákona neovplyvní životné prostredie,  pozitívne </w:t>
            </w:r>
            <w:r w:rsidR="007B4B30" w:rsidRPr="003838AA">
              <w:rPr>
                <w:iCs/>
                <w:sz w:val="20"/>
                <w:szCs w:val="20"/>
              </w:rPr>
              <w:t xml:space="preserve">ovplyvní </w:t>
            </w:r>
            <w:r w:rsidRPr="003838AA">
              <w:rPr>
                <w:iCs/>
                <w:sz w:val="20"/>
                <w:szCs w:val="20"/>
              </w:rPr>
              <w:t>zamestnanosť a</w:t>
            </w:r>
            <w:r w:rsidR="007B4B30" w:rsidRPr="003838AA">
              <w:rPr>
                <w:iCs/>
                <w:sz w:val="20"/>
                <w:szCs w:val="20"/>
              </w:rPr>
              <w:t xml:space="preserve">  </w:t>
            </w:r>
            <w:r w:rsidRPr="003838AA">
              <w:rPr>
                <w:iCs/>
                <w:sz w:val="20"/>
                <w:szCs w:val="20"/>
              </w:rPr>
              <w:t>informatizáciu spoločnosti.</w:t>
            </w:r>
          </w:p>
          <w:p w:rsidR="004F6F1F" w:rsidRPr="00390FF8" w:rsidRDefault="004F6F1F" w:rsidP="007C55F1">
            <w:pPr>
              <w:rPr>
                <w:b/>
              </w:rPr>
            </w:pP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390FF8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Default="00D13B6F" w:rsidP="00390FF8">
            <w:pPr>
              <w:jc w:val="both"/>
              <w:rPr>
                <w:i/>
              </w:rPr>
            </w:pPr>
            <w:r w:rsidRPr="00390FF8">
              <w:rPr>
                <w:i/>
              </w:rPr>
              <w:t>Uveďte údaje na kontaktnú osobu, ktorú je možné kontaktovať v súvislos</w:t>
            </w:r>
            <w:r w:rsidR="00B95A4B" w:rsidRPr="00390FF8">
              <w:rPr>
                <w:i/>
              </w:rPr>
              <w:t>ti s posúdením vybraných vplyvov.</w:t>
            </w:r>
          </w:p>
          <w:p w:rsidR="007C55F1" w:rsidRPr="00390FF8" w:rsidRDefault="002E3FA3" w:rsidP="00390FF8">
            <w:pPr>
              <w:jc w:val="both"/>
              <w:rPr>
                <w:i/>
              </w:rPr>
            </w:pPr>
            <w:hyperlink r:id="rId11" w:history="1">
              <w:r w:rsidR="007C55F1" w:rsidRPr="003605F6">
                <w:rPr>
                  <w:rStyle w:val="Hypertextovprepojenie"/>
                  <w:i/>
                </w:rPr>
                <w:t>jozef.slany@health.gov.sk</w:t>
              </w:r>
            </w:hyperlink>
            <w:r w:rsidR="007C55F1">
              <w:rPr>
                <w:i/>
              </w:rPr>
              <w:t xml:space="preserve"> </w:t>
            </w: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390FF8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Default="003501A1" w:rsidP="00390FF8">
            <w:pPr>
              <w:jc w:val="both"/>
              <w:rPr>
                <w:i/>
              </w:rPr>
            </w:pPr>
            <w:r w:rsidRPr="00390FF8">
              <w:rPr>
                <w:i/>
              </w:rPr>
              <w:lastRenderedPageBreak/>
              <w:t>Uveďte zdroje</w:t>
            </w:r>
            <w:r w:rsidR="00EB59E3" w:rsidRPr="00390FF8">
              <w:rPr>
                <w:i/>
              </w:rPr>
              <w:t xml:space="preserve"> </w:t>
            </w:r>
            <w:r w:rsidR="00D75D35" w:rsidRPr="00390FF8">
              <w:rPr>
                <w:i/>
              </w:rPr>
              <w:t>(štatistiky, prieskumy, spoluprácu s odborníkmi a iné)</w:t>
            </w:r>
            <w:r w:rsidRPr="00390FF8">
              <w:rPr>
                <w:i/>
              </w:rPr>
              <w:t>, z ktorých ste pri vypracovávaní doložky, príp. analýz vplyvov vychádzali.</w:t>
            </w:r>
          </w:p>
          <w:p w:rsidR="00D42355" w:rsidRDefault="00D42355" w:rsidP="00390FF8">
            <w:pPr>
              <w:jc w:val="both"/>
            </w:pPr>
          </w:p>
          <w:p w:rsidR="00D42355" w:rsidRPr="00D42355" w:rsidRDefault="00D42355" w:rsidP="00390FF8">
            <w:pPr>
              <w:jc w:val="both"/>
            </w:pPr>
            <w:r w:rsidRPr="00D42355">
              <w:t>Podklady</w:t>
            </w:r>
            <w:r>
              <w:t xml:space="preserve"> predložil Ministerstvu zdravotníctva SR Štátny ústav pre kontrolu liečiv v Bratislave.</w:t>
            </w:r>
          </w:p>
          <w:p w:rsidR="003501A1" w:rsidRPr="00390FF8" w:rsidRDefault="003501A1" w:rsidP="00390FF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Default="003501A1" w:rsidP="00390FF8">
            <w:pPr>
              <w:jc w:val="both"/>
              <w:rPr>
                <w:i/>
              </w:rPr>
            </w:pPr>
            <w:r w:rsidRPr="00540DA4">
              <w:rPr>
                <w:i/>
              </w:rPr>
              <w:t>Uveďte stanovisko Komisie pre posudzovanie vybraných vplyvov, ktoré Vám bolo zaslané v rámci predbežného pripomienkového konania</w:t>
            </w:r>
            <w:r w:rsidR="00D42355">
              <w:rPr>
                <w:i/>
              </w:rPr>
              <w:t>.</w:t>
            </w:r>
          </w:p>
          <w:p w:rsidR="00D42355" w:rsidRPr="00D42355" w:rsidRDefault="00D42355" w:rsidP="00390FF8">
            <w:pPr>
              <w:jc w:val="both"/>
              <w:rPr>
                <w:b/>
              </w:rPr>
            </w:pPr>
            <w:r>
              <w:t>PPK bude vykonané dodatočne po identifikácii a spresnení vybraných vplyvov z dôvodu naliehavosti termínu.</w:t>
            </w:r>
          </w:p>
          <w:p w:rsidR="003501A1" w:rsidRPr="00540DA4" w:rsidRDefault="00540DA4" w:rsidP="00513114">
            <w:pPr>
              <w:jc w:val="both"/>
              <w:rPr>
                <w:b/>
              </w:rPr>
            </w:pPr>
            <w:r w:rsidRPr="00540DA4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</w:tbl>
    <w:p w:rsidR="003501A1" w:rsidRDefault="003501A1" w:rsidP="003501A1">
      <w:pPr>
        <w:rPr>
          <w:b/>
        </w:rPr>
      </w:pPr>
    </w:p>
    <w:sectPr w:rsidR="003501A1" w:rsidSect="003F4EC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A3" w:rsidRDefault="002E3FA3" w:rsidP="003501A1">
      <w:r>
        <w:separator/>
      </w:r>
    </w:p>
  </w:endnote>
  <w:endnote w:type="continuationSeparator" w:id="0">
    <w:p w:rsidR="002E3FA3" w:rsidRDefault="002E3FA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A3" w:rsidRDefault="002E3FA3" w:rsidP="003501A1">
      <w:r>
        <w:separator/>
      </w:r>
    </w:p>
  </w:footnote>
  <w:footnote w:type="continuationSeparator" w:id="0">
    <w:p w:rsidR="002E3FA3" w:rsidRDefault="002E3FA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E" w:rsidRPr="000A15AE" w:rsidRDefault="005C2A8E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5C2A8E" w:rsidRDefault="005C2A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95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D109DD"/>
    <w:multiLevelType w:val="hybridMultilevel"/>
    <w:tmpl w:val="8DB2678A"/>
    <w:lvl w:ilvl="0" w:tplc="1998364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232A5A"/>
    <w:multiLevelType w:val="hybridMultilevel"/>
    <w:tmpl w:val="D23E3D9E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13C23B2"/>
    <w:multiLevelType w:val="hybridMultilevel"/>
    <w:tmpl w:val="4D308278"/>
    <w:lvl w:ilvl="0" w:tplc="D8E66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52F1"/>
    <w:multiLevelType w:val="hybridMultilevel"/>
    <w:tmpl w:val="3E1AF59A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FCB5C9B"/>
    <w:multiLevelType w:val="hybridMultilevel"/>
    <w:tmpl w:val="EAF091F2"/>
    <w:lvl w:ilvl="0" w:tplc="80EEC0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7633"/>
    <w:multiLevelType w:val="hybridMultilevel"/>
    <w:tmpl w:val="C6A64DF0"/>
    <w:lvl w:ilvl="0" w:tplc="9E28DAA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7D561A"/>
    <w:multiLevelType w:val="hybridMultilevel"/>
    <w:tmpl w:val="DADEF3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D3360"/>
    <w:multiLevelType w:val="multilevel"/>
    <w:tmpl w:val="BA9ECA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3D1D"/>
    <w:rsid w:val="0000498C"/>
    <w:rsid w:val="00025B79"/>
    <w:rsid w:val="00037239"/>
    <w:rsid w:val="00040E43"/>
    <w:rsid w:val="00061FFD"/>
    <w:rsid w:val="00063227"/>
    <w:rsid w:val="00067F78"/>
    <w:rsid w:val="00070A71"/>
    <w:rsid w:val="000726C4"/>
    <w:rsid w:val="0009386D"/>
    <w:rsid w:val="000945C3"/>
    <w:rsid w:val="000B28A7"/>
    <w:rsid w:val="000B675B"/>
    <w:rsid w:val="000C52CC"/>
    <w:rsid w:val="000E6EE6"/>
    <w:rsid w:val="000F7DEA"/>
    <w:rsid w:val="00103B88"/>
    <w:rsid w:val="00116900"/>
    <w:rsid w:val="00161902"/>
    <w:rsid w:val="00175FD8"/>
    <w:rsid w:val="001A7444"/>
    <w:rsid w:val="001C026E"/>
    <w:rsid w:val="001F42AB"/>
    <w:rsid w:val="002074B7"/>
    <w:rsid w:val="002520D5"/>
    <w:rsid w:val="00274210"/>
    <w:rsid w:val="0029160D"/>
    <w:rsid w:val="00293333"/>
    <w:rsid w:val="002B3C13"/>
    <w:rsid w:val="002E3FA3"/>
    <w:rsid w:val="002E5D95"/>
    <w:rsid w:val="003501A1"/>
    <w:rsid w:val="003838AA"/>
    <w:rsid w:val="00390FF8"/>
    <w:rsid w:val="00395098"/>
    <w:rsid w:val="003C5F58"/>
    <w:rsid w:val="003F1618"/>
    <w:rsid w:val="003F4EC6"/>
    <w:rsid w:val="0041395D"/>
    <w:rsid w:val="00426DE9"/>
    <w:rsid w:val="0045136B"/>
    <w:rsid w:val="00486862"/>
    <w:rsid w:val="004C60B8"/>
    <w:rsid w:val="004C794A"/>
    <w:rsid w:val="004F6F1F"/>
    <w:rsid w:val="00513114"/>
    <w:rsid w:val="00540DA4"/>
    <w:rsid w:val="00595D97"/>
    <w:rsid w:val="00597263"/>
    <w:rsid w:val="005976FD"/>
    <w:rsid w:val="005B7A8D"/>
    <w:rsid w:val="005C2A8E"/>
    <w:rsid w:val="005C3073"/>
    <w:rsid w:val="005D106C"/>
    <w:rsid w:val="005D771C"/>
    <w:rsid w:val="005E04FA"/>
    <w:rsid w:val="006122A1"/>
    <w:rsid w:val="0069512C"/>
    <w:rsid w:val="006C3B7D"/>
    <w:rsid w:val="0072110D"/>
    <w:rsid w:val="00736D6A"/>
    <w:rsid w:val="00784128"/>
    <w:rsid w:val="007907EC"/>
    <w:rsid w:val="007B4B30"/>
    <w:rsid w:val="007C55F1"/>
    <w:rsid w:val="00825B28"/>
    <w:rsid w:val="0087060A"/>
    <w:rsid w:val="008B03DD"/>
    <w:rsid w:val="009668E1"/>
    <w:rsid w:val="00975D90"/>
    <w:rsid w:val="0098177E"/>
    <w:rsid w:val="00997487"/>
    <w:rsid w:val="009D20BB"/>
    <w:rsid w:val="009D614A"/>
    <w:rsid w:val="009E046B"/>
    <w:rsid w:val="009E4E6C"/>
    <w:rsid w:val="009F7AC2"/>
    <w:rsid w:val="00A133FF"/>
    <w:rsid w:val="00A16366"/>
    <w:rsid w:val="00A702F6"/>
    <w:rsid w:val="00A8103A"/>
    <w:rsid w:val="00A96EAA"/>
    <w:rsid w:val="00AF4AC3"/>
    <w:rsid w:val="00B1647D"/>
    <w:rsid w:val="00B164B5"/>
    <w:rsid w:val="00B65A86"/>
    <w:rsid w:val="00B7320B"/>
    <w:rsid w:val="00B80C2A"/>
    <w:rsid w:val="00B95A4B"/>
    <w:rsid w:val="00BB697B"/>
    <w:rsid w:val="00BE30ED"/>
    <w:rsid w:val="00BE5830"/>
    <w:rsid w:val="00BF529C"/>
    <w:rsid w:val="00C11AB6"/>
    <w:rsid w:val="00C54F8D"/>
    <w:rsid w:val="00C60DD8"/>
    <w:rsid w:val="00C65DED"/>
    <w:rsid w:val="00C82F8D"/>
    <w:rsid w:val="00CA0B51"/>
    <w:rsid w:val="00CB3623"/>
    <w:rsid w:val="00CE15BF"/>
    <w:rsid w:val="00CF0FEF"/>
    <w:rsid w:val="00D12AD9"/>
    <w:rsid w:val="00D13B6F"/>
    <w:rsid w:val="00D146B4"/>
    <w:rsid w:val="00D35768"/>
    <w:rsid w:val="00D42355"/>
    <w:rsid w:val="00D507C7"/>
    <w:rsid w:val="00D75D35"/>
    <w:rsid w:val="00D865BE"/>
    <w:rsid w:val="00DA6EE4"/>
    <w:rsid w:val="00DC72DC"/>
    <w:rsid w:val="00DE2A12"/>
    <w:rsid w:val="00E13354"/>
    <w:rsid w:val="00E1490D"/>
    <w:rsid w:val="00E206C8"/>
    <w:rsid w:val="00E36EAF"/>
    <w:rsid w:val="00E60691"/>
    <w:rsid w:val="00E74A4F"/>
    <w:rsid w:val="00E943E4"/>
    <w:rsid w:val="00E963CD"/>
    <w:rsid w:val="00EB1768"/>
    <w:rsid w:val="00EB59E3"/>
    <w:rsid w:val="00EB7D69"/>
    <w:rsid w:val="00EE4B8A"/>
    <w:rsid w:val="00EF7A27"/>
    <w:rsid w:val="00F10057"/>
    <w:rsid w:val="00F16CEF"/>
    <w:rsid w:val="00F17014"/>
    <w:rsid w:val="00F22831"/>
    <w:rsid w:val="00F309D3"/>
    <w:rsid w:val="00F376F0"/>
    <w:rsid w:val="00F404CC"/>
    <w:rsid w:val="00F46317"/>
    <w:rsid w:val="00F552E7"/>
    <w:rsid w:val="00F604CA"/>
    <w:rsid w:val="00F62771"/>
    <w:rsid w:val="00F64C0F"/>
    <w:rsid w:val="00F665B5"/>
    <w:rsid w:val="00F73E50"/>
    <w:rsid w:val="00FB055C"/>
    <w:rsid w:val="00FE4B85"/>
    <w:rsid w:val="00FF219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A6D"/>
  <w15:docId w15:val="{C82269AC-D539-4AAD-86F3-161618E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96EA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adpis2">
    <w:name w:val="heading 2"/>
    <w:basedOn w:val="Normlny"/>
    <w:next w:val="Normlny"/>
    <w:link w:val="Nadpis2Char"/>
    <w:qFormat/>
    <w:rsid w:val="00A96EAA"/>
    <w:pPr>
      <w:keepNext/>
      <w:numPr>
        <w:ilvl w:val="1"/>
        <w:numId w:val="2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 w:eastAsia="de-DE"/>
    </w:rPr>
  </w:style>
  <w:style w:type="paragraph" w:styleId="Nadpis3">
    <w:name w:val="heading 3"/>
    <w:basedOn w:val="Normlny"/>
    <w:next w:val="Normlny"/>
    <w:link w:val="Nadpis3Char"/>
    <w:autoRedefine/>
    <w:qFormat/>
    <w:rsid w:val="00A96EAA"/>
    <w:pPr>
      <w:keepNext/>
      <w:numPr>
        <w:ilvl w:val="2"/>
        <w:numId w:val="2"/>
      </w:numPr>
      <w:outlineLvl w:val="2"/>
    </w:pPr>
    <w:rPr>
      <w:rFonts w:ascii="Arial" w:hAnsi="Arial" w:cs="Arial"/>
      <w:b/>
      <w:sz w:val="24"/>
      <w:szCs w:val="24"/>
      <w:lang w:val="en-GB" w:eastAsia="de-DE"/>
    </w:rPr>
  </w:style>
  <w:style w:type="paragraph" w:styleId="Nadpis4">
    <w:name w:val="heading 4"/>
    <w:basedOn w:val="Normlny"/>
    <w:next w:val="Normlny"/>
    <w:link w:val="Nadpis4Char"/>
    <w:qFormat/>
    <w:rsid w:val="00A96EAA"/>
    <w:pPr>
      <w:keepNext/>
      <w:numPr>
        <w:ilvl w:val="3"/>
        <w:numId w:val="2"/>
      </w:numPr>
      <w:outlineLvl w:val="3"/>
    </w:pPr>
    <w:rPr>
      <w:rFonts w:ascii="Calibri" w:hAnsi="Calibri" w:cs="Arial"/>
      <w:b/>
      <w:snapToGrid w:val="0"/>
      <w:sz w:val="24"/>
      <w:szCs w:val="24"/>
      <w:lang w:val="en-GB" w:eastAsia="de-DE"/>
    </w:rPr>
  </w:style>
  <w:style w:type="paragraph" w:styleId="Nadpis5">
    <w:name w:val="heading 5"/>
    <w:aliases w:val="D70AR5,titel 5"/>
    <w:basedOn w:val="Normlny"/>
    <w:next w:val="Normlny"/>
    <w:link w:val="Nadpis5Char"/>
    <w:qFormat/>
    <w:rsid w:val="00A96EAA"/>
    <w:pPr>
      <w:keepNext/>
      <w:numPr>
        <w:ilvl w:val="4"/>
        <w:numId w:val="2"/>
      </w:numPr>
      <w:outlineLvl w:val="4"/>
    </w:pPr>
    <w:rPr>
      <w:rFonts w:ascii="Times New Roman Bold" w:hAnsi="Times New Roman Bold" w:cs="Arial"/>
      <w:b/>
      <w:sz w:val="24"/>
      <w:szCs w:val="24"/>
      <w:lang w:val="en-GB" w:eastAsia="de-DE"/>
    </w:rPr>
  </w:style>
  <w:style w:type="paragraph" w:styleId="Nadpis6">
    <w:name w:val="heading 6"/>
    <w:basedOn w:val="Normlny"/>
    <w:next w:val="Normlny"/>
    <w:link w:val="Nadpis6Char"/>
    <w:qFormat/>
    <w:rsid w:val="00A96EAA"/>
    <w:pPr>
      <w:numPr>
        <w:ilvl w:val="5"/>
        <w:numId w:val="2"/>
      </w:numPr>
      <w:spacing w:before="240" w:after="60"/>
      <w:outlineLvl w:val="5"/>
    </w:pPr>
    <w:rPr>
      <w:rFonts w:cs="Arial"/>
      <w:b/>
      <w:sz w:val="24"/>
      <w:szCs w:val="24"/>
      <w:lang w:val="en-GB" w:eastAsia="de-DE"/>
    </w:rPr>
  </w:style>
  <w:style w:type="paragraph" w:styleId="Nadpis7">
    <w:name w:val="heading 7"/>
    <w:basedOn w:val="Normlny"/>
    <w:next w:val="Normlny"/>
    <w:link w:val="Nadpis7Char"/>
    <w:qFormat/>
    <w:rsid w:val="00A96EAA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Cs w:val="24"/>
      <w:lang w:val="en-GB" w:eastAsia="de-DE"/>
    </w:rPr>
  </w:style>
  <w:style w:type="paragraph" w:styleId="Nadpis8">
    <w:name w:val="heading 8"/>
    <w:basedOn w:val="Normlny"/>
    <w:next w:val="Normlny"/>
    <w:link w:val="Nadpis8Char"/>
    <w:qFormat/>
    <w:rsid w:val="00A96EAA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szCs w:val="24"/>
      <w:lang w:val="en-GB" w:eastAsia="de-DE"/>
    </w:rPr>
  </w:style>
  <w:style w:type="paragraph" w:styleId="Nadpis9">
    <w:name w:val="heading 9"/>
    <w:basedOn w:val="Normlny"/>
    <w:next w:val="Normlny"/>
    <w:link w:val="Nadpis9Char"/>
    <w:qFormat/>
    <w:rsid w:val="00A96EAA"/>
    <w:pPr>
      <w:keepNext/>
      <w:numPr>
        <w:ilvl w:val="8"/>
        <w:numId w:val="2"/>
      </w:numPr>
      <w:outlineLvl w:val="8"/>
    </w:pPr>
    <w:rPr>
      <w:rFonts w:cs="Arial"/>
      <w:b/>
      <w:snapToGrid w:val="0"/>
      <w:sz w:val="24"/>
      <w:szCs w:val="24"/>
      <w:u w:val="single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5E04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A96EAA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rsid w:val="00A96EAA"/>
    <w:rPr>
      <w:rFonts w:ascii="Arial" w:eastAsia="Times New Roman" w:hAnsi="Arial" w:cs="Arial"/>
      <w:b/>
      <w:bCs/>
      <w:iCs/>
      <w:sz w:val="28"/>
      <w:szCs w:val="28"/>
      <w:lang w:val="en-GB" w:eastAsia="de-DE"/>
    </w:rPr>
  </w:style>
  <w:style w:type="character" w:customStyle="1" w:styleId="Nadpis3Char">
    <w:name w:val="Nadpis 3 Char"/>
    <w:link w:val="Nadpis3"/>
    <w:rsid w:val="00A96EAA"/>
    <w:rPr>
      <w:rFonts w:ascii="Arial" w:eastAsia="Times New Roman" w:hAnsi="Arial" w:cs="Arial"/>
      <w:b/>
      <w:sz w:val="24"/>
      <w:szCs w:val="24"/>
      <w:lang w:val="en-GB" w:eastAsia="de-DE"/>
    </w:rPr>
  </w:style>
  <w:style w:type="character" w:customStyle="1" w:styleId="Nadpis4Char">
    <w:name w:val="Nadpis 4 Char"/>
    <w:link w:val="Nadpis4"/>
    <w:rsid w:val="00A96EAA"/>
    <w:rPr>
      <w:rFonts w:ascii="Calibri" w:eastAsia="Times New Roman" w:hAnsi="Calibri" w:cs="Arial"/>
      <w:b/>
      <w:snapToGrid w:val="0"/>
      <w:sz w:val="24"/>
      <w:szCs w:val="24"/>
      <w:lang w:val="en-GB" w:eastAsia="de-DE"/>
    </w:rPr>
  </w:style>
  <w:style w:type="character" w:customStyle="1" w:styleId="Nadpis5Char">
    <w:name w:val="Nadpis 5 Char"/>
    <w:aliases w:val="D70AR5 Char,titel 5 Char"/>
    <w:link w:val="Nadpis5"/>
    <w:rsid w:val="00A96EAA"/>
    <w:rPr>
      <w:rFonts w:ascii="Times New Roman Bold" w:eastAsia="Times New Roman" w:hAnsi="Times New Roman Bold" w:cs="Arial"/>
      <w:b/>
      <w:sz w:val="24"/>
      <w:szCs w:val="24"/>
      <w:lang w:val="en-GB" w:eastAsia="de-DE"/>
    </w:rPr>
  </w:style>
  <w:style w:type="character" w:customStyle="1" w:styleId="Nadpis6Char">
    <w:name w:val="Nadpis 6 Char"/>
    <w:link w:val="Nadpis6"/>
    <w:rsid w:val="00A96EAA"/>
    <w:rPr>
      <w:rFonts w:ascii="Times New Roman" w:eastAsia="Times New Roman" w:hAnsi="Times New Roman" w:cs="Arial"/>
      <w:b/>
      <w:sz w:val="24"/>
      <w:szCs w:val="24"/>
      <w:lang w:val="en-GB" w:eastAsia="de-DE"/>
    </w:rPr>
  </w:style>
  <w:style w:type="character" w:customStyle="1" w:styleId="Nadpis7Char">
    <w:name w:val="Nadpis 7 Char"/>
    <w:link w:val="Nadpis7"/>
    <w:rsid w:val="00A96EAA"/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Nadpis8Char">
    <w:name w:val="Nadpis 8 Char"/>
    <w:link w:val="Nadpis8"/>
    <w:rsid w:val="00A96EAA"/>
    <w:rPr>
      <w:rFonts w:ascii="Arial" w:eastAsia="Times New Roman" w:hAnsi="Arial" w:cs="Arial"/>
      <w:i/>
      <w:sz w:val="20"/>
      <w:szCs w:val="24"/>
      <w:lang w:val="en-GB" w:eastAsia="de-DE"/>
    </w:rPr>
  </w:style>
  <w:style w:type="character" w:customStyle="1" w:styleId="Nadpis9Char">
    <w:name w:val="Nadpis 9 Char"/>
    <w:link w:val="Nadpis9"/>
    <w:rsid w:val="00A96EAA"/>
    <w:rPr>
      <w:rFonts w:ascii="Times New Roman" w:eastAsia="Times New Roman" w:hAnsi="Times New Roman" w:cs="Arial"/>
      <w:b/>
      <w:snapToGrid w:val="0"/>
      <w:sz w:val="24"/>
      <w:szCs w:val="24"/>
      <w:u w:val="single"/>
      <w:lang w:val="en-GB" w:eastAsia="de-DE"/>
    </w:rPr>
  </w:style>
  <w:style w:type="character" w:customStyle="1" w:styleId="exam">
    <w:name w:val="exam"/>
    <w:basedOn w:val="Predvolenpsmoodseku"/>
    <w:rsid w:val="003F4EC6"/>
  </w:style>
  <w:style w:type="character" w:styleId="Zstupntext">
    <w:name w:val="Placeholder Text"/>
    <w:uiPriority w:val="99"/>
    <w:semiHidden/>
    <w:rsid w:val="00C60DD8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7320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C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zef.slany@health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3714-5443-4551-A64D-6183BD7DE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9114C-B3A8-45AB-9C6B-A42EA094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F2F06A-5E97-494E-8BEF-3A8FDD40D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08FE8-DC9B-425B-8C92-D29E22E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Slaný Jozef</cp:lastModifiedBy>
  <cp:revision>2</cp:revision>
  <cp:lastPrinted>2017-09-18T11:39:00Z</cp:lastPrinted>
  <dcterms:created xsi:type="dcterms:W3CDTF">2019-08-08T10:34:00Z</dcterms:created>
  <dcterms:modified xsi:type="dcterms:W3CDTF">2019-08-08T10:34:00Z</dcterms:modified>
</cp:coreProperties>
</file>