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6A355E" w:rsidRDefault="006A355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6A355E">
        <w:trPr>
          <w:divId w:val="496269574"/>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1.  Základné údaje</w:t>
            </w:r>
          </w:p>
        </w:tc>
      </w:tr>
      <w:tr w:rsidR="006A355E">
        <w:trPr>
          <w:divId w:val="49626957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Názov materiálu</w:t>
            </w:r>
          </w:p>
        </w:tc>
      </w:tr>
      <w:tr w:rsidR="006A355E">
        <w:trPr>
          <w:divId w:val="49626957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Zákon o finančnej podpore činnosti cirkví a náboženských spoločností</w:t>
            </w:r>
          </w:p>
        </w:tc>
      </w:tr>
      <w:tr w:rsidR="006A355E">
        <w:trPr>
          <w:divId w:val="49626957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Predkladateľ (a spolupredkladateľ)</w:t>
            </w:r>
          </w:p>
        </w:tc>
      </w:tr>
      <w:tr w:rsidR="006A355E">
        <w:trPr>
          <w:divId w:val="49626957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Ministerstvo kultúry Slovenskej republiky</w:t>
            </w:r>
          </w:p>
        </w:tc>
      </w:tr>
      <w:tr w:rsidR="006A355E">
        <w:trPr>
          <w:divId w:val="496269574"/>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6A355E">
        <w:trPr>
          <w:divId w:val="49626957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6A355E">
        <w:trPr>
          <w:divId w:val="49626957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6A355E">
        <w:trPr>
          <w:divId w:val="496269574"/>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p>
        </w:tc>
      </w:tr>
      <w:tr w:rsidR="006A355E">
        <w:trPr>
          <w:divId w:val="49626957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Začiatok:    14.6.2019</w:t>
            </w:r>
            <w:r>
              <w:rPr>
                <w:rFonts w:ascii="Times" w:hAnsi="Times" w:cs="Times"/>
                <w:sz w:val="20"/>
                <w:szCs w:val="20"/>
              </w:rPr>
              <w:br/>
              <w:t>Ukončenie: 27.6.2019</w:t>
            </w:r>
          </w:p>
        </w:tc>
      </w:tr>
      <w:tr w:rsidR="006A355E">
        <w:trPr>
          <w:divId w:val="49626957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04.07.2019</w:t>
            </w:r>
          </w:p>
        </w:tc>
      </w:tr>
      <w:tr w:rsidR="006A355E">
        <w:trPr>
          <w:divId w:val="496269574"/>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21.08.2019</w:t>
            </w:r>
          </w:p>
        </w:tc>
      </w:tr>
    </w:tbl>
    <w:p w:rsidR="00325440" w:rsidRDefault="00325440" w:rsidP="00C579E9">
      <w:pPr>
        <w:pStyle w:val="Normlnywebov"/>
        <w:spacing w:before="0" w:beforeAutospacing="0" w:after="0" w:afterAutospacing="0"/>
        <w:rPr>
          <w:bCs/>
          <w:sz w:val="22"/>
          <w:szCs w:val="22"/>
        </w:rPr>
      </w:pPr>
    </w:p>
    <w:p w:rsidR="006A355E" w:rsidRDefault="006A355E"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6A355E">
        <w:trPr>
          <w:divId w:val="116366566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2.  Definícia problému</w:t>
            </w:r>
          </w:p>
        </w:tc>
      </w:tr>
      <w:tr w:rsidR="006A355E">
        <w:trPr>
          <w:divId w:val="116366566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 xml:space="preserve">Financovanie cirkví doteraz upravuje zákon č. 218/1949 Zb. o hospodárskom zabezpečení cirkví a náboženských spoločností štátom v znení neskorších predpisov, ktorý vznikol v diametrálne odlišnej politickej a spoločenskej situácii. Aj v súčasnom už novelizovanom znení obsahuje tento zákon záväzky štátu, ktoré sa neuplatňujú. Ich realizácia, napr. úhrada bohoslužobných nákladov, cirkevnej administratívy a mimoriadnych vecných nákladov by podstatne zvýšila nároky na štátny rozpočet. V súčasnosti štát poskytuje cirkvám a náboženským spoločnostiam prostriedky len na platy duchovných, príslušné odvody a príspevok na prevádzku ústredí (biskupských úradov). Cirkvi sú zamestnávateľmi svojich duchovných, no podľa súčasnej legislatívy je štát povinný zabezpečovať prostriedky na ich platy. Výška súčasnej dotácie je fakticky stanovená podľa počtu duchovných, ktorých počet si cirkvi určujú nezávisle od štátu. Tabuľku platov duchovných určuje v súčasnosti štát nariadením vlády, pričom nástupné platy duchovných sú hlboko pod úrovňou súčasnej minimálnej mzdy. </w:t>
            </w:r>
            <w:r>
              <w:rPr>
                <w:rFonts w:ascii="Times" w:hAnsi="Times" w:cs="Times"/>
                <w:sz w:val="20"/>
                <w:szCs w:val="20"/>
              </w:rPr>
              <w:br/>
              <w:t xml:space="preserve">Expertná komisia na riešenie problematiky financovania cirkví a náboženských spoločností zložená zo zástupcov štátu a cirkví dospela k záveru, že optimálnym riešením je ponechanie štátno-dotačného systému financovania cirkví, avšak v aktualizovanej podobe. </w:t>
            </w:r>
          </w:p>
        </w:tc>
      </w:tr>
      <w:tr w:rsidR="006A355E">
        <w:trPr>
          <w:divId w:val="116366566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3.  Ciele a výsledný stav</w:t>
            </w:r>
          </w:p>
        </w:tc>
      </w:tr>
      <w:tr w:rsidR="006A355E">
        <w:trPr>
          <w:divId w:val="116366566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 xml:space="preserve">Cieľom predloženého návrhu zákona je upraviť podporu činnosti registrovaných cirkví a náboženských spoločností zo strany štátu. Nahrádza sa ním doterajší právny režim vychádzajúci zo zákona č. 218/1949 Zb. o hospodárskom zabezpečení cirkví a náboženských spoločností štátom v znení neskorších predpisov modelom, ktorý je modifikáciou systému priamych dotácii zo štátneho rozpočtu založenom na zásadách spravodlivosti, transparentnosti, solidarity, nezávislosti cirkví a rešpektovania ekonomických možností štátu. </w:t>
            </w:r>
            <w:r>
              <w:rPr>
                <w:rFonts w:ascii="Times" w:hAnsi="Times" w:cs="Times"/>
                <w:sz w:val="20"/>
                <w:szCs w:val="20"/>
              </w:rPr>
              <w:br/>
              <w:t>Navrhované riešenie počíta so zachovaním súčasnej kontinuity tak, že výška príspevku pri jednotlivých cirkvách zostane minimálne na úrovni roka 2019, čo výrazne pomáha menším cirkvám. Návrh predpokladá výpočet celkovej sumy príspevku štátu, ktorý je výsledkom sčítania súčasnej úrovne dotácie pre cirkvi a každoročného nárastu dotácie (indexácia) zohľadňujúceho rast inflácie a valorizáciu platov vo verejnej službe. Rozdelenie indexovanej sumy vychádza z jediného faktoru – počtu veriacich. Cirkvi môžu použiť príspevok štátu napríklad na financovanie výdavkov súvisiacich s bohoslužobnou, výchovnou a kultúrnou činnosťou cirkvi, vrátane mzdových a režijných nákladov. Navrhované rozšírenie možnosti použitia finančného príspevku cirkvami je súčasťou zámeru podpory spoločensky prospešnej činnosti cirkví a posilňuje ich autonómne postavenie.</w:t>
            </w:r>
            <w:r>
              <w:rPr>
                <w:rFonts w:ascii="Times" w:hAnsi="Times" w:cs="Times"/>
                <w:sz w:val="20"/>
                <w:szCs w:val="20"/>
              </w:rPr>
              <w:br/>
              <w:t xml:space="preserve">Prijatie návrhu zákona zabezpečí kontinuitu úrovne vzťahov štátu s cirkvami a jasné a transparentné pravidlá podpory ich činnosti so zachovaním vzájomnej solidarity s menšími cirkvami. </w:t>
            </w:r>
          </w:p>
        </w:tc>
      </w:tr>
      <w:tr w:rsidR="006A355E">
        <w:trPr>
          <w:divId w:val="116366566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4.  Dotknuté subjekty</w:t>
            </w:r>
          </w:p>
        </w:tc>
      </w:tr>
      <w:tr w:rsidR="006A355E">
        <w:trPr>
          <w:divId w:val="116366566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lastRenderedPageBreak/>
              <w:t>Registrované cirkvi a náboženské spoločnosti v Slovenskej republike.</w:t>
            </w:r>
          </w:p>
        </w:tc>
      </w:tr>
      <w:tr w:rsidR="006A355E">
        <w:trPr>
          <w:divId w:val="116366566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5.  Alternatívne riešenia</w:t>
            </w:r>
          </w:p>
        </w:tc>
      </w:tr>
      <w:tr w:rsidR="006A355E">
        <w:trPr>
          <w:divId w:val="116366566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 xml:space="preserve">Zvolené riešenie je jediné prijateľné pre cirkvi i štát. Navrhovaná právna úprava berie do úvahy odporúčania, na ktorých sa dohodli najvyšší predstavitelia kresťanských cirkví na Slovensku a Ústredného zväzu židovských náboženských obcí v Slovenskej republike, a závery Expertnej komisie Ministerstva kultúry Slovenskej republiky. Princíp priamych dotácií zo štátneho rozpočtu možno zdôvodniť jeho historickou tradíciou siahajúcou do 19. storočia, mierou religiozity, aktivitami cirkví v oblasti výchovy, vzdelávania, sociálnej práce, kultúry a starostlivosti o národné kultúrne pamiatky, ako aj historickým podielom cirkví na udržaní a rozvíjaní národnej identity a sociálneho zmieru. </w:t>
            </w:r>
          </w:p>
        </w:tc>
      </w:tr>
      <w:tr w:rsidR="006A355E">
        <w:trPr>
          <w:divId w:val="116366566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6.  Vykonávacie predpisy</w:t>
            </w:r>
          </w:p>
        </w:tc>
      </w:tr>
      <w:tr w:rsidR="006A355E">
        <w:trPr>
          <w:divId w:val="116366566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6A355E">
        <w:trPr>
          <w:divId w:val="116366566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xml:space="preserve">  7.  Transpozícia práva EÚ </w:t>
            </w:r>
          </w:p>
        </w:tc>
      </w:tr>
      <w:tr w:rsidR="006A355E">
        <w:trPr>
          <w:divId w:val="116366566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Netýka sa.</w:t>
            </w:r>
          </w:p>
        </w:tc>
      </w:tr>
      <w:tr w:rsidR="006A355E">
        <w:trPr>
          <w:divId w:val="116366566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8.  Preskúmanie účelnosti**</w:t>
            </w:r>
          </w:p>
        </w:tc>
      </w:tr>
      <w:tr w:rsidR="006A355E">
        <w:trPr>
          <w:divId w:val="116366566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6A355E" w:rsidRDefault="006A355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6A355E">
        <w:trPr>
          <w:divId w:val="204972143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0"/>
                <w:szCs w:val="20"/>
              </w:rPr>
            </w:pPr>
            <w:r>
              <w:rPr>
                <w:rFonts w:ascii="Times" w:hAnsi="Times" w:cs="Times"/>
                <w:b/>
                <w:bCs/>
                <w:sz w:val="20"/>
                <w:szCs w:val="20"/>
              </w:rPr>
              <w:t>  9.   Vplyvy navrhovaného materiálu</w:t>
            </w:r>
          </w:p>
        </w:tc>
      </w:tr>
      <w:tr w:rsidR="006A355E">
        <w:trPr>
          <w:divId w:val="204972143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A355E">
        <w:trPr>
          <w:divId w:val="204972143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6A355E">
        <w:trPr>
          <w:divId w:val="204972143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A355E">
        <w:trPr>
          <w:divId w:val="204972143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A355E">
        <w:trPr>
          <w:divId w:val="204972143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A355E">
        <w:trPr>
          <w:divId w:val="204972143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A355E">
        <w:trPr>
          <w:divId w:val="204972143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A355E">
        <w:trPr>
          <w:divId w:val="204972143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6A355E">
        <w:trPr>
          <w:divId w:val="204972143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A355E">
        <w:trPr>
          <w:divId w:val="204972143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A355E" w:rsidRDefault="006A355E">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A355E" w:rsidRDefault="006A355E">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6A355E" w:rsidRDefault="006A355E"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6A355E">
        <w:trPr>
          <w:divId w:val="6770071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10.  Poznámky</w:t>
            </w:r>
          </w:p>
        </w:tc>
      </w:tr>
      <w:tr w:rsidR="006A355E">
        <w:trPr>
          <w:divId w:val="6770071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Default="006A355E">
            <w:pPr>
              <w:rPr>
                <w:rFonts w:ascii="Times" w:hAnsi="Times" w:cs="Times"/>
                <w:sz w:val="20"/>
                <w:szCs w:val="20"/>
              </w:rPr>
            </w:pPr>
            <w:r>
              <w:rPr>
                <w:rFonts w:ascii="Times" w:hAnsi="Times" w:cs="Times"/>
                <w:sz w:val="20"/>
                <w:szCs w:val="20"/>
              </w:rPr>
              <w:t>Vplyv navrhovaného zákona predstavuje porovnateľný vplyv ako doterajšia právna úprava. </w:t>
            </w:r>
          </w:p>
        </w:tc>
      </w:tr>
      <w:tr w:rsidR="006A355E">
        <w:trPr>
          <w:divId w:val="6770071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11.  Kontakt na spracovateľa</w:t>
            </w:r>
          </w:p>
        </w:tc>
      </w:tr>
      <w:tr w:rsidR="006A355E">
        <w:trPr>
          <w:divId w:val="6770071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Pr="00756BB8" w:rsidRDefault="006A355E">
            <w:pPr>
              <w:pStyle w:val="Normlnywebov"/>
              <w:rPr>
                <w:rFonts w:ascii="Times" w:hAnsi="Times" w:cs="Times"/>
                <w:sz w:val="20"/>
                <w:szCs w:val="20"/>
              </w:rPr>
            </w:pPr>
            <w:r w:rsidRPr="00756BB8">
              <w:rPr>
                <w:rFonts w:ascii="Times" w:hAnsi="Times" w:cs="Times"/>
                <w:sz w:val="20"/>
                <w:szCs w:val="20"/>
              </w:rPr>
              <w:t xml:space="preserve">Mgr. Karol Porubčin, cirkevný odbor MK SR, </w:t>
            </w:r>
            <w:proofErr w:type="spellStart"/>
            <w:r w:rsidRPr="00756BB8">
              <w:rPr>
                <w:rFonts w:ascii="Times" w:hAnsi="Times" w:cs="Times"/>
                <w:sz w:val="20"/>
                <w:szCs w:val="20"/>
              </w:rPr>
              <w:t>karol.porubcin@culture.gov.sk</w:t>
            </w:r>
            <w:proofErr w:type="spellEnd"/>
            <w:r w:rsidRPr="00756BB8">
              <w:rPr>
                <w:rFonts w:ascii="Times" w:hAnsi="Times" w:cs="Times"/>
                <w:sz w:val="20"/>
                <w:szCs w:val="20"/>
              </w:rPr>
              <w:t>, tel. 02/20482541</w:t>
            </w:r>
          </w:p>
          <w:p w:rsidR="006A355E" w:rsidRPr="00756BB8" w:rsidRDefault="006A355E">
            <w:pPr>
              <w:pStyle w:val="Normlnywebov"/>
              <w:rPr>
                <w:rFonts w:ascii="Times" w:hAnsi="Times" w:cs="Times"/>
                <w:sz w:val="20"/>
                <w:szCs w:val="20"/>
              </w:rPr>
            </w:pPr>
            <w:r w:rsidRPr="00756BB8">
              <w:rPr>
                <w:rFonts w:ascii="Times" w:hAnsi="Times" w:cs="Times"/>
                <w:sz w:val="20"/>
                <w:szCs w:val="20"/>
              </w:rPr>
              <w:t> </w:t>
            </w:r>
          </w:p>
          <w:p w:rsidR="006A355E" w:rsidRDefault="006A355E">
            <w:pPr>
              <w:pStyle w:val="Nadpis2"/>
              <w:jc w:val="both"/>
              <w:rPr>
                <w:rFonts w:ascii="Verdana" w:hAnsi="Verdana" w:cs="Times"/>
                <w:sz w:val="26"/>
                <w:szCs w:val="26"/>
              </w:rPr>
            </w:pPr>
            <w:r>
              <w:rPr>
                <w:rFonts w:ascii="Verdana" w:hAnsi="Verdana" w:cs="Times"/>
                <w:sz w:val="26"/>
                <w:szCs w:val="26"/>
              </w:rPr>
              <w:t> </w:t>
            </w:r>
          </w:p>
        </w:tc>
      </w:tr>
      <w:tr w:rsidR="006A355E">
        <w:trPr>
          <w:divId w:val="6770071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12.  Zdroje</w:t>
            </w:r>
          </w:p>
        </w:tc>
      </w:tr>
      <w:tr w:rsidR="006A355E">
        <w:trPr>
          <w:divId w:val="6770071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Pr="00756BB8" w:rsidRDefault="006A355E">
            <w:pPr>
              <w:pStyle w:val="Normlnywebov"/>
              <w:rPr>
                <w:rFonts w:ascii="Times" w:hAnsi="Times" w:cs="Times"/>
                <w:sz w:val="20"/>
                <w:szCs w:val="20"/>
              </w:rPr>
            </w:pPr>
            <w:r w:rsidRPr="00756BB8">
              <w:rPr>
                <w:rFonts w:ascii="Times" w:hAnsi="Times" w:cs="Times"/>
                <w:sz w:val="20"/>
                <w:szCs w:val="20"/>
              </w:rPr>
              <w:lastRenderedPageBreak/>
              <w:t>Rozpočtová kapitola,</w:t>
            </w:r>
            <w:r w:rsidRPr="00756BB8">
              <w:rPr>
                <w:rFonts w:ascii="Times" w:hAnsi="Times" w:cs="Times"/>
                <w:sz w:val="20"/>
                <w:szCs w:val="20"/>
              </w:rPr>
              <w:br/>
              <w:t>Sčítanie obyvateľov, domov a bytov v SR,</w:t>
            </w:r>
            <w:r w:rsidRPr="00756BB8">
              <w:rPr>
                <w:rFonts w:ascii="Times" w:hAnsi="Times" w:cs="Times"/>
                <w:sz w:val="20"/>
                <w:szCs w:val="20"/>
              </w:rPr>
              <w:br/>
              <w:t>Potvrdenie ŠÚ SR o miere inflácie v SR,</w:t>
            </w:r>
            <w:r w:rsidRPr="00756BB8">
              <w:rPr>
                <w:rFonts w:ascii="Times" w:hAnsi="Times" w:cs="Times"/>
                <w:sz w:val="20"/>
                <w:szCs w:val="20"/>
              </w:rPr>
              <w:br/>
              <w:t>Makroekonomická prognóza z 19. júna 2019,</w:t>
            </w:r>
            <w:r w:rsidRPr="00756BB8">
              <w:rPr>
                <w:rFonts w:ascii="Times" w:hAnsi="Times" w:cs="Times"/>
                <w:sz w:val="20"/>
                <w:szCs w:val="20"/>
              </w:rPr>
              <w:br/>
              <w:t>Vyhlásenie zástupcov sociálnych partnerov k dohode o kolektívnych zmluvách vyššieho stupňa v štátnej službe a vo verejnej službe na roky 2019 a 2020,</w:t>
            </w:r>
            <w:r w:rsidRPr="00756BB8">
              <w:rPr>
                <w:rFonts w:ascii="Times" w:hAnsi="Times" w:cs="Times"/>
                <w:sz w:val="20"/>
                <w:szCs w:val="20"/>
              </w:rPr>
              <w:br/>
              <w:t>Návrh rozpočtu verejnej správy na roky 2020 až 2022. </w:t>
            </w:r>
          </w:p>
        </w:tc>
      </w:tr>
      <w:tr w:rsidR="006A355E">
        <w:trPr>
          <w:divId w:val="6770071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A355E" w:rsidRDefault="006A355E">
            <w:pPr>
              <w:rPr>
                <w:rFonts w:ascii="Times" w:hAnsi="Times" w:cs="Times"/>
                <w:b/>
                <w:bCs/>
                <w:sz w:val="22"/>
                <w:szCs w:val="22"/>
              </w:rPr>
            </w:pPr>
            <w:r>
              <w:rPr>
                <w:rFonts w:ascii="Times" w:hAnsi="Times" w:cs="Times"/>
                <w:b/>
                <w:bCs/>
                <w:sz w:val="22"/>
                <w:szCs w:val="22"/>
              </w:rPr>
              <w:t>  13.  Stanovisko Komisie pre posudzovanie vybraných vplyvov z PPK</w:t>
            </w:r>
          </w:p>
        </w:tc>
      </w:tr>
      <w:tr w:rsidR="006A355E">
        <w:trPr>
          <w:divId w:val="67700716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6A355E" w:rsidRPr="00756BB8" w:rsidRDefault="006A355E">
            <w:pPr>
              <w:pStyle w:val="Normlnywebov"/>
              <w:rPr>
                <w:rFonts w:ascii="Times" w:hAnsi="Times" w:cs="Times"/>
                <w:sz w:val="20"/>
                <w:szCs w:val="20"/>
              </w:rPr>
            </w:pPr>
            <w:r w:rsidRPr="00756BB8">
              <w:rPr>
                <w:rFonts w:ascii="Times" w:hAnsi="Times" w:cs="Times"/>
                <w:sz w:val="20"/>
                <w:szCs w:val="20"/>
              </w:rPr>
              <w:t>"Stála pracovná komisia na posudzovanie vybraných vplyvov vyjadruje </w:t>
            </w:r>
            <w:r w:rsidRPr="00756BB8">
              <w:rPr>
                <w:rStyle w:val="Siln"/>
                <w:rFonts w:ascii="Times" w:hAnsi="Times" w:cs="Times"/>
                <w:sz w:val="20"/>
                <w:szCs w:val="20"/>
              </w:rPr>
              <w:t>súhlasné stanovisko </w:t>
            </w:r>
            <w:r w:rsidRPr="00756BB8">
              <w:rPr>
                <w:rFonts w:ascii="Times" w:hAnsi="Times" w:cs="Times"/>
                <w:sz w:val="20"/>
                <w:szCs w:val="20"/>
              </w:rPr>
              <w:t>s materiálom predloženým na predbežné pripomienkové konanie."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AF" w:rsidRDefault="00AB13AF">
      <w:r>
        <w:separator/>
      </w:r>
    </w:p>
  </w:endnote>
  <w:endnote w:type="continuationSeparator" w:id="0">
    <w:p w:rsidR="00AB13AF" w:rsidRDefault="00AB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AF" w:rsidRDefault="00AB13AF">
      <w:r>
        <w:separator/>
      </w:r>
    </w:p>
  </w:footnote>
  <w:footnote w:type="continuationSeparator" w:id="0">
    <w:p w:rsidR="00AB13AF" w:rsidRDefault="00AB1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240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355E"/>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3A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0279"/>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3F7D"/>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2">
    <w:name w:val="heading 2"/>
    <w:basedOn w:val="Normlny"/>
    <w:link w:val="Nadpis2Char"/>
    <w:uiPriority w:val="9"/>
    <w:qFormat/>
    <w:rsid w:val="006A355E"/>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2Char">
    <w:name w:val="Nadpis 2 Char"/>
    <w:basedOn w:val="Predvolenpsmoodseku"/>
    <w:link w:val="Nadpis2"/>
    <w:uiPriority w:val="9"/>
    <w:rsid w:val="006A355E"/>
    <w:rPr>
      <w:b/>
      <w:bCs/>
      <w:sz w:val="36"/>
      <w:szCs w:val="36"/>
    </w:rPr>
  </w:style>
  <w:style w:type="character" w:styleId="Siln">
    <w:name w:val="Strong"/>
    <w:uiPriority w:val="22"/>
    <w:qFormat/>
    <w:rsid w:val="006A355E"/>
    <w:rPr>
      <w:b/>
      <w:bCs/>
    </w:rPr>
  </w:style>
  <w:style w:type="paragraph" w:styleId="Textbubliny">
    <w:name w:val="Balloon Text"/>
    <w:basedOn w:val="Normlny"/>
    <w:link w:val="TextbublinyChar"/>
    <w:uiPriority w:val="99"/>
    <w:semiHidden/>
    <w:unhideWhenUsed/>
    <w:rsid w:val="00D53F7D"/>
    <w:rPr>
      <w:rFonts w:ascii="Tahoma" w:hAnsi="Tahoma" w:cs="Tahoma"/>
      <w:sz w:val="16"/>
      <w:szCs w:val="16"/>
    </w:rPr>
  </w:style>
  <w:style w:type="character" w:customStyle="1" w:styleId="TextbublinyChar">
    <w:name w:val="Text bubliny Char"/>
    <w:basedOn w:val="Predvolenpsmoodseku"/>
    <w:link w:val="Textbubliny"/>
    <w:uiPriority w:val="99"/>
    <w:semiHidden/>
    <w:rsid w:val="00D53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2">
    <w:name w:val="heading 2"/>
    <w:basedOn w:val="Normlny"/>
    <w:link w:val="Nadpis2Char"/>
    <w:uiPriority w:val="9"/>
    <w:qFormat/>
    <w:rsid w:val="006A355E"/>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2Char">
    <w:name w:val="Nadpis 2 Char"/>
    <w:basedOn w:val="Predvolenpsmoodseku"/>
    <w:link w:val="Nadpis2"/>
    <w:uiPriority w:val="9"/>
    <w:rsid w:val="006A355E"/>
    <w:rPr>
      <w:b/>
      <w:bCs/>
      <w:sz w:val="36"/>
      <w:szCs w:val="36"/>
    </w:rPr>
  </w:style>
  <w:style w:type="character" w:styleId="Siln">
    <w:name w:val="Strong"/>
    <w:uiPriority w:val="22"/>
    <w:qFormat/>
    <w:rsid w:val="006A355E"/>
    <w:rPr>
      <w:b/>
      <w:bCs/>
    </w:rPr>
  </w:style>
  <w:style w:type="paragraph" w:styleId="Textbubliny">
    <w:name w:val="Balloon Text"/>
    <w:basedOn w:val="Normlny"/>
    <w:link w:val="TextbublinyChar"/>
    <w:uiPriority w:val="99"/>
    <w:semiHidden/>
    <w:unhideWhenUsed/>
    <w:rsid w:val="00D53F7D"/>
    <w:rPr>
      <w:rFonts w:ascii="Tahoma" w:hAnsi="Tahoma" w:cs="Tahoma"/>
      <w:sz w:val="16"/>
      <w:szCs w:val="16"/>
    </w:rPr>
  </w:style>
  <w:style w:type="character" w:customStyle="1" w:styleId="TextbublinyChar">
    <w:name w:val="Text bubliny Char"/>
    <w:basedOn w:val="Predvolenpsmoodseku"/>
    <w:link w:val="Textbubliny"/>
    <w:uiPriority w:val="99"/>
    <w:semiHidden/>
    <w:rsid w:val="00D53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574">
      <w:bodyDiv w:val="1"/>
      <w:marLeft w:val="0"/>
      <w:marRight w:val="0"/>
      <w:marTop w:val="0"/>
      <w:marBottom w:val="0"/>
      <w:divBdr>
        <w:top w:val="none" w:sz="0" w:space="0" w:color="auto"/>
        <w:left w:val="none" w:sz="0" w:space="0" w:color="auto"/>
        <w:bottom w:val="none" w:sz="0" w:space="0" w:color="auto"/>
        <w:right w:val="none" w:sz="0" w:space="0" w:color="auto"/>
      </w:divBdr>
    </w:div>
    <w:div w:id="67700716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63665660">
      <w:bodyDiv w:val="1"/>
      <w:marLeft w:val="0"/>
      <w:marRight w:val="0"/>
      <w:marTop w:val="0"/>
      <w:marBottom w:val="0"/>
      <w:divBdr>
        <w:top w:val="none" w:sz="0" w:space="0" w:color="auto"/>
        <w:left w:val="none" w:sz="0" w:space="0" w:color="auto"/>
        <w:bottom w:val="none" w:sz="0" w:space="0" w:color="auto"/>
        <w:right w:val="none" w:sz="0" w:space="0" w:color="auto"/>
      </w:divBdr>
    </w:div>
    <w:div w:id="20497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5.8.2019 19:43:50"/>
    <f:field ref="objchangedby" par="" text="Administrator, System"/>
    <f:field ref="objmodifiedat" par="" text="5.8.2019 19:43:5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Porubčin Karol</cp:lastModifiedBy>
  <cp:revision>2</cp:revision>
  <cp:lastPrinted>2019-08-06T09:34:00Z</cp:lastPrinted>
  <dcterms:created xsi:type="dcterms:W3CDTF">2019-08-06T09:34:00Z</dcterms:created>
  <dcterms:modified xsi:type="dcterms:W3CDTF">2019-08-06T09:34:00Z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Cirkev</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Karol Porubčin</vt:lpwstr>
  </property>
  <property fmtid="{D5CDD505-2E9C-101B-9397-08002B2CF9AE}" pid="9" name="FSC#SKEDITIONSLOVLEX@103.510:zodppredkladatel">
    <vt:lpwstr>Ľubica Laššáková</vt:lpwstr>
  </property>
  <property fmtid="{D5CDD505-2E9C-101B-9397-08002B2CF9AE}" pid="10" name="FSC#SKEDITIONSLOVLEX@103.510:nazovpredpis">
    <vt:lpwstr> o finančnej podpore činnosti cirkví a náboženských spoločností</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finančnej podpore činnosti cirkví a náboženských spoločností</vt:lpwstr>
  </property>
  <property fmtid="{D5CDD505-2E9C-101B-9397-08002B2CF9AE}" pid="17" name="FSC#SKEDITIONSLOVLEX@103.510:rezortcislopredpis">
    <vt:lpwstr>MK-3947/2019-110/11466</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LP/2019/67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14. 6. 2019</vt:lpwstr>
  </property>
  <property fmtid="{D5CDD505-2E9C-101B-9397-08002B2CF9AE}" pid="49" name="FSC#SKEDITIONSLOVLEX@103.510:AttrDateDocPropUkonceniePKK">
    <vt:lpwstr>27. 6. 2019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Vplyv navrhovaného zákona predstavuje porovnateľný vplyv ako doterajšia právna úprava.&amp;nbsp;</vt:lpwstr>
  </property>
  <property fmtid="{D5CDD505-2E9C-101B-9397-08002B2CF9AE}" pid="56" name="FSC#SKEDITIONSLOVLEX@103.510:AttrStrListDocPropAltRiesenia">
    <vt:lpwstr>Zvolené riešenie je jediné prijateľné pre cirkvi i štát. Navrhovaná právna úprava berie do úvahy odporúčania, na ktorých sa dohodli najvyšší predstavitelia kresťanských cirkví na Slovensku a Ústredného zväzu židovských náboženských obcí v Slovenskej repub</vt:lpwstr>
  </property>
  <property fmtid="{D5CDD505-2E9C-101B-9397-08002B2CF9AE}" pid="57" name="FSC#SKEDITIONSLOVLEX@103.510:AttrStrListDocPropStanoviskoGest">
    <vt:lpwstr>&lt;p&gt;"Stála pracovná komisia na posudzovanie vybraných vplyvov vyjadruje&amp;nbsp;&lt;strong&gt;súhlasné stanovisko&amp;nbsp;&lt;/strong&gt;s&amp;nbsp;materiálom predloženým na predbežné pripomienkové konanie."&lt;/p&gt;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kultúry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justify;"&gt;Vláda Slovenskej republiky deklarovala vo svojom programovom vyhlásení zámer vypracovať novú legislatívnu úpravu financovania cirkví a náboženských spoločností. Ministerstvo kultúry SR (ďalej len „ministerstvo“) sa dlhodobo</vt:lpwstr>
  </property>
  <property fmtid="{D5CDD505-2E9C-101B-9397-08002B2CF9AE}" pid="130" name="FSC#COOSYSTEM@1.1:Container">
    <vt:lpwstr>COO.2145.1000.3.3534027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o&amp;nbsp;finančnej podpore činnosti cirkví a&amp;nbsp;náboženských spoločností informovaná prostredníctvom predbežnej informácie č. PI/2019/162 zverejnenej v&amp;nbsp;informačnom systéme verejn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kultúry</vt:lpwstr>
  </property>
  <property fmtid="{D5CDD505-2E9C-101B-9397-08002B2CF9AE}" pid="145" name="FSC#SKEDITIONSLOVLEX@103.510:funkciaZodpPredAkuzativ">
    <vt:lpwstr>ministerky kultúry</vt:lpwstr>
  </property>
  <property fmtid="{D5CDD505-2E9C-101B-9397-08002B2CF9AE}" pid="146" name="FSC#SKEDITIONSLOVLEX@103.510:funkciaZodpPredDativ">
    <vt:lpwstr>ministerke kultúry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Ľubica Laššáková_x000d_
ministerka kultúry</vt:lpwstr>
  </property>
  <property fmtid="{D5CDD505-2E9C-101B-9397-08002B2CF9AE}" pid="151" name="FSC#SKEDITIONSLOVLEX@103.510:aktualnyrok">
    <vt:lpwstr>2019</vt:lpwstr>
  </property>
  <property fmtid="{D5CDD505-2E9C-101B-9397-08002B2CF9AE}" pid="152" name="FSC#SKEDITIONSLOVLEX@103.510:vytvorenedna">
    <vt:lpwstr>5. 8. 2019</vt:lpwstr>
  </property>
</Properties>
</file>