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0D" w:rsidRPr="002344CA" w:rsidRDefault="00FF240D" w:rsidP="002344CA">
      <w:pPr>
        <w:widowControl/>
        <w:spacing w:after="0" w:line="240" w:lineRule="auto"/>
        <w:rPr>
          <w:rFonts w:ascii="Times New Roman" w:hAnsi="Times New Roman"/>
          <w:b/>
          <w:color w:val="000000"/>
          <w:sz w:val="25"/>
          <w:szCs w:val="25"/>
          <w:lang w:eastAsia="sk-SK"/>
        </w:rPr>
      </w:pPr>
      <w:r w:rsidRPr="002344CA">
        <w:rPr>
          <w:rFonts w:ascii="Times New Roman" w:hAnsi="Times New Roman"/>
          <w:b/>
          <w:color w:val="000000"/>
          <w:sz w:val="25"/>
          <w:szCs w:val="25"/>
          <w:lang w:eastAsia="sk-SK"/>
        </w:rPr>
        <w:t>B. Osobitná časť</w:t>
      </w:r>
    </w:p>
    <w:p w:rsidR="00FF240D" w:rsidRPr="005D1E2C" w:rsidRDefault="00FF240D" w:rsidP="00FF240D">
      <w:pPr>
        <w:pStyle w:val="Svetlmriekazvraznenie31"/>
        <w:spacing w:after="160" w:line="252" w:lineRule="auto"/>
        <w:ind w:left="0"/>
        <w:rPr>
          <w:rFonts w:ascii="Times" w:hAnsi="Times" w:cs="Times"/>
          <w:sz w:val="24"/>
          <w:szCs w:val="24"/>
        </w:rPr>
      </w:pPr>
    </w:p>
    <w:p w:rsidR="00FF240D" w:rsidRPr="002344CA" w:rsidRDefault="00FF240D" w:rsidP="002344CA">
      <w:pPr>
        <w:rPr>
          <w:rFonts w:ascii="Times" w:hAnsi="Times" w:cs="Times"/>
          <w:b/>
          <w:bCs/>
          <w:sz w:val="25"/>
          <w:szCs w:val="25"/>
        </w:rPr>
      </w:pPr>
      <w:r w:rsidRPr="002344CA">
        <w:rPr>
          <w:rFonts w:ascii="Times" w:hAnsi="Times" w:cs="Times"/>
          <w:b/>
          <w:bCs/>
          <w:sz w:val="25"/>
          <w:szCs w:val="25"/>
        </w:rPr>
        <w:t>K § 1</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Ustanovenie § 1 vymedzuje predmet úpravy zákona, ktorej obsahom sú podmienky </w:t>
      </w:r>
      <w:r w:rsidR="009E06E4">
        <w:rPr>
          <w:rFonts w:ascii="Times New Roman" w:hAnsi="Times New Roman"/>
          <w:sz w:val="24"/>
          <w:szCs w:val="24"/>
        </w:rPr>
        <w:t xml:space="preserve">poskytovania </w:t>
      </w:r>
      <w:r w:rsidRPr="00BD5249">
        <w:rPr>
          <w:rFonts w:ascii="Times New Roman" w:hAnsi="Times New Roman"/>
          <w:sz w:val="24"/>
          <w:szCs w:val="24"/>
        </w:rPr>
        <w:t>finančnej podpory cirkv</w:t>
      </w:r>
      <w:r w:rsidR="009E06E4">
        <w:rPr>
          <w:rFonts w:ascii="Times New Roman" w:hAnsi="Times New Roman"/>
          <w:sz w:val="24"/>
          <w:szCs w:val="24"/>
        </w:rPr>
        <w:t>ám a náboženským spoločnostiam</w:t>
      </w:r>
      <w:r w:rsidRPr="00BD5249">
        <w:rPr>
          <w:rFonts w:ascii="Times New Roman" w:hAnsi="Times New Roman"/>
          <w:sz w:val="24"/>
          <w:szCs w:val="24"/>
        </w:rPr>
        <w:t xml:space="preserve">. Podľa § 4 ods. 4 zákona č. 308/1991 Zb. o slobode náboženskej viery a postavení cirkví a náboženských spoločností v znení </w:t>
      </w:r>
      <w:r w:rsidR="00E23A2C">
        <w:rPr>
          <w:rFonts w:ascii="Times New Roman" w:hAnsi="Times New Roman"/>
          <w:sz w:val="24"/>
          <w:szCs w:val="24"/>
        </w:rPr>
        <w:t>neskorších predpisov</w:t>
      </w:r>
      <w:r w:rsidRPr="00BD5249">
        <w:rPr>
          <w:rFonts w:ascii="Times New Roman" w:hAnsi="Times New Roman"/>
          <w:sz w:val="24"/>
          <w:szCs w:val="24"/>
        </w:rPr>
        <w:t xml:space="preserve"> štát na účely zákona uznáva len tie cirkvi a náboženské spoločnosti, ktoré sú registrované. Podpora podľa tohto zákona sa teda vzťahuje iba na tie cirkvi a náboženské spoločnosti, ktoré sú registrované a ktorých je v</w:t>
      </w:r>
      <w:r w:rsidR="00CD77A3" w:rsidRPr="00BD5249">
        <w:rPr>
          <w:rFonts w:ascii="Times New Roman" w:hAnsi="Times New Roman"/>
          <w:sz w:val="24"/>
          <w:szCs w:val="24"/>
        </w:rPr>
        <w:t> </w:t>
      </w:r>
      <w:r w:rsidRPr="00BD5249">
        <w:rPr>
          <w:rFonts w:ascii="Times New Roman" w:hAnsi="Times New Roman"/>
          <w:sz w:val="24"/>
          <w:szCs w:val="24"/>
        </w:rPr>
        <w:t xml:space="preserve"> súčasnosti v Slovenskej republike </w:t>
      </w:r>
      <w:r w:rsidR="0061662A">
        <w:rPr>
          <w:rFonts w:ascii="Times New Roman" w:hAnsi="Times New Roman"/>
          <w:sz w:val="24"/>
          <w:szCs w:val="24"/>
        </w:rPr>
        <w:t>osemnásť</w:t>
      </w:r>
      <w:r w:rsidRPr="00BD5249">
        <w:rPr>
          <w:rFonts w:ascii="Times New Roman" w:hAnsi="Times New Roman"/>
          <w:sz w:val="24"/>
          <w:szCs w:val="24"/>
        </w:rPr>
        <w:t>. Zároveň sa pre ne ustanovuje legislatívna skratka „cirkvi“.</w:t>
      </w:r>
      <w:r w:rsidR="00CD77A3">
        <w:rPr>
          <w:rFonts w:ascii="Times New Roman" w:hAnsi="Times New Roman"/>
          <w:sz w:val="24"/>
          <w:szCs w:val="24"/>
        </w:rPr>
        <w:t xml:space="preserve"> </w:t>
      </w:r>
    </w:p>
    <w:p w:rsidR="00FF240D" w:rsidRPr="002344CA" w:rsidRDefault="002344CA" w:rsidP="002344CA">
      <w:pPr>
        <w:rPr>
          <w:rFonts w:ascii="Times" w:hAnsi="Times" w:cs="Times"/>
          <w:b/>
          <w:bCs/>
          <w:sz w:val="25"/>
          <w:szCs w:val="25"/>
        </w:rPr>
      </w:pPr>
      <w:r>
        <w:rPr>
          <w:rFonts w:ascii="Times" w:hAnsi="Times" w:cs="Times"/>
          <w:b/>
          <w:bCs/>
          <w:sz w:val="25"/>
          <w:szCs w:val="25"/>
        </w:rPr>
        <w:t>K § 2</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V § 2 sú vymedzené niektoré pojmy zákona, ktoré majú zásadný význam pre túto právnu úpravu. Príspevok štátu je definovaný ako suma finančných prostriedkov, ktoré sú každoročne poskytované cirkvám z rozpočtovej kapitoly Ministerstva kultúry Slovenskej republiky. Príspevok štátu je tak súhrnné zákonné označenie pre finančné prostriedky poskytované zo štátneho rozpočtu všetkým cirkvám, ktoré sú následne podľa zákonnej úpravy rozdelené medzi jednotlivé cirkvi. Počet veriacich na účely tohto zákona vychádza z údajov o náboženskom vyznaní získaných z oficiálneho sčítania obyvateľov, domov a bytov uskutočňované spravidla raz za desať rokov. </w:t>
      </w:r>
      <w:r w:rsidR="009E06E4">
        <w:rPr>
          <w:rFonts w:ascii="Times New Roman" w:hAnsi="Times New Roman"/>
          <w:sz w:val="24"/>
          <w:szCs w:val="24"/>
        </w:rPr>
        <w:t>Počet veriacich môže byť určený však i z iného zdroja, ktorý by priniesol relevantné údaje. Taký prípad môže nastať napríklad pri zisťovaní počtu veriacich cirkvi, ktorá v čase sčítania obyvateľov nebola registrovaná</w:t>
      </w:r>
      <w:r w:rsidR="005E5449">
        <w:rPr>
          <w:rFonts w:ascii="Times New Roman" w:hAnsi="Times New Roman"/>
          <w:sz w:val="24"/>
          <w:szCs w:val="24"/>
        </w:rPr>
        <w:t xml:space="preserve"> a požiada o príspevok štátu. Vtedy sa relevantným zdrojom stáva preukázaný počet členov cirkvi v rámci registračného procesu. </w:t>
      </w:r>
      <w:r w:rsidRPr="00BD5249">
        <w:rPr>
          <w:rFonts w:ascii="Times New Roman" w:hAnsi="Times New Roman"/>
          <w:sz w:val="24"/>
          <w:szCs w:val="24"/>
        </w:rPr>
        <w:t>Zároveň sa ustanovujú legislatívne skratky „ministerstvo“ pre Ministerstvo kultúry Slovenskej republiky</w:t>
      </w:r>
      <w:r w:rsidR="005E5449">
        <w:rPr>
          <w:rFonts w:ascii="Times New Roman" w:hAnsi="Times New Roman"/>
          <w:sz w:val="24"/>
          <w:szCs w:val="24"/>
        </w:rPr>
        <w:t>,</w:t>
      </w:r>
      <w:r w:rsidRPr="00BD5249">
        <w:rPr>
          <w:rFonts w:ascii="Times New Roman" w:hAnsi="Times New Roman"/>
          <w:sz w:val="24"/>
          <w:szCs w:val="24"/>
        </w:rPr>
        <w:t xml:space="preserve"> „sčítanie obyvateľov“ pre sčítanie obyvateľov, domov a</w:t>
      </w:r>
      <w:r w:rsidR="005E5449">
        <w:rPr>
          <w:rFonts w:ascii="Times New Roman" w:hAnsi="Times New Roman"/>
          <w:sz w:val="24"/>
          <w:szCs w:val="24"/>
        </w:rPr>
        <w:t> </w:t>
      </w:r>
      <w:r w:rsidRPr="00BD5249">
        <w:rPr>
          <w:rFonts w:ascii="Times New Roman" w:hAnsi="Times New Roman"/>
          <w:sz w:val="24"/>
          <w:szCs w:val="24"/>
        </w:rPr>
        <w:t>bytov</w:t>
      </w:r>
      <w:r w:rsidR="005E5449">
        <w:rPr>
          <w:rFonts w:ascii="Times New Roman" w:hAnsi="Times New Roman"/>
          <w:sz w:val="24"/>
          <w:szCs w:val="24"/>
        </w:rPr>
        <w:t xml:space="preserve"> a „úrad“ pre Štatistický úrad Slovenskej republiky</w:t>
      </w:r>
      <w:r w:rsidRPr="00BD5249">
        <w:rPr>
          <w:rFonts w:ascii="Times New Roman" w:hAnsi="Times New Roman"/>
          <w:sz w:val="24"/>
          <w:szCs w:val="24"/>
        </w:rPr>
        <w:t>.</w:t>
      </w:r>
    </w:p>
    <w:p w:rsidR="00FF240D" w:rsidRPr="002344CA" w:rsidRDefault="002344CA" w:rsidP="002344CA">
      <w:pPr>
        <w:rPr>
          <w:rFonts w:ascii="Times" w:hAnsi="Times" w:cs="Times"/>
          <w:b/>
          <w:bCs/>
          <w:sz w:val="25"/>
          <w:szCs w:val="25"/>
        </w:rPr>
      </w:pPr>
      <w:r>
        <w:rPr>
          <w:rFonts w:ascii="Times" w:hAnsi="Times" w:cs="Times"/>
          <w:b/>
          <w:bCs/>
          <w:sz w:val="25"/>
          <w:szCs w:val="25"/>
        </w:rPr>
        <w:t>K § 3</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Zákon ustanovuje demonštratívny výpočet zdrojov finančného zabezpečenia cirkví zo strany štátu, medzi ktoré patria príspevky podľa tohto zákona a účelové dotácie podľa osobitných predpisov. Zákon neupravuje vlastné alebo iné zdroje financovania cirkví, ako sú napríklad príspevky členov cirkví, dary od domácich a zahraničných fyzických osôb a právnických osôb, výnosy z vlastného majetku cirkví, výnosy z vlastnej činnosti cirkví, výnosy z verejných zbierok podľa osobitného predpisu.</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Priamu finančnú podporu cirkví dopĺňa aj nepriama podpora vo forme poskytovania oslobodení a</w:t>
      </w:r>
      <w:r w:rsidR="00CD77A3" w:rsidRPr="00BD5249">
        <w:rPr>
          <w:rFonts w:ascii="Times New Roman" w:hAnsi="Times New Roman"/>
          <w:sz w:val="24"/>
          <w:szCs w:val="24"/>
        </w:rPr>
        <w:t> </w:t>
      </w:r>
      <w:r w:rsidRPr="00BD5249">
        <w:rPr>
          <w:rFonts w:ascii="Times New Roman" w:hAnsi="Times New Roman"/>
          <w:sz w:val="24"/>
          <w:szCs w:val="24"/>
        </w:rPr>
        <w:t>úľav na daniach, poplatkoch a iných úľav podľa osobitných predpisov (ods. 2).</w:t>
      </w:r>
    </w:p>
    <w:p w:rsidR="00FF240D" w:rsidRPr="002344CA" w:rsidRDefault="002344CA" w:rsidP="002344CA">
      <w:pPr>
        <w:rPr>
          <w:rFonts w:ascii="Times" w:hAnsi="Times" w:cs="Times"/>
          <w:b/>
          <w:bCs/>
          <w:sz w:val="25"/>
          <w:szCs w:val="25"/>
        </w:rPr>
      </w:pPr>
      <w:r>
        <w:rPr>
          <w:rFonts w:ascii="Times" w:hAnsi="Times" w:cs="Times"/>
          <w:b/>
          <w:bCs/>
          <w:sz w:val="25"/>
          <w:szCs w:val="25"/>
        </w:rPr>
        <w:t>K § 4</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V ods. 1 sa ustanovuje výška príspevku štátu tak, že </w:t>
      </w:r>
      <w:r w:rsidR="009F2F63">
        <w:rPr>
          <w:rFonts w:ascii="Times New Roman" w:hAnsi="Times New Roman"/>
          <w:sz w:val="24"/>
          <w:szCs w:val="24"/>
        </w:rPr>
        <w:t xml:space="preserve">sa </w:t>
      </w:r>
      <w:r w:rsidR="009F2F63" w:rsidRPr="00BD5249">
        <w:rPr>
          <w:rFonts w:ascii="Times New Roman" w:hAnsi="Times New Roman"/>
          <w:sz w:val="24"/>
          <w:szCs w:val="24"/>
        </w:rPr>
        <w:t xml:space="preserve">každý rok poskytne vo výške príspevku na predchádzajúci rok navýšeného </w:t>
      </w:r>
      <w:r w:rsidRPr="00BD5249">
        <w:rPr>
          <w:rFonts w:ascii="Times New Roman" w:hAnsi="Times New Roman"/>
          <w:sz w:val="24"/>
          <w:szCs w:val="24"/>
        </w:rPr>
        <w:t xml:space="preserve">o ustanovený index navýšenia. Index navýšenia predstavuje mieru, ktorá zohľadní </w:t>
      </w:r>
      <w:r w:rsidR="0061662A">
        <w:rPr>
          <w:rFonts w:ascii="Times New Roman" w:hAnsi="Times New Roman"/>
          <w:sz w:val="24"/>
          <w:szCs w:val="24"/>
        </w:rPr>
        <w:t xml:space="preserve">jednou pätinou </w:t>
      </w:r>
      <w:r w:rsidRPr="00BD5249">
        <w:rPr>
          <w:rFonts w:ascii="Times New Roman" w:hAnsi="Times New Roman"/>
          <w:sz w:val="24"/>
          <w:szCs w:val="24"/>
        </w:rPr>
        <w:t xml:space="preserve">mieru medziročného rastu inflácie </w:t>
      </w:r>
      <w:r w:rsidR="009F2F63">
        <w:rPr>
          <w:rFonts w:ascii="Times New Roman" w:hAnsi="Times New Roman"/>
          <w:sz w:val="24"/>
          <w:szCs w:val="24"/>
        </w:rPr>
        <w:t>zistenej</w:t>
      </w:r>
      <w:r w:rsidR="0061662A" w:rsidRPr="00BD5249">
        <w:rPr>
          <w:rFonts w:ascii="Times New Roman" w:hAnsi="Times New Roman"/>
          <w:sz w:val="24"/>
          <w:szCs w:val="24"/>
        </w:rPr>
        <w:t xml:space="preserve"> Štatistickým úradom Slovenskej republiky </w:t>
      </w:r>
      <w:r w:rsidRPr="00BD5249">
        <w:rPr>
          <w:rFonts w:ascii="Times New Roman" w:hAnsi="Times New Roman"/>
          <w:sz w:val="24"/>
          <w:szCs w:val="24"/>
        </w:rPr>
        <w:t>a</w:t>
      </w:r>
      <w:r w:rsidR="0061662A">
        <w:rPr>
          <w:rFonts w:ascii="Times New Roman" w:hAnsi="Times New Roman"/>
          <w:sz w:val="24"/>
          <w:szCs w:val="24"/>
        </w:rPr>
        <w:t xml:space="preserve"> štyrmi pätinami </w:t>
      </w:r>
      <w:r w:rsidRPr="00BD5249">
        <w:rPr>
          <w:rFonts w:ascii="Times New Roman" w:hAnsi="Times New Roman"/>
          <w:sz w:val="24"/>
          <w:szCs w:val="24"/>
        </w:rPr>
        <w:t xml:space="preserve">mieru </w:t>
      </w:r>
      <w:r w:rsidR="0061662A">
        <w:rPr>
          <w:rFonts w:ascii="Times" w:hAnsi="Times"/>
          <w:sz w:val="24"/>
          <w:szCs w:val="24"/>
        </w:rPr>
        <w:t xml:space="preserve">zvýšenia základnej stupnice platových taríf </w:t>
      </w:r>
      <w:r w:rsidR="0061662A">
        <w:rPr>
          <w:rFonts w:ascii="Times" w:hAnsi="Times"/>
          <w:sz w:val="24"/>
          <w:szCs w:val="24"/>
        </w:rPr>
        <w:lastRenderedPageBreak/>
        <w:t>zamestnancov pri výkone práce vo verejnom záujme</w:t>
      </w:r>
      <w:r w:rsidR="0061662A" w:rsidRPr="00CE3DF6">
        <w:rPr>
          <w:rFonts w:ascii="Times" w:hAnsi="Times"/>
          <w:sz w:val="24"/>
          <w:szCs w:val="24"/>
        </w:rPr>
        <w:t xml:space="preserve"> </w:t>
      </w:r>
      <w:r w:rsidR="0061662A">
        <w:rPr>
          <w:rFonts w:ascii="Times" w:hAnsi="Times"/>
          <w:sz w:val="24"/>
          <w:szCs w:val="24"/>
        </w:rPr>
        <w:t>podľa osobitného predpisu</w:t>
      </w:r>
      <w:r w:rsidRPr="00BD5249">
        <w:rPr>
          <w:rFonts w:ascii="Times New Roman" w:hAnsi="Times New Roman"/>
          <w:sz w:val="24"/>
          <w:szCs w:val="24"/>
        </w:rPr>
        <w:t>.</w:t>
      </w:r>
      <w:r w:rsidR="0061662A">
        <w:rPr>
          <w:rFonts w:ascii="Times New Roman" w:hAnsi="Times New Roman"/>
          <w:sz w:val="24"/>
          <w:szCs w:val="24"/>
        </w:rPr>
        <w:t xml:space="preserve"> Zvolený pomer zohľadňuje použitie doteraz poskytovan</w:t>
      </w:r>
      <w:r w:rsidR="00ED23C3">
        <w:rPr>
          <w:rFonts w:ascii="Times New Roman" w:hAnsi="Times New Roman"/>
          <w:sz w:val="24"/>
          <w:szCs w:val="24"/>
        </w:rPr>
        <w:t>ého príspevku</w:t>
      </w:r>
      <w:r w:rsidR="0061662A">
        <w:rPr>
          <w:rFonts w:ascii="Times New Roman" w:hAnsi="Times New Roman"/>
          <w:sz w:val="24"/>
          <w:szCs w:val="24"/>
        </w:rPr>
        <w:t xml:space="preserve"> na prevádzkové výdavky (cca 20 %) a mzdové výdavky (cca 80 %). </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V ods. </w:t>
      </w:r>
      <w:r w:rsidR="009F2F63">
        <w:rPr>
          <w:rFonts w:ascii="Times New Roman" w:hAnsi="Times New Roman"/>
          <w:sz w:val="24"/>
          <w:szCs w:val="24"/>
        </w:rPr>
        <w:t>2</w:t>
      </w:r>
      <w:r w:rsidRPr="00BD5249">
        <w:rPr>
          <w:rFonts w:ascii="Times New Roman" w:hAnsi="Times New Roman"/>
          <w:sz w:val="24"/>
          <w:szCs w:val="24"/>
        </w:rPr>
        <w:t xml:space="preserve"> je upraven</w:t>
      </w:r>
      <w:r w:rsidR="009F2F63">
        <w:rPr>
          <w:rFonts w:ascii="Times New Roman" w:hAnsi="Times New Roman"/>
          <w:sz w:val="24"/>
          <w:szCs w:val="24"/>
        </w:rPr>
        <w:t xml:space="preserve">ý spôsob </w:t>
      </w:r>
      <w:r w:rsidRPr="00BD5249">
        <w:rPr>
          <w:rFonts w:ascii="Times New Roman" w:hAnsi="Times New Roman"/>
          <w:sz w:val="24"/>
          <w:szCs w:val="24"/>
        </w:rPr>
        <w:t>jednorazov</w:t>
      </w:r>
      <w:r w:rsidR="009F2F63">
        <w:rPr>
          <w:rFonts w:ascii="Times New Roman" w:hAnsi="Times New Roman"/>
          <w:sz w:val="24"/>
          <w:szCs w:val="24"/>
        </w:rPr>
        <w:t>ého</w:t>
      </w:r>
      <w:r w:rsidRPr="00BD5249">
        <w:rPr>
          <w:rFonts w:ascii="Times New Roman" w:hAnsi="Times New Roman"/>
          <w:sz w:val="24"/>
          <w:szCs w:val="24"/>
        </w:rPr>
        <w:t xml:space="preserve"> znížen</w:t>
      </w:r>
      <w:r w:rsidR="009F2F63">
        <w:rPr>
          <w:rFonts w:ascii="Times New Roman" w:hAnsi="Times New Roman"/>
          <w:sz w:val="24"/>
          <w:szCs w:val="24"/>
        </w:rPr>
        <w:t>ia</w:t>
      </w:r>
      <w:r w:rsidRPr="00BD5249">
        <w:rPr>
          <w:rFonts w:ascii="Times New Roman" w:hAnsi="Times New Roman"/>
          <w:sz w:val="24"/>
          <w:szCs w:val="24"/>
        </w:rPr>
        <w:t xml:space="preserve"> alebo zvýšen</w:t>
      </w:r>
      <w:r w:rsidR="009F2F63">
        <w:rPr>
          <w:rFonts w:ascii="Times New Roman" w:hAnsi="Times New Roman"/>
          <w:sz w:val="24"/>
          <w:szCs w:val="24"/>
        </w:rPr>
        <w:t>ia</w:t>
      </w:r>
      <w:r w:rsidRPr="00BD5249">
        <w:rPr>
          <w:rFonts w:ascii="Times New Roman" w:hAnsi="Times New Roman"/>
          <w:sz w:val="24"/>
          <w:szCs w:val="24"/>
        </w:rPr>
        <w:t xml:space="preserve"> príspevku štátu ak dôjde k výraznej zmene počtu veriacich. Zmena výšky príspevku štátu je obmedzená na najviac 1/3 percentuálneho poklesu alebo nárastu počtu veriacich</w:t>
      </w:r>
      <w:r w:rsidR="009F2F63">
        <w:rPr>
          <w:rFonts w:ascii="Times New Roman" w:hAnsi="Times New Roman"/>
          <w:sz w:val="24"/>
          <w:szCs w:val="24"/>
        </w:rPr>
        <w:t>, čím</w:t>
      </w:r>
      <w:r w:rsidRPr="00BD5249">
        <w:rPr>
          <w:rFonts w:ascii="Times New Roman" w:hAnsi="Times New Roman"/>
          <w:sz w:val="24"/>
          <w:szCs w:val="24"/>
        </w:rPr>
        <w:t xml:space="preserve"> sa zabezpečuje možnosť zachovania rovnováhy medzi výškou príspevku a zmenou počtu veriacich cirkví v ich percentuálnom vyjadrení podľa sčítaní obyvateľov.</w:t>
      </w:r>
    </w:p>
    <w:p w:rsidR="00FF240D" w:rsidRPr="002344CA" w:rsidRDefault="002344CA" w:rsidP="002344CA">
      <w:pPr>
        <w:rPr>
          <w:rFonts w:ascii="Times" w:hAnsi="Times" w:cs="Times"/>
          <w:b/>
          <w:bCs/>
          <w:sz w:val="25"/>
          <w:szCs w:val="25"/>
        </w:rPr>
      </w:pPr>
      <w:r>
        <w:rPr>
          <w:rFonts w:ascii="Times" w:hAnsi="Times" w:cs="Times"/>
          <w:b/>
          <w:bCs/>
          <w:sz w:val="25"/>
          <w:szCs w:val="25"/>
        </w:rPr>
        <w:t>K § 5</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Ustanovenia § 5 upravujú spôsob rozdelenia a poskytnutia príspevku štátu cirkvám. </w:t>
      </w:r>
    </w:p>
    <w:p w:rsidR="004D450F" w:rsidRPr="00BD5249" w:rsidRDefault="00FF240D" w:rsidP="004D450F">
      <w:pPr>
        <w:jc w:val="both"/>
        <w:rPr>
          <w:rFonts w:ascii="Times New Roman" w:hAnsi="Times New Roman"/>
          <w:sz w:val="24"/>
          <w:szCs w:val="24"/>
        </w:rPr>
      </w:pPr>
      <w:r w:rsidRPr="00BD5249">
        <w:rPr>
          <w:rFonts w:ascii="Times New Roman" w:hAnsi="Times New Roman"/>
          <w:sz w:val="24"/>
          <w:szCs w:val="24"/>
        </w:rPr>
        <w:t>V ods. 1 sa ustanovuje, že cirkev musí o príspevok štátu požiadať ministerstvo vopred</w:t>
      </w:r>
      <w:r w:rsidR="00423918">
        <w:rPr>
          <w:rFonts w:ascii="Times New Roman" w:hAnsi="Times New Roman"/>
          <w:sz w:val="24"/>
          <w:szCs w:val="24"/>
        </w:rPr>
        <w:t xml:space="preserve">. </w:t>
      </w:r>
      <w:r w:rsidR="004D450F">
        <w:rPr>
          <w:rFonts w:ascii="Times New Roman" w:hAnsi="Times New Roman"/>
          <w:sz w:val="24"/>
          <w:szCs w:val="24"/>
        </w:rPr>
        <w:t>C</w:t>
      </w:r>
      <w:r w:rsidR="004D450F" w:rsidRPr="00BD5249">
        <w:rPr>
          <w:rFonts w:ascii="Times New Roman" w:hAnsi="Times New Roman"/>
          <w:sz w:val="24"/>
          <w:szCs w:val="24"/>
        </w:rPr>
        <w:t>irkv</w:t>
      </w:r>
      <w:r w:rsidR="004D450F">
        <w:rPr>
          <w:rFonts w:ascii="Times New Roman" w:hAnsi="Times New Roman"/>
          <w:sz w:val="24"/>
          <w:szCs w:val="24"/>
        </w:rPr>
        <w:t>i</w:t>
      </w:r>
      <w:r w:rsidR="004D450F" w:rsidRPr="00BD5249">
        <w:rPr>
          <w:rFonts w:ascii="Times New Roman" w:hAnsi="Times New Roman"/>
          <w:sz w:val="24"/>
          <w:szCs w:val="24"/>
        </w:rPr>
        <w:t>, ktorým už bol poskytovaný príspevok v roku 2019</w:t>
      </w:r>
      <w:r w:rsidR="004D450F">
        <w:rPr>
          <w:rFonts w:ascii="Times New Roman" w:hAnsi="Times New Roman"/>
          <w:sz w:val="24"/>
          <w:szCs w:val="24"/>
        </w:rPr>
        <w:t>, s</w:t>
      </w:r>
      <w:r w:rsidR="004D450F" w:rsidRPr="00BD5249">
        <w:rPr>
          <w:rFonts w:ascii="Times New Roman" w:hAnsi="Times New Roman"/>
          <w:sz w:val="24"/>
          <w:szCs w:val="24"/>
        </w:rPr>
        <w:t xml:space="preserve">ú </w:t>
      </w:r>
      <w:r w:rsidR="00CB2BB3">
        <w:rPr>
          <w:rFonts w:ascii="Times New Roman" w:hAnsi="Times New Roman"/>
          <w:sz w:val="24"/>
          <w:szCs w:val="24"/>
        </w:rPr>
        <w:t xml:space="preserve">prechodným ustanovením v § 8 </w:t>
      </w:r>
      <w:r w:rsidR="004D450F" w:rsidRPr="00BD5249">
        <w:rPr>
          <w:rFonts w:ascii="Times New Roman" w:hAnsi="Times New Roman"/>
          <w:sz w:val="24"/>
          <w:szCs w:val="24"/>
        </w:rPr>
        <w:t xml:space="preserve">oslobodené od povinnosti žiadať o poskytnutie príspevku štátu podľa tohto zákona, ak príspevok štátu už dostávali podľa doterajšej právnej úpravy. Cirkvi, ktoré o príspevok štátu nepožiadali alebo cirkvi, ktoré budú registrované po účinnosti navrhovaného zákona, túto povinnosť majú. </w:t>
      </w:r>
      <w:r w:rsidR="004D450F">
        <w:rPr>
          <w:rFonts w:ascii="Times New Roman" w:hAnsi="Times New Roman"/>
          <w:sz w:val="24"/>
          <w:szCs w:val="24"/>
        </w:rPr>
        <w:t>C</w:t>
      </w:r>
      <w:r w:rsidR="004D450F" w:rsidRPr="00BD5249">
        <w:rPr>
          <w:rFonts w:ascii="Times New Roman" w:hAnsi="Times New Roman"/>
          <w:sz w:val="24"/>
          <w:szCs w:val="24"/>
        </w:rPr>
        <w:t>irkvám, ktorým nebol poskytnutý príspevok na rok 2019, sa na základe žiadosti poskytne príspevok v sume príspevku podľa § 5 ods. 2 písm. b), teda podľa počtu ich veriacich.</w:t>
      </w:r>
      <w:r w:rsidR="00570249">
        <w:rPr>
          <w:rFonts w:ascii="Times New Roman" w:hAnsi="Times New Roman"/>
          <w:sz w:val="24"/>
          <w:szCs w:val="24"/>
        </w:rPr>
        <w:t xml:space="preserve"> </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Podľa odseku 2 písm. a) sa suma príspevku štátu vo výške príspevku na rok 2019 rozdelí medzi jednotlivé cirkvi, ktorým bol poskytnutý príspevok na rok 2019, na základe pomeru rozdelenia príspevku na rok 2019. Zvyšná časť príspevku, podľa odseku 2 písm. b), sa rozdelí medzi všetky cirkvi, ktoré požiadali o príspevok štátu pomerne podľa počtu ich veriacich, teda prípadne i tie, ktoré príspevok doteraz nepoberali. </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V ods. 3 sa určuje povinnosť ministerstva zverejniť a oznámiť výšku príspevku konkrétnej cirkvi</w:t>
      </w:r>
      <w:r w:rsidR="00F81147">
        <w:rPr>
          <w:rFonts w:ascii="Times New Roman" w:hAnsi="Times New Roman"/>
          <w:sz w:val="24"/>
          <w:szCs w:val="24"/>
        </w:rPr>
        <w:t xml:space="preserve"> a jeho poskytovanie mesačne</w:t>
      </w:r>
      <w:r w:rsidRPr="00BD5249">
        <w:rPr>
          <w:rFonts w:ascii="Times New Roman" w:hAnsi="Times New Roman"/>
          <w:sz w:val="24"/>
          <w:szCs w:val="24"/>
        </w:rPr>
        <w:t>.</w:t>
      </w:r>
      <w:r w:rsidR="00F81147">
        <w:rPr>
          <w:rFonts w:ascii="Times New Roman" w:hAnsi="Times New Roman"/>
          <w:sz w:val="24"/>
          <w:szCs w:val="24"/>
        </w:rPr>
        <w:t xml:space="preserve"> </w:t>
      </w:r>
    </w:p>
    <w:p w:rsidR="00FF240D" w:rsidRPr="002344CA" w:rsidRDefault="00FF240D" w:rsidP="002344CA">
      <w:pPr>
        <w:rPr>
          <w:rFonts w:ascii="Times" w:hAnsi="Times" w:cs="Times"/>
          <w:b/>
          <w:bCs/>
          <w:sz w:val="25"/>
          <w:szCs w:val="25"/>
        </w:rPr>
      </w:pPr>
      <w:r w:rsidRPr="002344CA">
        <w:rPr>
          <w:rFonts w:ascii="Times" w:hAnsi="Times" w:cs="Times"/>
          <w:b/>
          <w:bCs/>
          <w:sz w:val="25"/>
          <w:szCs w:val="25"/>
        </w:rPr>
        <w:t>K § 6:</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Ustanovenie § 6 ods. 1 stanovuje účel, na ktorý možno použiť príspevok štátu. Účel konkretizuje </w:t>
      </w:r>
      <w:r w:rsidR="00CB2BB3">
        <w:rPr>
          <w:rFonts w:ascii="Times New Roman" w:hAnsi="Times New Roman"/>
          <w:sz w:val="24"/>
          <w:szCs w:val="24"/>
        </w:rPr>
        <w:t xml:space="preserve">výpočtom </w:t>
      </w:r>
      <w:r w:rsidRPr="00BD5249">
        <w:rPr>
          <w:rFonts w:ascii="Times New Roman" w:hAnsi="Times New Roman"/>
          <w:sz w:val="24"/>
          <w:szCs w:val="24"/>
        </w:rPr>
        <w:t>možnos</w:t>
      </w:r>
      <w:r w:rsidR="00CB2BB3">
        <w:rPr>
          <w:rFonts w:ascii="Times New Roman" w:hAnsi="Times New Roman"/>
          <w:sz w:val="24"/>
          <w:szCs w:val="24"/>
        </w:rPr>
        <w:t xml:space="preserve">tí </w:t>
      </w:r>
      <w:r w:rsidRPr="00BD5249">
        <w:rPr>
          <w:rFonts w:ascii="Times New Roman" w:hAnsi="Times New Roman"/>
          <w:sz w:val="24"/>
          <w:szCs w:val="24"/>
        </w:rPr>
        <w:t>použi</w:t>
      </w:r>
      <w:r w:rsidR="00CB2BB3">
        <w:rPr>
          <w:rFonts w:ascii="Times New Roman" w:hAnsi="Times New Roman"/>
          <w:sz w:val="24"/>
          <w:szCs w:val="24"/>
        </w:rPr>
        <w:t>tia</w:t>
      </w:r>
      <w:r w:rsidRPr="00BD5249">
        <w:rPr>
          <w:rFonts w:ascii="Times New Roman" w:hAnsi="Times New Roman"/>
          <w:sz w:val="24"/>
          <w:szCs w:val="24"/>
        </w:rPr>
        <w:t xml:space="preserve"> príspevk</w:t>
      </w:r>
      <w:r w:rsidR="00CB2BB3">
        <w:rPr>
          <w:rFonts w:ascii="Times New Roman" w:hAnsi="Times New Roman"/>
          <w:sz w:val="24"/>
          <w:szCs w:val="24"/>
        </w:rPr>
        <w:t>u</w:t>
      </w:r>
      <w:r w:rsidRPr="00BD5249">
        <w:rPr>
          <w:rFonts w:ascii="Times New Roman" w:hAnsi="Times New Roman"/>
          <w:sz w:val="24"/>
          <w:szCs w:val="24"/>
        </w:rPr>
        <w:t xml:space="preserve"> štátu</w:t>
      </w:r>
      <w:r w:rsidR="00CB2BB3">
        <w:rPr>
          <w:rFonts w:ascii="Times New Roman" w:hAnsi="Times New Roman"/>
          <w:sz w:val="24"/>
          <w:szCs w:val="24"/>
        </w:rPr>
        <w:t>.</w:t>
      </w:r>
      <w:r w:rsidRPr="00BD5249">
        <w:rPr>
          <w:rFonts w:ascii="Times New Roman" w:hAnsi="Times New Roman"/>
          <w:sz w:val="24"/>
          <w:szCs w:val="24"/>
        </w:rPr>
        <w:t xml:space="preserve"> </w:t>
      </w:r>
      <w:r w:rsidR="00CB2BB3">
        <w:rPr>
          <w:rFonts w:ascii="Times New Roman" w:hAnsi="Times New Roman"/>
          <w:sz w:val="24"/>
          <w:szCs w:val="24"/>
        </w:rPr>
        <w:t xml:space="preserve">Cirkvi môžu príspevok štátu použiť </w:t>
      </w:r>
      <w:r w:rsidRPr="00BD5249">
        <w:rPr>
          <w:rFonts w:ascii="Times New Roman" w:hAnsi="Times New Roman"/>
          <w:sz w:val="24"/>
          <w:szCs w:val="24"/>
        </w:rPr>
        <w:t>na financovanie výdavkov súvisiacich s bohoslužobnou, výchovnou, kultúrnou a </w:t>
      </w:r>
      <w:r w:rsidR="00CB2BB3">
        <w:rPr>
          <w:rFonts w:ascii="Times New Roman" w:hAnsi="Times New Roman"/>
          <w:sz w:val="24"/>
          <w:szCs w:val="24"/>
        </w:rPr>
        <w:t>charitatívnou</w:t>
      </w:r>
      <w:r w:rsidRPr="00BD5249">
        <w:rPr>
          <w:rFonts w:ascii="Times New Roman" w:hAnsi="Times New Roman"/>
          <w:sz w:val="24"/>
          <w:szCs w:val="24"/>
        </w:rPr>
        <w:t xml:space="preserve"> činnosťou cirkvi, vrátane mzdových a </w:t>
      </w:r>
      <w:r w:rsidR="00CC10A0">
        <w:rPr>
          <w:rFonts w:ascii="Times New Roman" w:hAnsi="Times New Roman"/>
          <w:sz w:val="24"/>
          <w:szCs w:val="24"/>
        </w:rPr>
        <w:t>prevádzkových</w:t>
      </w:r>
      <w:r w:rsidRPr="00BD5249">
        <w:rPr>
          <w:rFonts w:ascii="Times New Roman" w:hAnsi="Times New Roman"/>
          <w:sz w:val="24"/>
          <w:szCs w:val="24"/>
        </w:rPr>
        <w:t xml:space="preserve"> nákladov. Okrem financovania výdavkov súvisiacich s činnosťou cirkvi, ktorá vyplýva najmä z účelu jej založenia a základných článkov viery podľa základného dokumentu cirkvi, príspevok štátu je určený aj na platy zamestnancov cirkvi a všetkých povinných výdavkov súvisiacich s pracovnoprávnym pomerom, ako sú napríklad odvody na zdravotné poistenie a sociálne poistenie.</w:t>
      </w:r>
      <w:r w:rsidR="00570249">
        <w:rPr>
          <w:rFonts w:ascii="Times New Roman" w:hAnsi="Times New Roman"/>
          <w:sz w:val="24"/>
          <w:szCs w:val="24"/>
        </w:rPr>
        <w:t xml:space="preserve"> </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Podľa čl. 24 ods. 3 Ústavy Slovenskej republiky i podľa § 5 ods. 2 zákona č. 308/1991 Zb. o slobode náboženskej viery a postavení cirkví a náboženských spoločností </w:t>
      </w:r>
      <w:r w:rsidR="006D1DA0">
        <w:rPr>
          <w:rFonts w:ascii="Times New Roman" w:hAnsi="Times New Roman"/>
          <w:sz w:val="24"/>
          <w:szCs w:val="24"/>
        </w:rPr>
        <w:t xml:space="preserve">v znení neskorších predpisov </w:t>
      </w:r>
      <w:r w:rsidRPr="00BD5249">
        <w:rPr>
          <w:rFonts w:ascii="Times New Roman" w:hAnsi="Times New Roman"/>
          <w:sz w:val="24"/>
          <w:szCs w:val="24"/>
        </w:rPr>
        <w:t xml:space="preserve">si cirkvi spravujú svoje záležitosti nezávisle od štátnych orgánov. Cirkvi a náboženské spoločnosti spravujú svoje záležitosti, najmä ustanovujú svoje orgány, ustanovujú svojich duchovných a zriaďujú rehoľné a iné inštitúcie nezávisle od štátnych orgánov. K nezávislému </w:t>
      </w:r>
      <w:r w:rsidRPr="00BD5249">
        <w:rPr>
          <w:rFonts w:ascii="Times New Roman" w:hAnsi="Times New Roman"/>
          <w:sz w:val="24"/>
          <w:szCs w:val="24"/>
        </w:rPr>
        <w:lastRenderedPageBreak/>
        <w:t xml:space="preserve">postaveniu cirkví patrí aj ich právo hospodáriť samostatne podľa vlastných rozpočtov, ktoré si samostatne schvaľujú spravidla na obdobie kalendárneho roka. </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Cirkvi sa skladajú z organizačných zložiek, ako sú napr. diecézy, </w:t>
      </w:r>
      <w:proofErr w:type="spellStart"/>
      <w:r w:rsidRPr="00BD5249">
        <w:rPr>
          <w:rFonts w:ascii="Times New Roman" w:hAnsi="Times New Roman"/>
          <w:sz w:val="24"/>
          <w:szCs w:val="24"/>
        </w:rPr>
        <w:t>eparchie</w:t>
      </w:r>
      <w:proofErr w:type="spellEnd"/>
      <w:r w:rsidRPr="00BD5249">
        <w:rPr>
          <w:rFonts w:ascii="Times New Roman" w:hAnsi="Times New Roman"/>
          <w:sz w:val="24"/>
          <w:szCs w:val="24"/>
        </w:rPr>
        <w:t>, dištrikty, farnosti, cirkevné zbory, náboženské obce, a iné subjekty odvodzujúce svoju právnu subjektivitu od príslušnej cirkvi. Príspevok štátu je preto určený v konečnom dôsledku na podporu činnosti všetkých týchto zložiek cirkvi</w:t>
      </w:r>
      <w:r w:rsidR="00570249">
        <w:rPr>
          <w:rFonts w:ascii="Times New Roman" w:hAnsi="Times New Roman"/>
          <w:sz w:val="24"/>
          <w:szCs w:val="24"/>
        </w:rPr>
        <w:t xml:space="preserve"> a ich prevádzkových nákladov</w:t>
      </w:r>
      <w:r w:rsidRPr="00BD5249">
        <w:rPr>
          <w:rFonts w:ascii="Times New Roman" w:hAnsi="Times New Roman"/>
          <w:sz w:val="24"/>
          <w:szCs w:val="24"/>
        </w:rPr>
        <w:t xml:space="preserve">. </w:t>
      </w:r>
    </w:p>
    <w:p w:rsidR="00FF240D" w:rsidRPr="00BD5249" w:rsidRDefault="006D1DA0" w:rsidP="00BD5249">
      <w:pPr>
        <w:jc w:val="both"/>
        <w:rPr>
          <w:rFonts w:ascii="Times New Roman" w:hAnsi="Times New Roman"/>
          <w:sz w:val="24"/>
          <w:szCs w:val="24"/>
        </w:rPr>
      </w:pPr>
      <w:r>
        <w:rPr>
          <w:rFonts w:ascii="Times New Roman" w:hAnsi="Times New Roman"/>
          <w:sz w:val="24"/>
          <w:szCs w:val="24"/>
        </w:rPr>
        <w:t>Odsek 2 stanovuje,</w:t>
      </w:r>
      <w:r w:rsidR="00FF240D" w:rsidRPr="00BD5249">
        <w:rPr>
          <w:rFonts w:ascii="Times New Roman" w:hAnsi="Times New Roman"/>
          <w:sz w:val="24"/>
          <w:szCs w:val="24"/>
        </w:rPr>
        <w:t xml:space="preserve"> na aké účely sa nemôže použiť finančný príspevok štátu.</w:t>
      </w:r>
    </w:p>
    <w:p w:rsidR="00FF240D" w:rsidRPr="002344CA" w:rsidRDefault="002344CA" w:rsidP="002344CA">
      <w:pPr>
        <w:rPr>
          <w:rFonts w:ascii="Times" w:hAnsi="Times" w:cs="Times"/>
          <w:b/>
          <w:bCs/>
          <w:sz w:val="25"/>
          <w:szCs w:val="25"/>
        </w:rPr>
      </w:pPr>
      <w:r>
        <w:rPr>
          <w:rFonts w:ascii="Times" w:hAnsi="Times" w:cs="Times"/>
          <w:b/>
          <w:bCs/>
          <w:sz w:val="25"/>
          <w:szCs w:val="25"/>
        </w:rPr>
        <w:t>K § 7</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 xml:space="preserve">Ods. 1 zakladá cirkvám povinnosť predkladať každoročne správu o hospodárení s poskytnutým príspevkom za predchádzajúci rok, pričom táto správa je verejná. Zabezpečuje sa tým transparentnosť použitia verejných prostriedkov. </w:t>
      </w:r>
    </w:p>
    <w:p w:rsidR="009F2F63" w:rsidRPr="00BD5249" w:rsidRDefault="00FF240D" w:rsidP="00BD5249">
      <w:pPr>
        <w:jc w:val="both"/>
        <w:rPr>
          <w:rFonts w:ascii="Times New Roman" w:hAnsi="Times New Roman"/>
          <w:sz w:val="24"/>
          <w:szCs w:val="24"/>
        </w:rPr>
      </w:pPr>
      <w:r w:rsidRPr="00BD5249">
        <w:rPr>
          <w:rFonts w:ascii="Times New Roman" w:hAnsi="Times New Roman"/>
          <w:sz w:val="24"/>
          <w:szCs w:val="24"/>
        </w:rPr>
        <w:t>V záujme zabezpečenia správneho používania príspevku štátu cirkvami môže štát vykonávať kontrolu hospodárenia s príspevkom podľa osobitných predpisov, akým je napríklad zákon Národnej rady Slovenskej republiky č. 39/1993 Z. z. o Najvyššom kontrolnom úrade Slovenskej republiky v znení neskorších predpisov, alebo zákon č. 357/2015 Z. z. o finančnej kontrole a audite a o zmene a doplnení niektorých zákonov</w:t>
      </w:r>
      <w:r w:rsidR="00E23A2C" w:rsidRPr="00E23A2C">
        <w:rPr>
          <w:rFonts w:ascii="Times New Roman" w:hAnsi="Times New Roman"/>
          <w:sz w:val="24"/>
          <w:szCs w:val="24"/>
        </w:rPr>
        <w:t xml:space="preserve"> </w:t>
      </w:r>
      <w:r w:rsidR="00E23A2C" w:rsidRPr="00BD5249">
        <w:rPr>
          <w:rFonts w:ascii="Times New Roman" w:hAnsi="Times New Roman"/>
          <w:sz w:val="24"/>
          <w:szCs w:val="24"/>
        </w:rPr>
        <w:t>v znení neskorších predpisov</w:t>
      </w:r>
      <w:r w:rsidRPr="00BD5249">
        <w:rPr>
          <w:rFonts w:ascii="Times New Roman" w:hAnsi="Times New Roman"/>
          <w:sz w:val="24"/>
          <w:szCs w:val="24"/>
        </w:rPr>
        <w:t xml:space="preserve">. </w:t>
      </w:r>
      <w:r w:rsidR="00570249">
        <w:rPr>
          <w:rFonts w:ascii="Times New Roman" w:hAnsi="Times New Roman"/>
          <w:sz w:val="24"/>
          <w:szCs w:val="24"/>
        </w:rPr>
        <w:t xml:space="preserve">Sankčné ustanovenie odkazuje na § 31 </w:t>
      </w:r>
      <w:r w:rsidR="00570249" w:rsidRPr="00BD5249">
        <w:rPr>
          <w:rFonts w:ascii="Times New Roman" w:hAnsi="Times New Roman"/>
          <w:sz w:val="24"/>
          <w:szCs w:val="24"/>
        </w:rPr>
        <w:t>zákon</w:t>
      </w:r>
      <w:r w:rsidR="00570249">
        <w:rPr>
          <w:rFonts w:ascii="Times New Roman" w:hAnsi="Times New Roman"/>
          <w:sz w:val="24"/>
          <w:szCs w:val="24"/>
        </w:rPr>
        <w:t>a</w:t>
      </w:r>
      <w:r w:rsidR="00570249" w:rsidRPr="00BD5249">
        <w:rPr>
          <w:rFonts w:ascii="Times New Roman" w:hAnsi="Times New Roman"/>
          <w:sz w:val="24"/>
          <w:szCs w:val="24"/>
        </w:rPr>
        <w:t xml:space="preserve"> č. 523/2004 Z. z. o rozpočtových pravidlách verejnej správy a o zmene a doplnení niektorých zákonov v znení neskorších predpisov</w:t>
      </w:r>
      <w:r w:rsidR="00570249">
        <w:rPr>
          <w:rFonts w:ascii="Times New Roman" w:hAnsi="Times New Roman"/>
          <w:sz w:val="24"/>
          <w:szCs w:val="24"/>
        </w:rPr>
        <w:t xml:space="preserve">. </w:t>
      </w:r>
    </w:p>
    <w:p w:rsidR="00FF240D" w:rsidRDefault="004D450F" w:rsidP="002344CA">
      <w:pPr>
        <w:rPr>
          <w:rFonts w:ascii="Times" w:hAnsi="Times" w:cs="Times"/>
          <w:b/>
          <w:bCs/>
          <w:sz w:val="25"/>
          <w:szCs w:val="25"/>
        </w:rPr>
      </w:pPr>
      <w:r>
        <w:rPr>
          <w:rFonts w:ascii="Times" w:hAnsi="Times" w:cs="Times"/>
          <w:b/>
          <w:bCs/>
          <w:sz w:val="25"/>
          <w:szCs w:val="25"/>
        </w:rPr>
        <w:t>K § 8</w:t>
      </w:r>
    </w:p>
    <w:p w:rsidR="009F2F63" w:rsidRDefault="00570249" w:rsidP="00570249">
      <w:pPr>
        <w:jc w:val="both"/>
        <w:rPr>
          <w:rFonts w:ascii="Times New Roman" w:hAnsi="Times New Roman"/>
          <w:sz w:val="24"/>
          <w:szCs w:val="24"/>
        </w:rPr>
      </w:pPr>
      <w:r>
        <w:rPr>
          <w:rFonts w:ascii="Times New Roman" w:hAnsi="Times New Roman"/>
          <w:sz w:val="24"/>
          <w:szCs w:val="24"/>
        </w:rPr>
        <w:t xml:space="preserve">Ods. 1 obsahuje prechodné ustanovenie o stanovení výšky príspevku štátu cirkvám </w:t>
      </w:r>
      <w:r w:rsidR="009F2F63" w:rsidRPr="00BD5249">
        <w:rPr>
          <w:rFonts w:ascii="Times New Roman" w:hAnsi="Times New Roman"/>
          <w:sz w:val="24"/>
          <w:szCs w:val="24"/>
        </w:rPr>
        <w:t>v roku nadobudnutia účinnosti tohto zákona, t.j. 2020</w:t>
      </w:r>
      <w:r>
        <w:rPr>
          <w:rFonts w:ascii="Times New Roman" w:hAnsi="Times New Roman"/>
          <w:sz w:val="24"/>
          <w:szCs w:val="24"/>
        </w:rPr>
        <w:t>. P</w:t>
      </w:r>
      <w:r w:rsidR="009F2F63" w:rsidRPr="00BD5249">
        <w:rPr>
          <w:rFonts w:ascii="Times New Roman" w:hAnsi="Times New Roman"/>
          <w:sz w:val="24"/>
          <w:szCs w:val="24"/>
        </w:rPr>
        <w:t xml:space="preserve">oskytne </w:t>
      </w:r>
      <w:r>
        <w:rPr>
          <w:rFonts w:ascii="Times New Roman" w:hAnsi="Times New Roman"/>
          <w:sz w:val="24"/>
          <w:szCs w:val="24"/>
        </w:rPr>
        <w:t>sa</w:t>
      </w:r>
      <w:r w:rsidR="009F2F63" w:rsidRPr="00BD5249">
        <w:rPr>
          <w:rFonts w:ascii="Times New Roman" w:hAnsi="Times New Roman"/>
          <w:sz w:val="24"/>
          <w:szCs w:val="24"/>
        </w:rPr>
        <w:t xml:space="preserve"> vo výške príspevku na rok 2019 navýšený o ustanovený index navýšenia.</w:t>
      </w:r>
      <w:r>
        <w:rPr>
          <w:rFonts w:ascii="Times New Roman" w:hAnsi="Times New Roman"/>
          <w:sz w:val="24"/>
          <w:szCs w:val="24"/>
        </w:rPr>
        <w:t xml:space="preserve"> </w:t>
      </w:r>
      <w:r w:rsidRPr="00307C48">
        <w:rPr>
          <w:rFonts w:ascii="Times" w:hAnsi="Times"/>
          <w:sz w:val="24"/>
          <w:szCs w:val="24"/>
        </w:rPr>
        <w:t xml:space="preserve">Vzorec na výpočet príspevku štátu na rok 2020 je uvedený v prílohe č. </w:t>
      </w:r>
      <w:r>
        <w:rPr>
          <w:rFonts w:ascii="Times" w:hAnsi="Times"/>
          <w:sz w:val="24"/>
          <w:szCs w:val="24"/>
        </w:rPr>
        <w:t>3.</w:t>
      </w:r>
    </w:p>
    <w:p w:rsidR="005B3ABD" w:rsidRPr="00BD5249" w:rsidRDefault="005B3ABD" w:rsidP="005B3ABD">
      <w:pPr>
        <w:jc w:val="both"/>
        <w:rPr>
          <w:rFonts w:ascii="Times New Roman" w:hAnsi="Times New Roman"/>
          <w:sz w:val="24"/>
          <w:szCs w:val="24"/>
        </w:rPr>
      </w:pPr>
      <w:r>
        <w:rPr>
          <w:rFonts w:ascii="Times New Roman" w:hAnsi="Times New Roman"/>
          <w:sz w:val="24"/>
          <w:szCs w:val="24"/>
        </w:rPr>
        <w:t xml:space="preserve">Ustanovenie ods. 2 odbremeňuje cirkvi, ktorým bol poskytovaný príspevok štátu podľa doterajšej právnej úpravy, od podávania žiadosti o príspevok štátu podľa tohto zákona. </w:t>
      </w:r>
      <w:r w:rsidRPr="00BD5249">
        <w:rPr>
          <w:rFonts w:ascii="Times New Roman" w:hAnsi="Times New Roman"/>
          <w:sz w:val="24"/>
          <w:szCs w:val="24"/>
        </w:rPr>
        <w:t>Do roku 2019 bol príspevok štátu poskyt</w:t>
      </w:r>
      <w:r>
        <w:rPr>
          <w:rFonts w:ascii="Times New Roman" w:hAnsi="Times New Roman"/>
          <w:sz w:val="24"/>
          <w:szCs w:val="24"/>
        </w:rPr>
        <w:t>ovaný</w:t>
      </w:r>
      <w:r w:rsidRPr="00BD5249">
        <w:rPr>
          <w:rFonts w:ascii="Times New Roman" w:hAnsi="Times New Roman"/>
          <w:sz w:val="24"/>
          <w:szCs w:val="24"/>
        </w:rPr>
        <w:t xml:space="preserve"> </w:t>
      </w:r>
      <w:r>
        <w:rPr>
          <w:rFonts w:ascii="Times New Roman" w:hAnsi="Times New Roman"/>
          <w:sz w:val="24"/>
          <w:szCs w:val="24"/>
        </w:rPr>
        <w:t xml:space="preserve">ústrediam a právnym subjektom </w:t>
      </w:r>
      <w:r w:rsidRPr="00BD5249">
        <w:rPr>
          <w:rFonts w:ascii="Times New Roman" w:hAnsi="Times New Roman"/>
          <w:sz w:val="24"/>
          <w:szCs w:val="24"/>
        </w:rPr>
        <w:t>jednotlivý</w:t>
      </w:r>
      <w:r>
        <w:rPr>
          <w:rFonts w:ascii="Times New Roman" w:hAnsi="Times New Roman"/>
          <w:sz w:val="24"/>
          <w:szCs w:val="24"/>
        </w:rPr>
        <w:t>ch</w:t>
      </w:r>
      <w:r w:rsidRPr="00BD5249">
        <w:rPr>
          <w:rFonts w:ascii="Times New Roman" w:hAnsi="Times New Roman"/>
          <w:sz w:val="24"/>
          <w:szCs w:val="24"/>
        </w:rPr>
        <w:t xml:space="preserve"> cirkv</w:t>
      </w:r>
      <w:r>
        <w:rPr>
          <w:rFonts w:ascii="Times New Roman" w:hAnsi="Times New Roman"/>
          <w:sz w:val="24"/>
          <w:szCs w:val="24"/>
        </w:rPr>
        <w:t xml:space="preserve">í (spolu 33 subjektov). </w:t>
      </w:r>
      <w:r w:rsidRPr="00BD5249">
        <w:rPr>
          <w:rFonts w:ascii="Times New Roman" w:hAnsi="Times New Roman"/>
          <w:sz w:val="24"/>
          <w:szCs w:val="24"/>
        </w:rPr>
        <w:t xml:space="preserve">Od roku 2020 </w:t>
      </w:r>
      <w:r>
        <w:rPr>
          <w:rFonts w:ascii="Times New Roman" w:hAnsi="Times New Roman"/>
          <w:sz w:val="24"/>
          <w:szCs w:val="24"/>
        </w:rPr>
        <w:t>sa</w:t>
      </w:r>
      <w:r w:rsidRPr="00BD5249">
        <w:rPr>
          <w:rFonts w:ascii="Times New Roman" w:hAnsi="Times New Roman"/>
          <w:sz w:val="24"/>
          <w:szCs w:val="24"/>
        </w:rPr>
        <w:t xml:space="preserve"> počíta s poskytnutím príspevku štátu cirkvi ako celku</w:t>
      </w:r>
      <w:bookmarkStart w:id="0" w:name="_GoBack"/>
      <w:bookmarkEnd w:id="0"/>
      <w:r w:rsidRPr="00BD5249">
        <w:rPr>
          <w:rFonts w:ascii="Times New Roman" w:hAnsi="Times New Roman"/>
          <w:sz w:val="24"/>
          <w:szCs w:val="24"/>
        </w:rPr>
        <w:t xml:space="preserve">. </w:t>
      </w:r>
    </w:p>
    <w:p w:rsidR="005B3ABD" w:rsidRPr="002344CA" w:rsidRDefault="005B3ABD" w:rsidP="005B3ABD">
      <w:pPr>
        <w:rPr>
          <w:rFonts w:ascii="Times" w:hAnsi="Times" w:cs="Times"/>
          <w:b/>
          <w:bCs/>
          <w:sz w:val="25"/>
          <w:szCs w:val="25"/>
        </w:rPr>
      </w:pPr>
      <w:r>
        <w:rPr>
          <w:rFonts w:ascii="Times" w:hAnsi="Times" w:cs="Times"/>
          <w:b/>
          <w:bCs/>
          <w:sz w:val="25"/>
          <w:szCs w:val="25"/>
        </w:rPr>
        <w:t>K § 9</w:t>
      </w:r>
    </w:p>
    <w:p w:rsidR="00FF240D" w:rsidRPr="00BD5249" w:rsidRDefault="00FF240D" w:rsidP="00BD5249">
      <w:pPr>
        <w:jc w:val="both"/>
        <w:rPr>
          <w:rFonts w:ascii="Times New Roman" w:hAnsi="Times New Roman"/>
          <w:sz w:val="24"/>
          <w:szCs w:val="24"/>
        </w:rPr>
      </w:pPr>
      <w:r w:rsidRPr="00BD5249">
        <w:rPr>
          <w:rFonts w:ascii="Times New Roman" w:hAnsi="Times New Roman"/>
          <w:sz w:val="24"/>
          <w:szCs w:val="24"/>
        </w:rPr>
        <w:t>V tomto ustanovení sú taxatívne vymenované všeobecne záväzné právne predpisy, ktoré sa týmto zákonom zrušujú.</w:t>
      </w:r>
      <w:r w:rsidR="005B3ABD">
        <w:rPr>
          <w:rFonts w:ascii="Times New Roman" w:hAnsi="Times New Roman"/>
          <w:sz w:val="24"/>
          <w:szCs w:val="24"/>
        </w:rPr>
        <w:t xml:space="preserve"> </w:t>
      </w:r>
    </w:p>
    <w:p w:rsidR="00FF240D" w:rsidRPr="002344CA" w:rsidRDefault="002344CA" w:rsidP="002344CA">
      <w:pPr>
        <w:rPr>
          <w:rFonts w:ascii="Times" w:hAnsi="Times" w:cs="Times"/>
          <w:b/>
          <w:bCs/>
          <w:sz w:val="25"/>
          <w:szCs w:val="25"/>
        </w:rPr>
      </w:pPr>
      <w:r>
        <w:rPr>
          <w:rFonts w:ascii="Times" w:hAnsi="Times" w:cs="Times"/>
          <w:b/>
          <w:bCs/>
          <w:sz w:val="25"/>
          <w:szCs w:val="25"/>
        </w:rPr>
        <w:t xml:space="preserve">K § </w:t>
      </w:r>
      <w:r w:rsidR="005B3ABD">
        <w:rPr>
          <w:rFonts w:ascii="Times" w:hAnsi="Times" w:cs="Times"/>
          <w:b/>
          <w:bCs/>
          <w:sz w:val="25"/>
          <w:szCs w:val="25"/>
        </w:rPr>
        <w:t>10</w:t>
      </w:r>
    </w:p>
    <w:p w:rsidR="00D710A5" w:rsidRPr="00BD5249" w:rsidRDefault="00FF240D" w:rsidP="00BD5249">
      <w:pPr>
        <w:jc w:val="both"/>
        <w:rPr>
          <w:rFonts w:ascii="Times New Roman" w:hAnsi="Times New Roman"/>
          <w:sz w:val="24"/>
          <w:szCs w:val="24"/>
        </w:rPr>
      </w:pPr>
      <w:r w:rsidRPr="00BD5249">
        <w:rPr>
          <w:rFonts w:ascii="Times New Roman" w:hAnsi="Times New Roman"/>
          <w:sz w:val="24"/>
          <w:szCs w:val="24"/>
        </w:rPr>
        <w:t>Účinnosť zákona sa navrhuje od</w:t>
      </w:r>
      <w:r w:rsidR="005B3ABD">
        <w:rPr>
          <w:rFonts w:ascii="Times New Roman" w:hAnsi="Times New Roman"/>
          <w:sz w:val="24"/>
          <w:szCs w:val="24"/>
        </w:rPr>
        <w:t xml:space="preserve"> </w:t>
      </w:r>
      <w:r w:rsidRPr="00BD5249">
        <w:rPr>
          <w:rFonts w:ascii="Times New Roman" w:hAnsi="Times New Roman"/>
          <w:sz w:val="24"/>
          <w:szCs w:val="24"/>
        </w:rPr>
        <w:t>1. januára 2020</w:t>
      </w:r>
      <w:r w:rsidR="005B3ABD">
        <w:rPr>
          <w:rFonts w:ascii="Times New Roman" w:hAnsi="Times New Roman"/>
          <w:sz w:val="24"/>
          <w:szCs w:val="24"/>
        </w:rPr>
        <w:t>, čiže od začiatku roka</w:t>
      </w:r>
      <w:r w:rsidRPr="00BD5249">
        <w:rPr>
          <w:rFonts w:ascii="Times New Roman" w:hAnsi="Times New Roman"/>
          <w:sz w:val="24"/>
          <w:szCs w:val="24"/>
        </w:rPr>
        <w:t xml:space="preserve">. </w:t>
      </w:r>
    </w:p>
    <w:sectPr w:rsidR="00D710A5" w:rsidRPr="00BD5249" w:rsidSect="00AB1F57">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144C3"/>
    <w:rsid w:val="000B3F57"/>
    <w:rsid w:val="000C67FF"/>
    <w:rsid w:val="001939B4"/>
    <w:rsid w:val="002344CA"/>
    <w:rsid w:val="00267552"/>
    <w:rsid w:val="002A7595"/>
    <w:rsid w:val="002C2B40"/>
    <w:rsid w:val="002F00DB"/>
    <w:rsid w:val="00327A2D"/>
    <w:rsid w:val="00346AE1"/>
    <w:rsid w:val="003A35EB"/>
    <w:rsid w:val="003C009A"/>
    <w:rsid w:val="003F04E2"/>
    <w:rsid w:val="00423918"/>
    <w:rsid w:val="004C083B"/>
    <w:rsid w:val="004D450F"/>
    <w:rsid w:val="00570249"/>
    <w:rsid w:val="005A1161"/>
    <w:rsid w:val="005B3ABD"/>
    <w:rsid w:val="005E5449"/>
    <w:rsid w:val="0061662A"/>
    <w:rsid w:val="00661635"/>
    <w:rsid w:val="006A0E56"/>
    <w:rsid w:val="006A3EE5"/>
    <w:rsid w:val="006D1DA0"/>
    <w:rsid w:val="00761851"/>
    <w:rsid w:val="00773CE7"/>
    <w:rsid w:val="007D30CB"/>
    <w:rsid w:val="008461A5"/>
    <w:rsid w:val="00873337"/>
    <w:rsid w:val="008F1A80"/>
    <w:rsid w:val="009E06E4"/>
    <w:rsid w:val="009F2F63"/>
    <w:rsid w:val="00A17C3D"/>
    <w:rsid w:val="00A50574"/>
    <w:rsid w:val="00A56287"/>
    <w:rsid w:val="00A7075B"/>
    <w:rsid w:val="00AA4FD0"/>
    <w:rsid w:val="00AB1F57"/>
    <w:rsid w:val="00AB2B8F"/>
    <w:rsid w:val="00AB3E55"/>
    <w:rsid w:val="00B218C9"/>
    <w:rsid w:val="00B3505E"/>
    <w:rsid w:val="00B50E2A"/>
    <w:rsid w:val="00B51490"/>
    <w:rsid w:val="00BA14D6"/>
    <w:rsid w:val="00BD5249"/>
    <w:rsid w:val="00C71365"/>
    <w:rsid w:val="00CB2BB3"/>
    <w:rsid w:val="00CC10A0"/>
    <w:rsid w:val="00CD77A3"/>
    <w:rsid w:val="00D02827"/>
    <w:rsid w:val="00D17ED7"/>
    <w:rsid w:val="00D463B0"/>
    <w:rsid w:val="00D710A5"/>
    <w:rsid w:val="00DD1B41"/>
    <w:rsid w:val="00DE129C"/>
    <w:rsid w:val="00DF7EB5"/>
    <w:rsid w:val="00E23A2C"/>
    <w:rsid w:val="00ED23C3"/>
    <w:rsid w:val="00F10D72"/>
    <w:rsid w:val="00F2666A"/>
    <w:rsid w:val="00F44C37"/>
    <w:rsid w:val="00F81147"/>
    <w:rsid w:val="00FE24FC"/>
    <w:rsid w:val="00FF24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customStyle="1" w:styleId="Svetlmriekazvraznenie31">
    <w:name w:val="Svetlá mriežka – zvýraznenie 31"/>
    <w:basedOn w:val="Normlny"/>
    <w:qFormat/>
    <w:rsid w:val="00FF240D"/>
    <w:pPr>
      <w:suppressAutoHyphens/>
      <w:adjustRightInd/>
      <w:spacing w:after="0" w:line="240" w:lineRule="auto"/>
      <w:ind w:left="72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customStyle="1" w:styleId="Svetlmriekazvraznenie31">
    <w:name w:val="Svetlá mriežka – zvýraznenie 31"/>
    <w:basedOn w:val="Normlny"/>
    <w:qFormat/>
    <w:rsid w:val="00FF240D"/>
    <w:pPr>
      <w:suppressAutoHyphens/>
      <w:adjustRightInd/>
      <w:spacing w:after="0" w:line="240" w:lineRule="auto"/>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 správa - Osobitná časť"/>
    <f:field ref="objsubject" par="" edit="true" text="Dôvodová správa - Osobitná časť"/>
    <f:field ref="objcreatedby" par="" text="Administrator, System"/>
    <f:field ref="objcreatedat" par="" text="28.1.2019 9:12:54"/>
    <f:field ref="objchangedby" par="" text="Administrator, System"/>
    <f:field ref="objmodifiedat" par="" text="28.1.2019 9:12:56"/>
    <f:field ref="doc_FSCFOLIO_1_1001_FieldDocumentNumber" par="" text=""/>
    <f:field ref="doc_FSCFOLIO_1_1001_FieldSubject" par="" edit="true" text="Dôvodová správa - Osobit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4FE910-6CBE-40D6-B24A-699A87D2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1220</Words>
  <Characters>6956</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karol.porubcin@culture.gov.sk</dc:creator>
  <cp:lastModifiedBy>Porubčin Karol</cp:lastModifiedBy>
  <cp:revision>3</cp:revision>
  <cp:lastPrinted>2019-08-06T09:33:00Z</cp:lastPrinted>
  <dcterms:created xsi:type="dcterms:W3CDTF">2019-08-06T09:33:00Z</dcterms:created>
  <dcterms:modified xsi:type="dcterms:W3CDTF">2019-08-08T07:57:00Z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Príprava materiálu</vt:lpwstr>
  </property>
  <property fmtid="{D5CDD505-2E9C-101B-9397-08002B2CF9AE}" pid="6" name="FSC#SKEDITIONSLOVLEX@103.510:povodpredpis">
    <vt:lpwstr>Slovlex (eLeg)</vt:lpwstr>
  </property>
  <property fmtid="{D5CDD505-2E9C-101B-9397-08002B2CF9AE}" pid="7" name="FSC#SKEDITIONSLOVLEX@103.510:legoblast">
    <vt:lpwstr>Cirkev</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Karol Porubčin</vt:lpwstr>
  </property>
  <property fmtid="{D5CDD505-2E9C-101B-9397-08002B2CF9AE}" pid="11" name="FSC#SKEDITIONSLOVLEX@103.510:zodppredkladatel">
    <vt:lpwstr>Ľubica Laššáková</vt:lpwstr>
  </property>
  <property fmtid="{D5CDD505-2E9C-101B-9397-08002B2CF9AE}" pid="12" name="FSC#SKEDITIONSLOVLEX@103.510:dalsipredkladatel">
    <vt:lpwstr/>
  </property>
  <property fmtid="{D5CDD505-2E9C-101B-9397-08002B2CF9AE}" pid="13" name="FSC#SKEDITIONSLOVLEX@103.510:nazovpredpis">
    <vt:lpwstr> o finančnej podpore činnosti cirkví a náboženských spoločností</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SR</vt:lpwstr>
  </property>
  <property fmtid="{D5CDD505-2E9C-101B-9397-08002B2CF9AE}" pid="22" name="FSC#SKEDITIONSLOVLEX@103.510:plnynazovpredpis">
    <vt:lpwstr> Zákon o finančnej podpore činnosti cirkví a náboženských spoločností</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MK-218/2019-230/1377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LP/2019/67</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kultúry</vt:lpwstr>
  </property>
  <property fmtid="{D5CDD505-2E9C-101B-9397-08002B2CF9AE}" pid="141" name="FSC#SKEDITIONSLOVLEX@103.510:funkciaZodpPredAkuzativ">
    <vt:lpwstr>ministerky kultúry</vt:lpwstr>
  </property>
  <property fmtid="{D5CDD505-2E9C-101B-9397-08002B2CF9AE}" pid="142" name="FSC#SKEDITIONSLOVLEX@103.510:funkciaZodpPredDativ">
    <vt:lpwstr>ministerke kultúry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Ľubica Laššáková_x000d_
ministerka kultúry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&lt;p&gt;Vláda Slovenskej republiky deklarovala vo svojom programovom vyhlásení zámer vypracovať novú legislatívnu úpravu financovania cirkví a náboženských spoločností. Ministerstvo kultúry SR sa dlhodobo zaoberá témou zmeny financovania cirkví. Financovanie c</vt:lpwstr>
  </property>
  <property fmtid="{D5CDD505-2E9C-101B-9397-08002B2CF9AE}" pid="149" name="FSC#COOSYSTEM@1.1:Container">
    <vt:lpwstr>COO.2145.1000.3.3179027</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28. 1. 2019</vt:lpwstr>
  </property>
</Properties>
</file>