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8F" w:rsidRPr="0028651E" w:rsidRDefault="009E0C8F" w:rsidP="0028651E">
      <w:pPr>
        <w:pStyle w:val="Nzov"/>
        <w:rPr>
          <w:rFonts w:ascii="Times" w:hAnsi="Times"/>
          <w:caps/>
        </w:rPr>
      </w:pPr>
      <w:bookmarkStart w:id="0" w:name="_GoBack"/>
      <w:bookmarkEnd w:id="0"/>
      <w:r w:rsidRPr="0028651E">
        <w:rPr>
          <w:rFonts w:ascii="Times" w:hAnsi="Times"/>
          <w:caps/>
        </w:rPr>
        <w:t>Predkladacia správa</w:t>
      </w:r>
    </w:p>
    <w:p w:rsidR="009E0C8F" w:rsidRPr="0028651E" w:rsidRDefault="009E0C8F" w:rsidP="0028651E">
      <w:pPr>
        <w:pStyle w:val="Nzov"/>
        <w:jc w:val="both"/>
        <w:rPr>
          <w:rFonts w:ascii="Times" w:hAnsi="Times"/>
        </w:rPr>
      </w:pPr>
    </w:p>
    <w:p w:rsidR="009E0C8F" w:rsidRDefault="009E0C8F" w:rsidP="0028651E">
      <w:pPr>
        <w:pStyle w:val="Nzov"/>
        <w:jc w:val="both"/>
        <w:rPr>
          <w:rFonts w:ascii="Times" w:hAnsi="Times"/>
          <w:b w:val="0"/>
          <w:lang w:eastAsia="x-none"/>
        </w:rPr>
      </w:pPr>
      <w:r w:rsidRPr="0028651E">
        <w:rPr>
          <w:rFonts w:ascii="Times" w:hAnsi="Times"/>
          <w:b w:val="0"/>
        </w:rPr>
        <w:t>Ministerstvo spravodlivosti Slovenskej republiky predkladá</w:t>
      </w:r>
      <w:r w:rsidR="00720F02" w:rsidRPr="0028651E">
        <w:rPr>
          <w:rFonts w:ascii="Times" w:hAnsi="Times"/>
          <w:b w:val="0"/>
          <w:lang w:eastAsia="x-none"/>
        </w:rPr>
        <w:t xml:space="preserve"> na základe bodu </w:t>
      </w:r>
      <w:r w:rsidR="00A87CFA" w:rsidRPr="0028651E">
        <w:rPr>
          <w:rFonts w:ascii="Times" w:hAnsi="Times"/>
          <w:b w:val="0"/>
          <w:lang w:eastAsia="x-none"/>
        </w:rPr>
        <w:t xml:space="preserve">C.2. uznesenia vlády Slovenskej republiky č. 546 z 18. septembra 2013 v znení uznesenia vlády </w:t>
      </w:r>
      <w:r w:rsidR="009B7170">
        <w:rPr>
          <w:rFonts w:ascii="Times" w:hAnsi="Times"/>
          <w:b w:val="0"/>
          <w:lang w:eastAsia="x-none"/>
        </w:rPr>
        <w:t>Slovenskej republiky č. 540/2018</w:t>
      </w:r>
      <w:r w:rsidR="00A87CFA" w:rsidRPr="0028651E">
        <w:rPr>
          <w:rFonts w:ascii="Times" w:hAnsi="Times"/>
          <w:b w:val="0"/>
          <w:lang w:eastAsia="x-none"/>
        </w:rPr>
        <w:t xml:space="preserve"> </w:t>
      </w:r>
      <w:r w:rsidR="00AC0659">
        <w:rPr>
          <w:rFonts w:ascii="Times" w:hAnsi="Times"/>
          <w:b w:val="0"/>
          <w:lang w:eastAsia="x-none"/>
        </w:rPr>
        <w:t xml:space="preserve">na rokovanie Legislatívnej rady vlády Slovenskej republiky </w:t>
      </w:r>
      <w:r w:rsidRPr="0028651E">
        <w:rPr>
          <w:rFonts w:ascii="Times" w:hAnsi="Times"/>
          <w:b w:val="0"/>
        </w:rPr>
        <w:t>návrh na ratifikáciu</w:t>
      </w:r>
      <w:r w:rsidR="00A87CFA" w:rsidRPr="0028651E">
        <w:rPr>
          <w:rFonts w:ascii="Times" w:hAnsi="Times"/>
          <w:b w:val="0"/>
          <w:bCs w:val="0"/>
        </w:rPr>
        <w:t xml:space="preserve"> Protokolu č. 16 k Dohovoru o ochrane ľudských práv a základných slobôd</w:t>
      </w:r>
      <w:r w:rsidRPr="0028651E">
        <w:rPr>
          <w:rFonts w:ascii="Times" w:hAnsi="Times"/>
          <w:b w:val="0"/>
        </w:rPr>
        <w:t>.</w:t>
      </w:r>
      <w:r w:rsidR="00EF643A" w:rsidRPr="0028651E">
        <w:rPr>
          <w:rFonts w:ascii="Times" w:hAnsi="Times"/>
          <w:b w:val="0"/>
          <w:lang w:eastAsia="x-none"/>
        </w:rPr>
        <w:t xml:space="preserve"> </w:t>
      </w:r>
    </w:p>
    <w:p w:rsidR="0028651E" w:rsidRPr="0028651E" w:rsidRDefault="0028651E" w:rsidP="0028651E">
      <w:pPr>
        <w:pStyle w:val="Nzov"/>
        <w:jc w:val="both"/>
        <w:rPr>
          <w:rFonts w:ascii="Times" w:hAnsi="Times"/>
          <w:b w:val="0"/>
          <w:lang w:eastAsia="x-none"/>
        </w:rPr>
      </w:pPr>
    </w:p>
    <w:p w:rsidR="00EA78D7" w:rsidRPr="0028651E" w:rsidRDefault="009E0C8F" w:rsidP="0028651E">
      <w:pPr>
        <w:pStyle w:val="Zkladntext"/>
        <w:widowControl/>
        <w:tabs>
          <w:tab w:val="left" w:pos="180"/>
        </w:tabs>
        <w:rPr>
          <w:rFonts w:ascii="Times" w:hAnsi="Times"/>
          <w:sz w:val="24"/>
          <w:szCs w:val="24"/>
        </w:rPr>
      </w:pPr>
      <w:r w:rsidRPr="0028651E">
        <w:rPr>
          <w:rFonts w:ascii="Times" w:hAnsi="Times"/>
          <w:sz w:val="24"/>
          <w:szCs w:val="24"/>
        </w:rPr>
        <w:t xml:space="preserve">Dňa </w:t>
      </w:r>
      <w:r w:rsidR="00631B8E" w:rsidRPr="0028651E">
        <w:rPr>
          <w:rFonts w:ascii="Times" w:hAnsi="Times"/>
          <w:sz w:val="24"/>
          <w:szCs w:val="24"/>
        </w:rPr>
        <w:t xml:space="preserve">10. júla </w:t>
      </w:r>
      <w:r w:rsidR="00A87CFA" w:rsidRPr="0028651E">
        <w:rPr>
          <w:rFonts w:ascii="Times" w:hAnsi="Times"/>
          <w:sz w:val="24"/>
          <w:szCs w:val="24"/>
        </w:rPr>
        <w:t>2013</w:t>
      </w:r>
      <w:r w:rsidR="00184AE0" w:rsidRPr="0028651E">
        <w:rPr>
          <w:rFonts w:ascii="Times" w:hAnsi="Times"/>
          <w:sz w:val="24"/>
          <w:szCs w:val="24"/>
        </w:rPr>
        <w:t xml:space="preserve"> bol na 1176</w:t>
      </w:r>
      <w:r w:rsidR="00AD6691">
        <w:rPr>
          <w:rFonts w:ascii="Times" w:hAnsi="Times"/>
          <w:sz w:val="24"/>
          <w:szCs w:val="24"/>
        </w:rPr>
        <w:t>. zasadnutí Výboru</w:t>
      </w:r>
      <w:r w:rsidRPr="0028651E">
        <w:rPr>
          <w:rFonts w:ascii="Times" w:hAnsi="Times"/>
          <w:sz w:val="24"/>
          <w:szCs w:val="24"/>
        </w:rPr>
        <w:t xml:space="preserve"> ministrov </w:t>
      </w:r>
      <w:r w:rsidR="00631B8E" w:rsidRPr="0028651E">
        <w:rPr>
          <w:rFonts w:ascii="Times" w:hAnsi="Times"/>
          <w:sz w:val="24"/>
          <w:szCs w:val="24"/>
        </w:rPr>
        <w:t>Rady Európy v Štrasburgu schválený</w:t>
      </w:r>
      <w:r w:rsidRPr="0028651E">
        <w:rPr>
          <w:rFonts w:ascii="Times" w:hAnsi="Times"/>
          <w:sz w:val="24"/>
          <w:szCs w:val="24"/>
        </w:rPr>
        <w:t xml:space="preserve"> </w:t>
      </w:r>
      <w:r w:rsidR="00184AE0" w:rsidRPr="0028651E">
        <w:rPr>
          <w:rFonts w:ascii="Times" w:hAnsi="Times"/>
          <w:sz w:val="24"/>
          <w:szCs w:val="24"/>
        </w:rPr>
        <w:t xml:space="preserve">Protokol č. 16 k Dohovoru o ochrane ľudských práv a základných slobôd </w:t>
      </w:r>
      <w:r w:rsidRPr="0028651E">
        <w:rPr>
          <w:rFonts w:ascii="Times" w:hAnsi="Times"/>
          <w:sz w:val="24"/>
          <w:szCs w:val="24"/>
        </w:rPr>
        <w:t>(</w:t>
      </w:r>
      <w:r w:rsidR="00184AE0" w:rsidRPr="0028651E">
        <w:rPr>
          <w:rFonts w:ascii="Times" w:hAnsi="Times"/>
          <w:sz w:val="24"/>
          <w:szCs w:val="24"/>
        </w:rPr>
        <w:t xml:space="preserve">ďalej len „protokol“). </w:t>
      </w:r>
      <w:r w:rsidR="00EA78D7" w:rsidRPr="0028651E">
        <w:rPr>
          <w:rFonts w:ascii="Times" w:hAnsi="Times"/>
          <w:sz w:val="24"/>
          <w:szCs w:val="24"/>
        </w:rPr>
        <w:t xml:space="preserve">Vláda Slovenskej republiky vyslovila súhlas s podpisom </w:t>
      </w:r>
      <w:r w:rsidR="00184AE0" w:rsidRPr="0028651E">
        <w:rPr>
          <w:rFonts w:ascii="Times" w:hAnsi="Times"/>
          <w:sz w:val="24"/>
          <w:szCs w:val="24"/>
        </w:rPr>
        <w:t>protokolu uznesením č. 546 z 18. septembra 2013</w:t>
      </w:r>
      <w:r w:rsidR="00EA78D7" w:rsidRPr="0028651E">
        <w:rPr>
          <w:rFonts w:ascii="Times" w:hAnsi="Times"/>
          <w:sz w:val="24"/>
          <w:szCs w:val="24"/>
        </w:rPr>
        <w:t xml:space="preserve">. Slovenská republika </w:t>
      </w:r>
      <w:r w:rsidR="00184AE0" w:rsidRPr="0028651E">
        <w:rPr>
          <w:rFonts w:ascii="Times" w:hAnsi="Times"/>
          <w:sz w:val="24"/>
          <w:szCs w:val="24"/>
        </w:rPr>
        <w:t>protokol</w:t>
      </w:r>
      <w:r w:rsidR="00EA78D7" w:rsidRPr="0028651E">
        <w:rPr>
          <w:rFonts w:ascii="Times" w:hAnsi="Times"/>
          <w:sz w:val="24"/>
          <w:szCs w:val="24"/>
        </w:rPr>
        <w:t xml:space="preserve"> podpísala dňa </w:t>
      </w:r>
      <w:r w:rsidR="00184AE0" w:rsidRPr="0028651E">
        <w:rPr>
          <w:rFonts w:ascii="Times" w:hAnsi="Times"/>
          <w:sz w:val="24"/>
          <w:szCs w:val="24"/>
        </w:rPr>
        <w:t>2. októbra 2013 v Štrasburgu</w:t>
      </w:r>
      <w:r w:rsidR="00EA78D7" w:rsidRPr="0028651E">
        <w:rPr>
          <w:rFonts w:ascii="Times" w:hAnsi="Times"/>
          <w:sz w:val="24"/>
          <w:szCs w:val="24"/>
        </w:rPr>
        <w:t xml:space="preserve"> v deň jeho otvorenia na podpis. </w:t>
      </w:r>
    </w:p>
    <w:p w:rsidR="006761F7" w:rsidRPr="0028651E" w:rsidRDefault="006761F7" w:rsidP="0028651E">
      <w:pPr>
        <w:jc w:val="both"/>
        <w:rPr>
          <w:rFonts w:ascii="Times" w:hAnsi="Times"/>
          <w:sz w:val="24"/>
          <w:szCs w:val="24"/>
          <w:highlight w:val="yellow"/>
        </w:rPr>
      </w:pPr>
    </w:p>
    <w:p w:rsidR="00485167" w:rsidRPr="0028651E" w:rsidRDefault="006761F7" w:rsidP="0028651E">
      <w:pPr>
        <w:jc w:val="both"/>
        <w:rPr>
          <w:rFonts w:ascii="Times" w:hAnsi="Times"/>
          <w:sz w:val="24"/>
          <w:szCs w:val="24"/>
        </w:rPr>
      </w:pPr>
      <w:r w:rsidRPr="0028651E">
        <w:rPr>
          <w:rFonts w:ascii="Times" w:hAnsi="Times"/>
          <w:sz w:val="24"/>
          <w:szCs w:val="24"/>
        </w:rPr>
        <w:t>Protokolom</w:t>
      </w:r>
      <w:r w:rsidR="0028651E">
        <w:rPr>
          <w:rFonts w:ascii="Times" w:hAnsi="Times"/>
          <w:sz w:val="24"/>
          <w:szCs w:val="24"/>
        </w:rPr>
        <w:t xml:space="preserve"> sa rozširuje právomoc Európskeho súdu pre ľudské práva (ďalej len „ESĽP“)</w:t>
      </w:r>
      <w:r w:rsidRPr="0028651E">
        <w:rPr>
          <w:rFonts w:ascii="Times" w:hAnsi="Times"/>
          <w:sz w:val="24"/>
          <w:szCs w:val="24"/>
        </w:rPr>
        <w:t xml:space="preserve"> podávať poradné stanoviská členským štátom Rady Európy, ktoré pristúpia k tomuto protokolu. </w:t>
      </w:r>
      <w:r w:rsidR="00485167" w:rsidRPr="0028651E">
        <w:rPr>
          <w:rFonts w:ascii="Times" w:hAnsi="Times"/>
          <w:sz w:val="24"/>
          <w:szCs w:val="24"/>
        </w:rPr>
        <w:t>Článok 1 protokolu stanovuje tri základné kritériá, p</w:t>
      </w:r>
      <w:r w:rsidRPr="0028651E">
        <w:rPr>
          <w:rFonts w:ascii="Times" w:hAnsi="Times"/>
          <w:sz w:val="24"/>
          <w:szCs w:val="24"/>
        </w:rPr>
        <w:t>ri splnení</w:t>
      </w:r>
      <w:r w:rsidR="00485167" w:rsidRPr="0028651E">
        <w:rPr>
          <w:rFonts w:ascii="Times" w:hAnsi="Times"/>
          <w:sz w:val="24"/>
          <w:szCs w:val="24"/>
        </w:rPr>
        <w:t xml:space="preserve"> ktorých </w:t>
      </w:r>
      <w:r w:rsidRPr="0028651E">
        <w:rPr>
          <w:rFonts w:ascii="Times" w:hAnsi="Times"/>
          <w:sz w:val="24"/>
          <w:szCs w:val="24"/>
        </w:rPr>
        <w:t xml:space="preserve">zo strany dožadujúceho štátu, vydá </w:t>
      </w:r>
      <w:r w:rsidR="0001273A">
        <w:rPr>
          <w:rFonts w:ascii="Times" w:hAnsi="Times"/>
          <w:sz w:val="24"/>
          <w:szCs w:val="24"/>
        </w:rPr>
        <w:t>ESĽP</w:t>
      </w:r>
      <w:r w:rsidRPr="0028651E">
        <w:rPr>
          <w:rFonts w:ascii="Times" w:hAnsi="Times"/>
          <w:sz w:val="24"/>
          <w:szCs w:val="24"/>
        </w:rPr>
        <w:t xml:space="preserve"> poradné stanovisko</w:t>
      </w:r>
      <w:r w:rsidR="00485167" w:rsidRPr="0028651E">
        <w:rPr>
          <w:rFonts w:ascii="Times" w:hAnsi="Times"/>
          <w:sz w:val="24"/>
          <w:szCs w:val="24"/>
        </w:rPr>
        <w:t>. Ide o:</w:t>
      </w:r>
    </w:p>
    <w:p w:rsidR="008D29F4" w:rsidRPr="0028651E" w:rsidRDefault="00485167" w:rsidP="0028651E">
      <w:pPr>
        <w:numPr>
          <w:ilvl w:val="0"/>
          <w:numId w:val="3"/>
        </w:numPr>
        <w:jc w:val="both"/>
        <w:rPr>
          <w:rFonts w:ascii="Times" w:hAnsi="Times"/>
          <w:sz w:val="24"/>
          <w:szCs w:val="24"/>
        </w:rPr>
      </w:pPr>
      <w:r w:rsidRPr="0028651E">
        <w:rPr>
          <w:rFonts w:ascii="Times" w:hAnsi="Times"/>
          <w:sz w:val="24"/>
          <w:szCs w:val="24"/>
        </w:rPr>
        <w:t xml:space="preserve">dobrovoľnú a voliteľnú možnosť </w:t>
      </w:r>
      <w:r w:rsidR="00F75B60" w:rsidRPr="0028651E">
        <w:rPr>
          <w:rFonts w:ascii="Times" w:hAnsi="Times"/>
          <w:sz w:val="24"/>
          <w:szCs w:val="24"/>
        </w:rPr>
        <w:t>relevantných súdov</w:t>
      </w:r>
      <w:r w:rsidR="006761F7" w:rsidRPr="0028651E">
        <w:rPr>
          <w:rFonts w:ascii="Times" w:hAnsi="Times"/>
          <w:sz w:val="24"/>
          <w:szCs w:val="24"/>
        </w:rPr>
        <w:t xml:space="preserve"> </w:t>
      </w:r>
      <w:r w:rsidR="008D29F4" w:rsidRPr="0028651E">
        <w:rPr>
          <w:rFonts w:ascii="Times" w:hAnsi="Times"/>
          <w:sz w:val="24"/>
          <w:szCs w:val="24"/>
        </w:rPr>
        <w:t>žiadať o poradné stanovisko</w:t>
      </w:r>
      <w:r w:rsidR="00F75B60" w:rsidRPr="0028651E">
        <w:rPr>
          <w:rFonts w:ascii="Times" w:hAnsi="Times"/>
          <w:sz w:val="24"/>
          <w:szCs w:val="24"/>
        </w:rPr>
        <w:t xml:space="preserve"> (fakultatívnosť),</w:t>
      </w:r>
    </w:p>
    <w:p w:rsidR="00F75B60" w:rsidRPr="0028651E" w:rsidRDefault="00F75B60" w:rsidP="0028651E">
      <w:pPr>
        <w:numPr>
          <w:ilvl w:val="0"/>
          <w:numId w:val="3"/>
        </w:numPr>
        <w:jc w:val="both"/>
        <w:rPr>
          <w:rFonts w:ascii="Times" w:hAnsi="Times"/>
          <w:sz w:val="24"/>
          <w:szCs w:val="24"/>
        </w:rPr>
      </w:pPr>
      <w:r w:rsidRPr="0028651E">
        <w:rPr>
          <w:rFonts w:ascii="Times" w:hAnsi="Times"/>
          <w:sz w:val="24"/>
          <w:szCs w:val="24"/>
        </w:rPr>
        <w:t>určenie oprávnených súdov – najvyššie súdy a tribunály tak, ako ich určí vysoká zmluvná strana v súlade s článkom 10 protokolu a</w:t>
      </w:r>
    </w:p>
    <w:p w:rsidR="006761F7" w:rsidRPr="0028651E" w:rsidRDefault="00F75B60" w:rsidP="0028651E">
      <w:pPr>
        <w:numPr>
          <w:ilvl w:val="0"/>
          <w:numId w:val="3"/>
        </w:numPr>
        <w:jc w:val="both"/>
        <w:rPr>
          <w:rFonts w:ascii="Times" w:hAnsi="Times"/>
          <w:sz w:val="24"/>
          <w:szCs w:val="24"/>
        </w:rPr>
      </w:pPr>
      <w:r w:rsidRPr="0028651E">
        <w:rPr>
          <w:rFonts w:ascii="Times" w:hAnsi="Times"/>
          <w:sz w:val="24"/>
          <w:szCs w:val="24"/>
        </w:rPr>
        <w:t>predmet žiadosti, ktorým môžu byť výlučne zásadné otázky</w:t>
      </w:r>
      <w:r w:rsidR="00E77CDA" w:rsidRPr="0028651E">
        <w:rPr>
          <w:rFonts w:ascii="Times" w:hAnsi="Times"/>
          <w:sz w:val="24"/>
          <w:szCs w:val="24"/>
        </w:rPr>
        <w:t xml:space="preserve"> </w:t>
      </w:r>
      <w:r w:rsidR="00E77CDA" w:rsidRPr="0028651E">
        <w:rPr>
          <w:rFonts w:ascii="Times" w:hAnsi="Times"/>
          <w:color w:val="000000"/>
          <w:spacing w:val="-2"/>
          <w:sz w:val="24"/>
          <w:szCs w:val="24"/>
        </w:rPr>
        <w:t>týk</w:t>
      </w:r>
      <w:r w:rsidRPr="0028651E">
        <w:rPr>
          <w:rFonts w:ascii="Times" w:hAnsi="Times"/>
          <w:color w:val="000000"/>
          <w:spacing w:val="-2"/>
          <w:sz w:val="24"/>
          <w:szCs w:val="24"/>
        </w:rPr>
        <w:t>ajúce</w:t>
      </w:r>
      <w:r w:rsidR="00E77CDA" w:rsidRPr="0028651E">
        <w:rPr>
          <w:rFonts w:ascii="Times" w:hAnsi="Times"/>
          <w:color w:val="000000"/>
          <w:spacing w:val="-2"/>
          <w:sz w:val="24"/>
          <w:szCs w:val="24"/>
        </w:rPr>
        <w:t xml:space="preserve"> sa výkladu alebo uplatňovania práv a slobôd uvedených v dohovore alebo jeho protokoloch.</w:t>
      </w:r>
    </w:p>
    <w:p w:rsidR="006761F7" w:rsidRPr="0028651E" w:rsidRDefault="006761F7" w:rsidP="0028651E">
      <w:pPr>
        <w:jc w:val="both"/>
        <w:rPr>
          <w:rFonts w:ascii="Times" w:hAnsi="Times"/>
          <w:sz w:val="24"/>
          <w:szCs w:val="24"/>
          <w:highlight w:val="yellow"/>
        </w:rPr>
      </w:pPr>
    </w:p>
    <w:p w:rsidR="006761F7" w:rsidRPr="0028651E" w:rsidRDefault="006761F7" w:rsidP="0028651E">
      <w:pPr>
        <w:jc w:val="both"/>
        <w:rPr>
          <w:rFonts w:ascii="Times" w:hAnsi="Times"/>
          <w:sz w:val="24"/>
          <w:szCs w:val="24"/>
        </w:rPr>
      </w:pPr>
      <w:r w:rsidRPr="0028651E">
        <w:rPr>
          <w:rFonts w:ascii="Times" w:hAnsi="Times"/>
          <w:sz w:val="24"/>
          <w:szCs w:val="24"/>
        </w:rPr>
        <w:t>Štáty, ktoré k protokolu pristúpia</w:t>
      </w:r>
      <w:r w:rsidR="0001273A">
        <w:rPr>
          <w:rFonts w:ascii="Times" w:hAnsi="Times"/>
          <w:sz w:val="24"/>
          <w:szCs w:val="24"/>
        </w:rPr>
        <w:t>, sami určujú</w:t>
      </w:r>
      <w:r w:rsidRPr="0028651E">
        <w:rPr>
          <w:rFonts w:ascii="Times" w:hAnsi="Times"/>
          <w:sz w:val="24"/>
          <w:szCs w:val="24"/>
        </w:rPr>
        <w:t xml:space="preserve"> kon</w:t>
      </w:r>
      <w:r w:rsidR="00F75B60" w:rsidRPr="0028651E">
        <w:rPr>
          <w:rFonts w:ascii="Times" w:hAnsi="Times"/>
          <w:sz w:val="24"/>
          <w:szCs w:val="24"/>
        </w:rPr>
        <w:t>krétne najvyššie súdy a</w:t>
      </w:r>
      <w:r w:rsidRPr="0028651E">
        <w:rPr>
          <w:rFonts w:ascii="Times" w:hAnsi="Times"/>
          <w:sz w:val="24"/>
          <w:szCs w:val="24"/>
        </w:rPr>
        <w:t xml:space="preserve"> tribunály, ktoré budú oprávnené obrátiť sa na ESĽP so žiadosťou o poradné stanovisko</w:t>
      </w:r>
      <w:r w:rsidR="00A47EF9" w:rsidRPr="0028651E">
        <w:rPr>
          <w:rFonts w:ascii="Times" w:hAnsi="Times"/>
          <w:sz w:val="24"/>
          <w:szCs w:val="24"/>
        </w:rPr>
        <w:t xml:space="preserve"> (článok 10 protokolu)</w:t>
      </w:r>
      <w:r w:rsidRPr="0028651E">
        <w:rPr>
          <w:rFonts w:ascii="Times" w:hAnsi="Times"/>
          <w:sz w:val="24"/>
          <w:szCs w:val="24"/>
        </w:rPr>
        <w:t>.</w:t>
      </w:r>
      <w:r w:rsidR="00E77CDA" w:rsidRPr="0028651E">
        <w:rPr>
          <w:rFonts w:ascii="Times" w:hAnsi="Times"/>
          <w:sz w:val="24"/>
          <w:szCs w:val="24"/>
        </w:rPr>
        <w:t xml:space="preserve"> Zároveň je na rozhodnutí týchto sú</w:t>
      </w:r>
      <w:r w:rsidR="0001273A">
        <w:rPr>
          <w:rFonts w:ascii="Times" w:hAnsi="Times"/>
          <w:sz w:val="24"/>
          <w:szCs w:val="24"/>
        </w:rPr>
        <w:t>dov, či v konaní, ktoré pred nimi</w:t>
      </w:r>
      <w:r w:rsidR="00E77CDA" w:rsidRPr="0028651E">
        <w:rPr>
          <w:rFonts w:ascii="Times" w:hAnsi="Times"/>
          <w:sz w:val="24"/>
          <w:szCs w:val="24"/>
        </w:rPr>
        <w:t xml:space="preserve"> prebieha</w:t>
      </w:r>
      <w:r w:rsidR="00631B8E" w:rsidRPr="0028651E">
        <w:rPr>
          <w:rFonts w:ascii="Times" w:hAnsi="Times"/>
          <w:sz w:val="24"/>
          <w:szCs w:val="24"/>
        </w:rPr>
        <w:t>,</w:t>
      </w:r>
      <w:r w:rsidR="00AD6691">
        <w:rPr>
          <w:rFonts w:ascii="Times" w:hAnsi="Times"/>
          <w:sz w:val="24"/>
          <w:szCs w:val="24"/>
        </w:rPr>
        <w:t xml:space="preserve"> využijú</w:t>
      </w:r>
      <w:r w:rsidR="00E77CDA" w:rsidRPr="0028651E">
        <w:rPr>
          <w:rFonts w:ascii="Times" w:hAnsi="Times"/>
          <w:sz w:val="24"/>
          <w:szCs w:val="24"/>
        </w:rPr>
        <w:t xml:space="preserve"> možnosť a požiada</w:t>
      </w:r>
      <w:r w:rsidR="00AD6691">
        <w:rPr>
          <w:rFonts w:ascii="Times" w:hAnsi="Times"/>
          <w:sz w:val="24"/>
          <w:szCs w:val="24"/>
        </w:rPr>
        <w:t>jú</w:t>
      </w:r>
      <w:r w:rsidR="0001273A">
        <w:rPr>
          <w:rFonts w:ascii="Times" w:hAnsi="Times"/>
          <w:sz w:val="24"/>
          <w:szCs w:val="24"/>
        </w:rPr>
        <w:t xml:space="preserve"> o </w:t>
      </w:r>
      <w:r w:rsidR="00E77CDA" w:rsidRPr="0028651E">
        <w:rPr>
          <w:rFonts w:ascii="Times" w:hAnsi="Times"/>
          <w:sz w:val="24"/>
          <w:szCs w:val="24"/>
        </w:rPr>
        <w:t>vydanie</w:t>
      </w:r>
      <w:r w:rsidR="0001273A">
        <w:rPr>
          <w:rFonts w:ascii="Times" w:hAnsi="Times"/>
          <w:sz w:val="24"/>
          <w:szCs w:val="24"/>
        </w:rPr>
        <w:t xml:space="preserve"> poradného stanoviska</w:t>
      </w:r>
      <w:r w:rsidR="00E77CDA" w:rsidRPr="0028651E">
        <w:rPr>
          <w:rFonts w:ascii="Times" w:hAnsi="Times"/>
          <w:sz w:val="24"/>
          <w:szCs w:val="24"/>
        </w:rPr>
        <w:t xml:space="preserve">. Ide teda o </w:t>
      </w:r>
      <w:r w:rsidR="00E77CDA" w:rsidRPr="0028651E">
        <w:rPr>
          <w:rFonts w:ascii="Times" w:hAnsi="Times"/>
          <w:bCs/>
          <w:color w:val="000000"/>
          <w:spacing w:val="-2"/>
          <w:sz w:val="24"/>
          <w:szCs w:val="24"/>
        </w:rPr>
        <w:t>dobrovoľnú a voliteľnú možnosť zo strany relevantných súdov.</w:t>
      </w:r>
    </w:p>
    <w:p w:rsidR="006761F7" w:rsidRPr="0028651E" w:rsidRDefault="006761F7" w:rsidP="0028651E">
      <w:pPr>
        <w:jc w:val="both"/>
        <w:rPr>
          <w:rFonts w:ascii="Times" w:hAnsi="Times"/>
          <w:sz w:val="24"/>
          <w:szCs w:val="24"/>
          <w:highlight w:val="yellow"/>
        </w:rPr>
      </w:pPr>
    </w:p>
    <w:p w:rsidR="00E77CDA" w:rsidRPr="0028651E" w:rsidRDefault="00631B8E" w:rsidP="0028651E">
      <w:pPr>
        <w:jc w:val="both"/>
        <w:rPr>
          <w:rFonts w:ascii="Times" w:hAnsi="Times"/>
          <w:sz w:val="24"/>
          <w:szCs w:val="24"/>
        </w:rPr>
      </w:pPr>
      <w:r w:rsidRPr="0028651E">
        <w:rPr>
          <w:rFonts w:ascii="Times" w:hAnsi="Times"/>
          <w:sz w:val="24"/>
          <w:szCs w:val="24"/>
        </w:rPr>
        <w:t>P</w:t>
      </w:r>
      <w:r w:rsidR="006761F7" w:rsidRPr="0028651E">
        <w:rPr>
          <w:rFonts w:ascii="Times" w:hAnsi="Times"/>
          <w:sz w:val="24"/>
          <w:szCs w:val="24"/>
        </w:rPr>
        <w:t xml:space="preserve">oradné stanoviská nie sú záväzné </w:t>
      </w:r>
      <w:r w:rsidR="00E77CDA" w:rsidRPr="0028651E">
        <w:rPr>
          <w:rFonts w:ascii="Times" w:hAnsi="Times"/>
          <w:sz w:val="24"/>
          <w:szCs w:val="24"/>
        </w:rPr>
        <w:t>(článok 5 protokolu)</w:t>
      </w:r>
      <w:r w:rsidR="007D4F6F">
        <w:rPr>
          <w:rFonts w:ascii="Times" w:hAnsi="Times"/>
          <w:sz w:val="24"/>
          <w:szCs w:val="24"/>
        </w:rPr>
        <w:t xml:space="preserve"> a musia byť odôvodnené (článok 4 ods. 1 protokolu)</w:t>
      </w:r>
      <w:r w:rsidR="00E77CDA" w:rsidRPr="0028651E">
        <w:rPr>
          <w:rFonts w:ascii="Times" w:hAnsi="Times"/>
          <w:sz w:val="24"/>
          <w:szCs w:val="24"/>
        </w:rPr>
        <w:t xml:space="preserve">. </w:t>
      </w:r>
      <w:r w:rsidR="00E77CDA" w:rsidRPr="0028651E">
        <w:rPr>
          <w:rFonts w:ascii="Times" w:hAnsi="Times"/>
          <w:color w:val="000000"/>
          <w:spacing w:val="-2"/>
          <w:sz w:val="24"/>
          <w:szCs w:val="24"/>
        </w:rPr>
        <w:t>Vydávajú sa v kontexte súdneho dialógu medzi ESĽP a vnútroštátnymi súdmi a tribunálmi. V nadväznosti na to, je to práve dožadujúci súd, ktorý rozhodne, aké účinky prizná poradnému stanovisku v konaní pred ním.</w:t>
      </w:r>
    </w:p>
    <w:p w:rsidR="00E77CDA" w:rsidRPr="0028651E" w:rsidRDefault="00E77CDA" w:rsidP="0028651E">
      <w:pPr>
        <w:jc w:val="both"/>
        <w:rPr>
          <w:rFonts w:ascii="Times" w:hAnsi="Times"/>
          <w:sz w:val="24"/>
          <w:szCs w:val="24"/>
          <w:highlight w:val="yellow"/>
        </w:rPr>
      </w:pPr>
    </w:p>
    <w:p w:rsidR="00BE6928" w:rsidRDefault="00631B8E" w:rsidP="0028651E">
      <w:pPr>
        <w:pStyle w:val="Zkladntext"/>
        <w:widowControl/>
        <w:rPr>
          <w:rFonts w:ascii="Times" w:hAnsi="Times"/>
          <w:sz w:val="24"/>
          <w:szCs w:val="24"/>
        </w:rPr>
      </w:pPr>
      <w:r w:rsidRPr="0028651E">
        <w:rPr>
          <w:rFonts w:ascii="Times" w:hAnsi="Times"/>
          <w:sz w:val="24"/>
          <w:szCs w:val="24"/>
        </w:rPr>
        <w:t xml:space="preserve">Protokol neumožňuje zmluvným stranám urobiť </w:t>
      </w:r>
      <w:r w:rsidR="00F75B60" w:rsidRPr="0028651E">
        <w:rPr>
          <w:rFonts w:ascii="Times" w:hAnsi="Times"/>
          <w:sz w:val="24"/>
          <w:szCs w:val="24"/>
        </w:rPr>
        <w:t xml:space="preserve">k nemu </w:t>
      </w:r>
      <w:r w:rsidRPr="0028651E">
        <w:rPr>
          <w:rFonts w:ascii="Times" w:hAnsi="Times"/>
          <w:sz w:val="24"/>
          <w:szCs w:val="24"/>
        </w:rPr>
        <w:t xml:space="preserve">výhrady. </w:t>
      </w:r>
      <w:r w:rsidR="00A00D99" w:rsidRPr="0028651E">
        <w:rPr>
          <w:rFonts w:ascii="Times" w:hAnsi="Times"/>
          <w:sz w:val="24"/>
          <w:szCs w:val="24"/>
        </w:rPr>
        <w:t xml:space="preserve">Články 1 až 5 protokolu </w:t>
      </w:r>
      <w:r w:rsidR="00710210" w:rsidRPr="0028651E">
        <w:rPr>
          <w:rFonts w:ascii="Times" w:hAnsi="Times"/>
          <w:sz w:val="24"/>
          <w:szCs w:val="24"/>
        </w:rPr>
        <w:t>predstavujú d</w:t>
      </w:r>
      <w:r w:rsidR="00A00D99" w:rsidRPr="0028651E">
        <w:rPr>
          <w:rFonts w:ascii="Times" w:hAnsi="Times"/>
          <w:sz w:val="24"/>
          <w:szCs w:val="24"/>
        </w:rPr>
        <w:t xml:space="preserve">odatkové články k dohovoru. </w:t>
      </w:r>
      <w:r w:rsidR="006B0ED2" w:rsidRPr="0028651E">
        <w:rPr>
          <w:rFonts w:ascii="Times" w:hAnsi="Times"/>
          <w:sz w:val="24"/>
          <w:szCs w:val="24"/>
        </w:rPr>
        <w:t>Platia iba medzi tými vysokými zmluvnými stranami, ktoré k</w:t>
      </w:r>
      <w:r w:rsidR="00F75B60" w:rsidRPr="0028651E">
        <w:rPr>
          <w:rFonts w:ascii="Times" w:hAnsi="Times"/>
          <w:sz w:val="24"/>
          <w:szCs w:val="24"/>
        </w:rPr>
        <w:t xml:space="preserve"> protokolu </w:t>
      </w:r>
      <w:r w:rsidR="006B0ED2" w:rsidRPr="0028651E">
        <w:rPr>
          <w:rFonts w:ascii="Times" w:hAnsi="Times"/>
          <w:sz w:val="24"/>
          <w:szCs w:val="24"/>
        </w:rPr>
        <w:t>pristúpili</w:t>
      </w:r>
      <w:r w:rsidR="00F75B60" w:rsidRPr="0028651E">
        <w:rPr>
          <w:rFonts w:ascii="Times" w:hAnsi="Times"/>
          <w:sz w:val="24"/>
          <w:szCs w:val="24"/>
        </w:rPr>
        <w:t xml:space="preserve">. Všetky ustanovenia dohovoru ďalej ostávajú v platnosti, nemenia sa a primerane sa vzťahujú aj na tieto články protokolu. </w:t>
      </w:r>
    </w:p>
    <w:p w:rsidR="0028651E" w:rsidRPr="0028651E" w:rsidRDefault="0028651E" w:rsidP="0028651E">
      <w:pPr>
        <w:pStyle w:val="Zkladntext"/>
        <w:widowControl/>
        <w:rPr>
          <w:rFonts w:ascii="Times" w:hAnsi="Times"/>
          <w:sz w:val="24"/>
          <w:szCs w:val="24"/>
        </w:rPr>
      </w:pPr>
    </w:p>
    <w:p w:rsidR="0028651E" w:rsidRDefault="0028651E" w:rsidP="0028651E">
      <w:pPr>
        <w:pStyle w:val="Zkladntext"/>
        <w:widowControl/>
        <w:rPr>
          <w:rFonts w:ascii="Times" w:hAnsi="Times"/>
          <w:sz w:val="24"/>
          <w:szCs w:val="24"/>
        </w:rPr>
      </w:pPr>
      <w:r w:rsidRPr="0028651E">
        <w:rPr>
          <w:rFonts w:ascii="Times" w:hAnsi="Times"/>
          <w:sz w:val="24"/>
          <w:szCs w:val="24"/>
        </w:rPr>
        <w:t>Protokol doposiaľ podpísalo 22 zo 47 členských štátov Rady Európy, vrátane Slovenska. Protokol nadobudol platnosť dňa 1. augusta 2018 po tom, ako ho ratifikovalo 10 štátov Rady Európy. Protokol zatiaľ ratifikovalo 1</w:t>
      </w:r>
      <w:r w:rsidR="0001273A">
        <w:rPr>
          <w:rFonts w:ascii="Times" w:hAnsi="Times"/>
          <w:sz w:val="24"/>
          <w:szCs w:val="24"/>
        </w:rPr>
        <w:t>3</w:t>
      </w:r>
      <w:r w:rsidRPr="0028651E">
        <w:rPr>
          <w:rFonts w:ascii="Times" w:hAnsi="Times"/>
          <w:sz w:val="24"/>
          <w:szCs w:val="24"/>
        </w:rPr>
        <w:t xml:space="preserve"> členských štátov Rady Európy. </w:t>
      </w:r>
      <w:r w:rsidR="0001273A" w:rsidRPr="0001273A">
        <w:rPr>
          <w:rFonts w:ascii="Times" w:hAnsi="Times"/>
          <w:color w:val="000000"/>
          <w:spacing w:val="-2"/>
          <w:sz w:val="24"/>
          <w:szCs w:val="24"/>
        </w:rPr>
        <w:t>Prvé poradné stanovisko vydal ESĽP 10. apríla 2019 na základe žiadosti francúzskeho kasačného súdu</w:t>
      </w:r>
      <w:r w:rsidRPr="0028651E">
        <w:rPr>
          <w:rFonts w:ascii="Times" w:hAnsi="Times"/>
          <w:color w:val="000000"/>
          <w:spacing w:val="-2"/>
          <w:sz w:val="24"/>
          <w:szCs w:val="24"/>
        </w:rPr>
        <w:t>.</w:t>
      </w:r>
    </w:p>
    <w:p w:rsidR="0028651E" w:rsidRPr="0028651E" w:rsidRDefault="0028651E" w:rsidP="0028651E">
      <w:pPr>
        <w:pStyle w:val="Zkladntext"/>
        <w:widowControl/>
        <w:rPr>
          <w:rFonts w:ascii="Times" w:hAnsi="Times"/>
          <w:sz w:val="24"/>
          <w:szCs w:val="24"/>
        </w:rPr>
      </w:pPr>
    </w:p>
    <w:p w:rsidR="00551988" w:rsidRPr="0028651E" w:rsidRDefault="009E0C8F" w:rsidP="0028651E">
      <w:pPr>
        <w:pStyle w:val="Zkladntext"/>
        <w:rPr>
          <w:rFonts w:ascii="Times" w:hAnsi="Times"/>
          <w:sz w:val="24"/>
          <w:szCs w:val="24"/>
        </w:rPr>
      </w:pPr>
      <w:r w:rsidRPr="0028651E">
        <w:rPr>
          <w:rFonts w:ascii="Times" w:hAnsi="Times"/>
          <w:sz w:val="24"/>
          <w:szCs w:val="24"/>
        </w:rPr>
        <w:t>V zmysle článku 7 ods. 4 Ústavy</w:t>
      </w:r>
      <w:r w:rsidR="00980684" w:rsidRPr="0028651E">
        <w:rPr>
          <w:rFonts w:ascii="Times" w:hAnsi="Times"/>
          <w:sz w:val="24"/>
          <w:szCs w:val="24"/>
        </w:rPr>
        <w:t xml:space="preserve"> Slovenskej republiky je protokol</w:t>
      </w:r>
      <w:r w:rsidRPr="0028651E">
        <w:rPr>
          <w:rFonts w:ascii="Times" w:hAnsi="Times"/>
          <w:sz w:val="24"/>
          <w:szCs w:val="24"/>
        </w:rPr>
        <w:t xml:space="preserve"> </w:t>
      </w:r>
      <w:r w:rsidR="00631B8E" w:rsidRPr="0028651E">
        <w:rPr>
          <w:rFonts w:ascii="Times" w:hAnsi="Times"/>
          <w:sz w:val="24"/>
          <w:szCs w:val="24"/>
        </w:rPr>
        <w:t xml:space="preserve">prezidentskou </w:t>
      </w:r>
      <w:r w:rsidRPr="0028651E">
        <w:rPr>
          <w:rFonts w:ascii="Times" w:hAnsi="Times"/>
          <w:sz w:val="24"/>
          <w:szCs w:val="24"/>
        </w:rPr>
        <w:t>„medzinárodnou zmluvou o ľudských právach a základných slobodách</w:t>
      </w:r>
      <w:r w:rsidR="008C5F98" w:rsidRPr="0028651E">
        <w:rPr>
          <w:rFonts w:ascii="Times" w:hAnsi="Times"/>
          <w:sz w:val="24"/>
          <w:szCs w:val="24"/>
        </w:rPr>
        <w:t>“</w:t>
      </w:r>
      <w:r w:rsidRPr="0028651E">
        <w:rPr>
          <w:rFonts w:ascii="Times" w:hAnsi="Times"/>
          <w:sz w:val="24"/>
          <w:szCs w:val="24"/>
        </w:rPr>
        <w:t>. Pred ratifikáciou tohto medzinárodného zmluvného dokumentu sa preto v súlade s článkom 86 písm. d) Ústavy Slovenskej republiky vyžaduje súhlas Národnej rady Slovenskej republiky. V zmysle článku 7 ods. 5 Ústavy Slovenskej</w:t>
      </w:r>
      <w:r w:rsidR="00980684" w:rsidRPr="0028651E">
        <w:rPr>
          <w:rFonts w:ascii="Times" w:hAnsi="Times"/>
          <w:sz w:val="24"/>
          <w:szCs w:val="24"/>
        </w:rPr>
        <w:t xml:space="preserve"> republiky je protokol </w:t>
      </w:r>
      <w:r w:rsidRPr="0028651E">
        <w:rPr>
          <w:rFonts w:ascii="Times" w:hAnsi="Times"/>
          <w:sz w:val="24"/>
          <w:szCs w:val="24"/>
        </w:rPr>
        <w:t xml:space="preserve">zároveň medzinárodnou zmluvou, ktorá má </w:t>
      </w:r>
      <w:r w:rsidRPr="0028651E">
        <w:rPr>
          <w:rFonts w:ascii="Times" w:hAnsi="Times"/>
          <w:sz w:val="24"/>
          <w:szCs w:val="24"/>
        </w:rPr>
        <w:lastRenderedPageBreak/>
        <w:t>prednosť pred zákonmi.</w:t>
      </w:r>
    </w:p>
    <w:p w:rsidR="00454680" w:rsidRPr="0028651E" w:rsidRDefault="00454680" w:rsidP="0028651E">
      <w:pPr>
        <w:pStyle w:val="Zkladntext"/>
        <w:rPr>
          <w:rFonts w:ascii="Times" w:hAnsi="Times"/>
          <w:sz w:val="24"/>
          <w:szCs w:val="24"/>
        </w:rPr>
      </w:pPr>
    </w:p>
    <w:p w:rsidR="00BE3B7D" w:rsidRDefault="000B48D3" w:rsidP="0028651E">
      <w:pPr>
        <w:pStyle w:val="Zkladntext"/>
        <w:widowControl/>
        <w:rPr>
          <w:rFonts w:ascii="Times" w:hAnsi="Times"/>
          <w:sz w:val="24"/>
          <w:szCs w:val="24"/>
        </w:rPr>
      </w:pPr>
      <w:r w:rsidRPr="0028651E">
        <w:rPr>
          <w:rFonts w:ascii="Times" w:hAnsi="Times"/>
          <w:sz w:val="24"/>
          <w:szCs w:val="24"/>
        </w:rPr>
        <w:t>Predloženi</w:t>
      </w:r>
      <w:r w:rsidR="00980684" w:rsidRPr="0028651E">
        <w:rPr>
          <w:rFonts w:ascii="Times" w:hAnsi="Times"/>
          <w:sz w:val="24"/>
          <w:szCs w:val="24"/>
        </w:rPr>
        <w:t>e návrhu na ratifikáciu protokolu</w:t>
      </w:r>
      <w:r w:rsidRPr="0028651E">
        <w:rPr>
          <w:rFonts w:ascii="Times" w:hAnsi="Times"/>
          <w:sz w:val="24"/>
          <w:szCs w:val="24"/>
        </w:rPr>
        <w:t xml:space="preserve"> si vyžiadalo prijatie legislatívnych úprav z</w:t>
      </w:r>
      <w:r w:rsidR="00980684" w:rsidRPr="0028651E">
        <w:rPr>
          <w:rFonts w:ascii="Times" w:hAnsi="Times"/>
          <w:sz w:val="24"/>
          <w:szCs w:val="24"/>
        </w:rPr>
        <w:t>abezpečujúcich jeho aplikáciu hneď po nadobudnutí účinnosti pre Slovenskú republiku. Išlo o zmeny v procesných kódexoch pre civilné a trestné konanie, ako aj pre správne súdnictvo a konanie pred Ústavným súdom Slovenskej republiky.</w:t>
      </w:r>
      <w:r w:rsidR="0028651E" w:rsidRPr="0028651E">
        <w:rPr>
          <w:rFonts w:ascii="Times" w:hAnsi="Times"/>
          <w:sz w:val="24"/>
          <w:szCs w:val="24"/>
        </w:rPr>
        <w:t xml:space="preserve"> </w:t>
      </w:r>
    </w:p>
    <w:p w:rsidR="0028651E" w:rsidRPr="0028651E" w:rsidRDefault="0028651E" w:rsidP="0028651E">
      <w:pPr>
        <w:pStyle w:val="Zkladntext"/>
        <w:widowControl/>
        <w:rPr>
          <w:rFonts w:ascii="Times" w:hAnsi="Times"/>
          <w:sz w:val="24"/>
          <w:szCs w:val="24"/>
        </w:rPr>
      </w:pPr>
    </w:p>
    <w:p w:rsidR="00BE3B7D" w:rsidRDefault="00BE6928" w:rsidP="0028651E">
      <w:pPr>
        <w:pStyle w:val="Zkladntext"/>
        <w:widowControl/>
        <w:rPr>
          <w:rFonts w:ascii="Times" w:hAnsi="Times"/>
          <w:sz w:val="24"/>
          <w:szCs w:val="24"/>
        </w:rPr>
      </w:pPr>
      <w:r w:rsidRPr="0028651E">
        <w:rPr>
          <w:rFonts w:ascii="Times" w:hAnsi="Times"/>
          <w:sz w:val="24"/>
          <w:szCs w:val="24"/>
        </w:rPr>
        <w:t>Protokol</w:t>
      </w:r>
      <w:r w:rsidR="00F52DDA" w:rsidRPr="0028651E">
        <w:rPr>
          <w:rFonts w:ascii="Times" w:hAnsi="Times"/>
          <w:sz w:val="24"/>
          <w:szCs w:val="24"/>
        </w:rPr>
        <w:t xml:space="preserve"> j</w:t>
      </w:r>
      <w:r w:rsidR="000B48D3" w:rsidRPr="0028651E">
        <w:rPr>
          <w:rFonts w:ascii="Times" w:hAnsi="Times"/>
          <w:sz w:val="24"/>
          <w:szCs w:val="24"/>
        </w:rPr>
        <w:t>e v súlade s právnym poriadkom Slovenskej republiky, ústavným</w:t>
      </w:r>
      <w:r w:rsidR="00537936">
        <w:rPr>
          <w:rFonts w:ascii="Times" w:hAnsi="Times"/>
          <w:sz w:val="24"/>
          <w:szCs w:val="24"/>
        </w:rPr>
        <w:t>i</w:t>
      </w:r>
      <w:r w:rsidR="000B48D3" w:rsidRPr="0028651E">
        <w:rPr>
          <w:rFonts w:ascii="Times" w:hAnsi="Times"/>
          <w:sz w:val="24"/>
          <w:szCs w:val="24"/>
        </w:rPr>
        <w:t xml:space="preserve"> zásadami Slovenskej republiky, všeobecnými zásadami medzinárodného práva</w:t>
      </w:r>
      <w:r w:rsidR="00CF0065" w:rsidRPr="0028651E">
        <w:rPr>
          <w:rFonts w:ascii="Times" w:hAnsi="Times"/>
          <w:sz w:val="24"/>
          <w:szCs w:val="24"/>
        </w:rPr>
        <w:t>,</w:t>
      </w:r>
      <w:r w:rsidR="000B48D3" w:rsidRPr="0028651E">
        <w:rPr>
          <w:rFonts w:ascii="Times" w:hAnsi="Times"/>
          <w:sz w:val="24"/>
          <w:szCs w:val="24"/>
        </w:rPr>
        <w:t xml:space="preserve"> </w:t>
      </w:r>
      <w:r w:rsidR="00CF0065" w:rsidRPr="0028651E">
        <w:rPr>
          <w:rFonts w:ascii="Times" w:hAnsi="Times"/>
          <w:sz w:val="24"/>
          <w:szCs w:val="24"/>
        </w:rPr>
        <w:t>ako aj doterajšími medzinárodnými záväzkami Slovenskej republiky.</w:t>
      </w:r>
      <w:r w:rsidR="00BE3B7D" w:rsidRPr="0028651E">
        <w:rPr>
          <w:rFonts w:ascii="Times" w:hAnsi="Times"/>
          <w:sz w:val="24"/>
          <w:szCs w:val="24"/>
        </w:rPr>
        <w:t xml:space="preserve"> </w:t>
      </w:r>
    </w:p>
    <w:p w:rsidR="00D42E08" w:rsidRPr="0028651E" w:rsidRDefault="00D42E08" w:rsidP="0028651E">
      <w:pPr>
        <w:jc w:val="both"/>
        <w:rPr>
          <w:rFonts w:ascii="Times" w:hAnsi="Times"/>
          <w:sz w:val="24"/>
          <w:szCs w:val="24"/>
        </w:rPr>
      </w:pPr>
    </w:p>
    <w:p w:rsidR="00E8364B" w:rsidRPr="0028651E" w:rsidRDefault="00CF0065" w:rsidP="0053487A">
      <w:pPr>
        <w:jc w:val="both"/>
        <w:rPr>
          <w:rFonts w:ascii="Times" w:hAnsi="Times"/>
          <w:sz w:val="24"/>
          <w:szCs w:val="24"/>
        </w:rPr>
      </w:pPr>
      <w:r w:rsidRPr="0028651E">
        <w:rPr>
          <w:rFonts w:ascii="Times" w:hAnsi="Times"/>
          <w:sz w:val="24"/>
          <w:szCs w:val="24"/>
        </w:rPr>
        <w:t>Materiál má sociálne vplyvy,</w:t>
      </w:r>
      <w:r w:rsidR="00BE3B7D" w:rsidRPr="0028651E">
        <w:rPr>
          <w:rFonts w:ascii="Times" w:hAnsi="Times"/>
          <w:sz w:val="24"/>
          <w:szCs w:val="24"/>
        </w:rPr>
        <w:t xml:space="preserve"> nemá vplyvy na rozpočet verejnej správy, vplyvy na podnikateľské prostredie, životné prostredie</w:t>
      </w:r>
      <w:r w:rsidR="00D20A2E" w:rsidRPr="0028651E">
        <w:rPr>
          <w:rFonts w:ascii="Times" w:hAnsi="Times"/>
          <w:sz w:val="24"/>
          <w:szCs w:val="24"/>
        </w:rPr>
        <w:t>,</w:t>
      </w:r>
      <w:r w:rsidR="00BE3B7D" w:rsidRPr="0028651E">
        <w:rPr>
          <w:rFonts w:ascii="Times" w:hAnsi="Times"/>
          <w:sz w:val="24"/>
          <w:szCs w:val="24"/>
        </w:rPr>
        <w:t xml:space="preserve"> v</w:t>
      </w:r>
      <w:r w:rsidRPr="0028651E">
        <w:rPr>
          <w:rFonts w:ascii="Times" w:hAnsi="Times"/>
          <w:sz w:val="24"/>
          <w:szCs w:val="24"/>
        </w:rPr>
        <w:t>plyvy na informatizáciu spoločnosti</w:t>
      </w:r>
      <w:r w:rsidR="00D20A2E" w:rsidRPr="0028651E">
        <w:rPr>
          <w:rFonts w:ascii="Times" w:hAnsi="Times"/>
          <w:sz w:val="24"/>
          <w:szCs w:val="24"/>
        </w:rPr>
        <w:t xml:space="preserve"> a vplyvy na služby verejnej správy</w:t>
      </w:r>
      <w:r w:rsidR="00BE3B7D" w:rsidRPr="0028651E">
        <w:rPr>
          <w:rFonts w:ascii="Times" w:hAnsi="Times"/>
          <w:sz w:val="24"/>
          <w:szCs w:val="24"/>
        </w:rPr>
        <w:t>.</w:t>
      </w:r>
    </w:p>
    <w:p w:rsidR="0048794A" w:rsidRDefault="0048794A" w:rsidP="0053487A">
      <w:pPr>
        <w:jc w:val="both"/>
        <w:rPr>
          <w:rFonts w:ascii="Times" w:hAnsi="Times"/>
          <w:sz w:val="24"/>
          <w:szCs w:val="24"/>
        </w:rPr>
      </w:pPr>
    </w:p>
    <w:p w:rsidR="00AC0659" w:rsidRPr="00AC0659" w:rsidRDefault="00AC0659" w:rsidP="0053487A">
      <w:pPr>
        <w:jc w:val="both"/>
        <w:rPr>
          <w:rFonts w:ascii="Times" w:hAnsi="Times"/>
          <w:sz w:val="24"/>
          <w:szCs w:val="24"/>
        </w:rPr>
      </w:pPr>
      <w:r w:rsidRPr="00AC0659">
        <w:rPr>
          <w:rFonts w:ascii="Times" w:hAnsi="Times"/>
          <w:sz w:val="24"/>
          <w:szCs w:val="24"/>
        </w:rPr>
        <w:t>Materiál bol predmetom medzirezortného pripomi</w:t>
      </w:r>
      <w:r w:rsidR="0053487A">
        <w:rPr>
          <w:rFonts w:ascii="Times" w:hAnsi="Times"/>
          <w:sz w:val="24"/>
          <w:szCs w:val="24"/>
        </w:rPr>
        <w:t xml:space="preserve">enkového konania a na rokovanie </w:t>
      </w:r>
      <w:r w:rsidRPr="00AC0659">
        <w:rPr>
          <w:rFonts w:ascii="Times" w:hAnsi="Times"/>
          <w:sz w:val="24"/>
          <w:szCs w:val="24"/>
        </w:rPr>
        <w:t>Legislatívnej rady vlády Slovenskej republiky sa predkladá bez rozporov.</w:t>
      </w:r>
    </w:p>
    <w:p w:rsidR="00AC0659" w:rsidRPr="0028651E" w:rsidRDefault="00AC0659" w:rsidP="0028651E">
      <w:pPr>
        <w:jc w:val="both"/>
        <w:rPr>
          <w:rFonts w:ascii="Times" w:hAnsi="Times"/>
          <w:sz w:val="24"/>
          <w:szCs w:val="24"/>
        </w:rPr>
      </w:pPr>
    </w:p>
    <w:sectPr w:rsidR="00AC0659" w:rsidRPr="0028651E">
      <w:headerReference w:type="default" r:id="rId11"/>
      <w:footerReference w:type="even" r:id="rId12"/>
      <w:foot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D5" w:rsidRDefault="004F35D5">
      <w:r>
        <w:separator/>
      </w:r>
    </w:p>
  </w:endnote>
  <w:endnote w:type="continuationSeparator" w:id="0">
    <w:p w:rsidR="004F35D5" w:rsidRDefault="004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B9" w:rsidRDefault="00904FB9" w:rsidP="0025533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rsidR="00904FB9" w:rsidRDefault="00904FB9" w:rsidP="00904FB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B9" w:rsidRDefault="00904FB9" w:rsidP="0025533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777AD2">
      <w:rPr>
        <w:rStyle w:val="slostrany"/>
        <w:noProof/>
      </w:rPr>
      <w:t>1</w:t>
    </w:r>
    <w:r>
      <w:rPr>
        <w:rStyle w:val="slostrany"/>
      </w:rPr>
      <w:fldChar w:fldCharType="end"/>
    </w:r>
  </w:p>
  <w:p w:rsidR="00904FB9" w:rsidRDefault="00904FB9" w:rsidP="00904FB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D5" w:rsidRDefault="004F35D5">
      <w:r>
        <w:separator/>
      </w:r>
    </w:p>
  </w:footnote>
  <w:footnote w:type="continuationSeparator" w:id="0">
    <w:p w:rsidR="004F35D5" w:rsidRDefault="004F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C6" w:rsidRDefault="000B16C6">
    <w:pPr>
      <w:pStyle w:val="Hlavika"/>
    </w:pPr>
    <w:r>
      <w:rPr>
        <w:rStyle w:val="slostrany"/>
      </w:rPr>
      <w:tab/>
    </w:r>
    <w:r>
      <w:rPr>
        <w:rStyle w:val="slostrany"/>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9BF"/>
    <w:multiLevelType w:val="hybridMultilevel"/>
    <w:tmpl w:val="C0343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0B876D3"/>
    <w:multiLevelType w:val="hybridMultilevel"/>
    <w:tmpl w:val="4400155E"/>
    <w:lvl w:ilvl="0" w:tplc="0F0A41F2">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25F43F0D"/>
    <w:multiLevelType w:val="hybridMultilevel"/>
    <w:tmpl w:val="A7E0D5E0"/>
    <w:lvl w:ilvl="0" w:tplc="9FB0D4D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B"/>
    <w:rsid w:val="0001273A"/>
    <w:rsid w:val="00063B0C"/>
    <w:rsid w:val="00095911"/>
    <w:rsid w:val="000B16C6"/>
    <w:rsid w:val="000B48D3"/>
    <w:rsid w:val="000C384D"/>
    <w:rsid w:val="000E30F2"/>
    <w:rsid w:val="00101632"/>
    <w:rsid w:val="001022F1"/>
    <w:rsid w:val="00132672"/>
    <w:rsid w:val="00184AE0"/>
    <w:rsid w:val="001A05BC"/>
    <w:rsid w:val="001B4AF3"/>
    <w:rsid w:val="002137B4"/>
    <w:rsid w:val="00216B6B"/>
    <w:rsid w:val="002332ED"/>
    <w:rsid w:val="00255331"/>
    <w:rsid w:val="00260047"/>
    <w:rsid w:val="0028651E"/>
    <w:rsid w:val="002E7F34"/>
    <w:rsid w:val="00316C2C"/>
    <w:rsid w:val="003235B0"/>
    <w:rsid w:val="00333FFE"/>
    <w:rsid w:val="003F61C9"/>
    <w:rsid w:val="00454680"/>
    <w:rsid w:val="00473C75"/>
    <w:rsid w:val="00485167"/>
    <w:rsid w:val="0048794A"/>
    <w:rsid w:val="004E3FA1"/>
    <w:rsid w:val="004E4AA4"/>
    <w:rsid w:val="004F35D5"/>
    <w:rsid w:val="00506A53"/>
    <w:rsid w:val="0053487A"/>
    <w:rsid w:val="00537936"/>
    <w:rsid w:val="00551988"/>
    <w:rsid w:val="005A3241"/>
    <w:rsid w:val="00602F32"/>
    <w:rsid w:val="006215BF"/>
    <w:rsid w:val="00627169"/>
    <w:rsid w:val="00631B8E"/>
    <w:rsid w:val="006761F7"/>
    <w:rsid w:val="00676F76"/>
    <w:rsid w:val="006A1BAF"/>
    <w:rsid w:val="006B0ED2"/>
    <w:rsid w:val="00710210"/>
    <w:rsid w:val="00720F02"/>
    <w:rsid w:val="00745BD4"/>
    <w:rsid w:val="00777AD2"/>
    <w:rsid w:val="0078310C"/>
    <w:rsid w:val="00793F69"/>
    <w:rsid w:val="007D4F6F"/>
    <w:rsid w:val="00845F21"/>
    <w:rsid w:val="00847A15"/>
    <w:rsid w:val="00895F74"/>
    <w:rsid w:val="008C5F98"/>
    <w:rsid w:val="008D29F4"/>
    <w:rsid w:val="00904FB9"/>
    <w:rsid w:val="00927878"/>
    <w:rsid w:val="0095128E"/>
    <w:rsid w:val="00955F7A"/>
    <w:rsid w:val="00970832"/>
    <w:rsid w:val="00980684"/>
    <w:rsid w:val="009B711E"/>
    <w:rsid w:val="009B7170"/>
    <w:rsid w:val="009C01F3"/>
    <w:rsid w:val="009C133F"/>
    <w:rsid w:val="009E0C8F"/>
    <w:rsid w:val="009E3BAD"/>
    <w:rsid w:val="009F5CDA"/>
    <w:rsid w:val="00A00D99"/>
    <w:rsid w:val="00A4320B"/>
    <w:rsid w:val="00A46692"/>
    <w:rsid w:val="00A47EF9"/>
    <w:rsid w:val="00A70E03"/>
    <w:rsid w:val="00A87CFA"/>
    <w:rsid w:val="00AC0659"/>
    <w:rsid w:val="00AD6691"/>
    <w:rsid w:val="00AE295A"/>
    <w:rsid w:val="00B165FC"/>
    <w:rsid w:val="00B5083A"/>
    <w:rsid w:val="00BA2CD0"/>
    <w:rsid w:val="00BE11F0"/>
    <w:rsid w:val="00BE29C2"/>
    <w:rsid w:val="00BE3B7D"/>
    <w:rsid w:val="00BE4289"/>
    <w:rsid w:val="00BE45D2"/>
    <w:rsid w:val="00BE6928"/>
    <w:rsid w:val="00C1645D"/>
    <w:rsid w:val="00C67E3A"/>
    <w:rsid w:val="00CE0134"/>
    <w:rsid w:val="00CE772A"/>
    <w:rsid w:val="00CF0065"/>
    <w:rsid w:val="00CF3380"/>
    <w:rsid w:val="00D126AD"/>
    <w:rsid w:val="00D20A2E"/>
    <w:rsid w:val="00D42E08"/>
    <w:rsid w:val="00D865B9"/>
    <w:rsid w:val="00DD4CF6"/>
    <w:rsid w:val="00E40CF7"/>
    <w:rsid w:val="00E75BA7"/>
    <w:rsid w:val="00E77CDA"/>
    <w:rsid w:val="00E8364B"/>
    <w:rsid w:val="00E853A9"/>
    <w:rsid w:val="00E91484"/>
    <w:rsid w:val="00EA78D7"/>
    <w:rsid w:val="00EE3F23"/>
    <w:rsid w:val="00EF643A"/>
    <w:rsid w:val="00EF6DAF"/>
    <w:rsid w:val="00F52DDA"/>
    <w:rsid w:val="00F75B60"/>
    <w:rsid w:val="00FB2073"/>
    <w:rsid w:val="00FD064B"/>
    <w:rsid w:val="00FE27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8364B"/>
    <w:pPr>
      <w:widowControl w:val="0"/>
      <w:autoSpaceDE w:val="0"/>
      <w:autoSpaceDN w:val="0"/>
    </w:pPr>
    <w:rPr>
      <w:sz w:val="26"/>
      <w:szCs w:val="2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8364B"/>
    <w:pPr>
      <w:jc w:val="both"/>
    </w:pPr>
  </w:style>
  <w:style w:type="character" w:customStyle="1" w:styleId="ZkladntextChar">
    <w:name w:val="Základný text Char"/>
    <w:basedOn w:val="Predvolenpsmoodseku"/>
    <w:link w:val="Zkladntext"/>
    <w:uiPriority w:val="99"/>
    <w:semiHidden/>
    <w:rPr>
      <w:sz w:val="26"/>
      <w:szCs w:val="26"/>
    </w:rPr>
  </w:style>
  <w:style w:type="paragraph" w:styleId="Hlavika">
    <w:name w:val="header"/>
    <w:basedOn w:val="Normlny"/>
    <w:link w:val="HlavikaChar"/>
    <w:uiPriority w:val="99"/>
    <w:rsid w:val="00E8364B"/>
    <w:pPr>
      <w:tabs>
        <w:tab w:val="center" w:pos="4536"/>
        <w:tab w:val="right" w:pos="9072"/>
      </w:tabs>
    </w:pPr>
  </w:style>
  <w:style w:type="character" w:customStyle="1" w:styleId="HlavikaChar">
    <w:name w:val="Hlavička Char"/>
    <w:basedOn w:val="Predvolenpsmoodseku"/>
    <w:link w:val="Hlavika"/>
    <w:uiPriority w:val="99"/>
    <w:semiHidden/>
    <w:rPr>
      <w:sz w:val="26"/>
      <w:szCs w:val="26"/>
    </w:rPr>
  </w:style>
  <w:style w:type="paragraph" w:styleId="Pta">
    <w:name w:val="footer"/>
    <w:basedOn w:val="Normlny"/>
    <w:link w:val="PtaChar"/>
    <w:uiPriority w:val="99"/>
    <w:rsid w:val="00E8364B"/>
    <w:pPr>
      <w:tabs>
        <w:tab w:val="center" w:pos="4536"/>
        <w:tab w:val="right" w:pos="9072"/>
      </w:tabs>
    </w:pPr>
  </w:style>
  <w:style w:type="character" w:customStyle="1" w:styleId="PtaChar">
    <w:name w:val="Päta Char"/>
    <w:basedOn w:val="Predvolenpsmoodseku"/>
    <w:link w:val="Pta"/>
    <w:uiPriority w:val="99"/>
    <w:semiHidden/>
    <w:rPr>
      <w:sz w:val="26"/>
      <w:szCs w:val="26"/>
    </w:rPr>
  </w:style>
  <w:style w:type="character" w:styleId="slostrany">
    <w:name w:val="page number"/>
    <w:basedOn w:val="Predvolenpsmoodseku"/>
    <w:uiPriority w:val="99"/>
    <w:rsid w:val="00E8364B"/>
    <w:rPr>
      <w:rFonts w:cs="Times New Roman"/>
    </w:rPr>
  </w:style>
  <w:style w:type="paragraph" w:styleId="Nzov">
    <w:name w:val="Title"/>
    <w:basedOn w:val="Normlny"/>
    <w:link w:val="NzovChar"/>
    <w:uiPriority w:val="10"/>
    <w:qFormat/>
    <w:rsid w:val="00E8364B"/>
    <w:pPr>
      <w:widowControl/>
      <w:jc w:val="center"/>
    </w:pPr>
    <w:rPr>
      <w:b/>
      <w:bCs/>
      <w:sz w:val="24"/>
      <w:szCs w:val="24"/>
    </w:rPr>
  </w:style>
  <w:style w:type="character" w:customStyle="1" w:styleId="NzovChar">
    <w:name w:val="Názov Char"/>
    <w:basedOn w:val="Predvolenpsmoodseku"/>
    <w:link w:val="Nzov"/>
    <w:uiPriority w:val="10"/>
    <w:locked/>
    <w:rsid w:val="009E0C8F"/>
    <w:rPr>
      <w:b/>
      <w:sz w:val="24"/>
    </w:rPr>
  </w:style>
  <w:style w:type="character" w:customStyle="1" w:styleId="hps">
    <w:name w:val="hps"/>
    <w:basedOn w:val="Predvolenpsmoodseku"/>
    <w:rsid w:val="00EA78D7"/>
    <w:rPr>
      <w:rFonts w:cs="Times New Roman"/>
    </w:rPr>
  </w:style>
  <w:style w:type="paragraph" w:styleId="Textbubliny">
    <w:name w:val="Balloon Text"/>
    <w:basedOn w:val="Normlny"/>
    <w:link w:val="TextbublinyChar"/>
    <w:uiPriority w:val="99"/>
    <w:rsid w:val="002332ED"/>
    <w:rPr>
      <w:rFonts w:ascii="Tahoma" w:hAnsi="Tahoma"/>
      <w:sz w:val="16"/>
      <w:szCs w:val="16"/>
    </w:rPr>
  </w:style>
  <w:style w:type="character" w:customStyle="1" w:styleId="TextbublinyChar">
    <w:name w:val="Text bubliny Char"/>
    <w:basedOn w:val="Predvolenpsmoodseku"/>
    <w:link w:val="Textbubliny"/>
    <w:uiPriority w:val="99"/>
    <w:locked/>
    <w:rsid w:val="002332ED"/>
    <w:rPr>
      <w:rFonts w:ascii="Tahoma" w:hAnsi="Tahoma"/>
      <w:sz w:val="16"/>
    </w:rPr>
  </w:style>
  <w:style w:type="paragraph" w:styleId="Textpoznmkypodiarou">
    <w:name w:val="footnote text"/>
    <w:basedOn w:val="Normlny"/>
    <w:link w:val="TextpoznmkypodiarouChar"/>
    <w:uiPriority w:val="99"/>
    <w:unhideWhenUsed/>
    <w:rsid w:val="006B0ED2"/>
    <w:pPr>
      <w:widowControl/>
      <w:autoSpaceDE/>
      <w:autoSpaceDN/>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6B0ED2"/>
    <w:rPr>
      <w:rFonts w:ascii="Calibri" w:eastAsia="Times New Roman" w:hAnsi="Calibri"/>
      <w:lang w:val="x-none" w:eastAsia="en-US"/>
    </w:rPr>
  </w:style>
  <w:style w:type="character" w:styleId="Odkaznapoznmkupodiarou">
    <w:name w:val="footnote reference"/>
    <w:basedOn w:val="Predvolenpsmoodseku"/>
    <w:uiPriority w:val="99"/>
    <w:unhideWhenUsed/>
    <w:rsid w:val="006B0ED2"/>
    <w:rPr>
      <w:vertAlign w:val="superscript"/>
    </w:rPr>
  </w:style>
  <w:style w:type="character" w:styleId="Hypertextovprepojenie">
    <w:name w:val="Hyperlink"/>
    <w:basedOn w:val="Predvolenpsmoodseku"/>
    <w:uiPriority w:val="99"/>
    <w:unhideWhenUsed/>
    <w:rsid w:val="006B0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8364B"/>
    <w:pPr>
      <w:widowControl w:val="0"/>
      <w:autoSpaceDE w:val="0"/>
      <w:autoSpaceDN w:val="0"/>
    </w:pPr>
    <w:rPr>
      <w:sz w:val="26"/>
      <w:szCs w:val="2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8364B"/>
    <w:pPr>
      <w:jc w:val="both"/>
    </w:pPr>
  </w:style>
  <w:style w:type="character" w:customStyle="1" w:styleId="ZkladntextChar">
    <w:name w:val="Základný text Char"/>
    <w:basedOn w:val="Predvolenpsmoodseku"/>
    <w:link w:val="Zkladntext"/>
    <w:uiPriority w:val="99"/>
    <w:semiHidden/>
    <w:rPr>
      <w:sz w:val="26"/>
      <w:szCs w:val="26"/>
    </w:rPr>
  </w:style>
  <w:style w:type="paragraph" w:styleId="Hlavika">
    <w:name w:val="header"/>
    <w:basedOn w:val="Normlny"/>
    <w:link w:val="HlavikaChar"/>
    <w:uiPriority w:val="99"/>
    <w:rsid w:val="00E8364B"/>
    <w:pPr>
      <w:tabs>
        <w:tab w:val="center" w:pos="4536"/>
        <w:tab w:val="right" w:pos="9072"/>
      </w:tabs>
    </w:pPr>
  </w:style>
  <w:style w:type="character" w:customStyle="1" w:styleId="HlavikaChar">
    <w:name w:val="Hlavička Char"/>
    <w:basedOn w:val="Predvolenpsmoodseku"/>
    <w:link w:val="Hlavika"/>
    <w:uiPriority w:val="99"/>
    <w:semiHidden/>
    <w:rPr>
      <w:sz w:val="26"/>
      <w:szCs w:val="26"/>
    </w:rPr>
  </w:style>
  <w:style w:type="paragraph" w:styleId="Pta">
    <w:name w:val="footer"/>
    <w:basedOn w:val="Normlny"/>
    <w:link w:val="PtaChar"/>
    <w:uiPriority w:val="99"/>
    <w:rsid w:val="00E8364B"/>
    <w:pPr>
      <w:tabs>
        <w:tab w:val="center" w:pos="4536"/>
        <w:tab w:val="right" w:pos="9072"/>
      </w:tabs>
    </w:pPr>
  </w:style>
  <w:style w:type="character" w:customStyle="1" w:styleId="PtaChar">
    <w:name w:val="Päta Char"/>
    <w:basedOn w:val="Predvolenpsmoodseku"/>
    <w:link w:val="Pta"/>
    <w:uiPriority w:val="99"/>
    <w:semiHidden/>
    <w:rPr>
      <w:sz w:val="26"/>
      <w:szCs w:val="26"/>
    </w:rPr>
  </w:style>
  <w:style w:type="character" w:styleId="slostrany">
    <w:name w:val="page number"/>
    <w:basedOn w:val="Predvolenpsmoodseku"/>
    <w:uiPriority w:val="99"/>
    <w:rsid w:val="00E8364B"/>
    <w:rPr>
      <w:rFonts w:cs="Times New Roman"/>
    </w:rPr>
  </w:style>
  <w:style w:type="paragraph" w:styleId="Nzov">
    <w:name w:val="Title"/>
    <w:basedOn w:val="Normlny"/>
    <w:link w:val="NzovChar"/>
    <w:uiPriority w:val="10"/>
    <w:qFormat/>
    <w:rsid w:val="00E8364B"/>
    <w:pPr>
      <w:widowControl/>
      <w:jc w:val="center"/>
    </w:pPr>
    <w:rPr>
      <w:b/>
      <w:bCs/>
      <w:sz w:val="24"/>
      <w:szCs w:val="24"/>
    </w:rPr>
  </w:style>
  <w:style w:type="character" w:customStyle="1" w:styleId="NzovChar">
    <w:name w:val="Názov Char"/>
    <w:basedOn w:val="Predvolenpsmoodseku"/>
    <w:link w:val="Nzov"/>
    <w:uiPriority w:val="10"/>
    <w:locked/>
    <w:rsid w:val="009E0C8F"/>
    <w:rPr>
      <w:b/>
      <w:sz w:val="24"/>
    </w:rPr>
  </w:style>
  <w:style w:type="character" w:customStyle="1" w:styleId="hps">
    <w:name w:val="hps"/>
    <w:basedOn w:val="Predvolenpsmoodseku"/>
    <w:rsid w:val="00EA78D7"/>
    <w:rPr>
      <w:rFonts w:cs="Times New Roman"/>
    </w:rPr>
  </w:style>
  <w:style w:type="paragraph" w:styleId="Textbubliny">
    <w:name w:val="Balloon Text"/>
    <w:basedOn w:val="Normlny"/>
    <w:link w:val="TextbublinyChar"/>
    <w:uiPriority w:val="99"/>
    <w:rsid w:val="002332ED"/>
    <w:rPr>
      <w:rFonts w:ascii="Tahoma" w:hAnsi="Tahoma"/>
      <w:sz w:val="16"/>
      <w:szCs w:val="16"/>
    </w:rPr>
  </w:style>
  <w:style w:type="character" w:customStyle="1" w:styleId="TextbublinyChar">
    <w:name w:val="Text bubliny Char"/>
    <w:basedOn w:val="Predvolenpsmoodseku"/>
    <w:link w:val="Textbubliny"/>
    <w:uiPriority w:val="99"/>
    <w:locked/>
    <w:rsid w:val="002332ED"/>
    <w:rPr>
      <w:rFonts w:ascii="Tahoma" w:hAnsi="Tahoma"/>
      <w:sz w:val="16"/>
    </w:rPr>
  </w:style>
  <w:style w:type="paragraph" w:styleId="Textpoznmkypodiarou">
    <w:name w:val="footnote text"/>
    <w:basedOn w:val="Normlny"/>
    <w:link w:val="TextpoznmkypodiarouChar"/>
    <w:uiPriority w:val="99"/>
    <w:unhideWhenUsed/>
    <w:rsid w:val="006B0ED2"/>
    <w:pPr>
      <w:widowControl/>
      <w:autoSpaceDE/>
      <w:autoSpaceDN/>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6B0ED2"/>
    <w:rPr>
      <w:rFonts w:ascii="Calibri" w:eastAsia="Times New Roman" w:hAnsi="Calibri"/>
      <w:lang w:val="x-none" w:eastAsia="en-US"/>
    </w:rPr>
  </w:style>
  <w:style w:type="character" w:styleId="Odkaznapoznmkupodiarou">
    <w:name w:val="footnote reference"/>
    <w:basedOn w:val="Predvolenpsmoodseku"/>
    <w:uiPriority w:val="99"/>
    <w:unhideWhenUsed/>
    <w:rsid w:val="006B0ED2"/>
    <w:rPr>
      <w:vertAlign w:val="superscript"/>
    </w:rPr>
  </w:style>
  <w:style w:type="character" w:styleId="Hypertextovprepojenie">
    <w:name w:val="Hyperlink"/>
    <w:basedOn w:val="Predvolenpsmoodseku"/>
    <w:uiPriority w:val="99"/>
    <w:unhideWhenUsed/>
    <w:rsid w:val="006B0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704">
      <w:marLeft w:val="0"/>
      <w:marRight w:val="0"/>
      <w:marTop w:val="0"/>
      <w:marBottom w:val="0"/>
      <w:divBdr>
        <w:top w:val="none" w:sz="0" w:space="0" w:color="auto"/>
        <w:left w:val="none" w:sz="0" w:space="0" w:color="auto"/>
        <w:bottom w:val="none" w:sz="0" w:space="0" w:color="auto"/>
        <w:right w:val="none" w:sz="0" w:space="0" w:color="auto"/>
      </w:divBdr>
    </w:div>
    <w:div w:id="456144705">
      <w:marLeft w:val="0"/>
      <w:marRight w:val="0"/>
      <w:marTop w:val="0"/>
      <w:marBottom w:val="0"/>
      <w:divBdr>
        <w:top w:val="none" w:sz="0" w:space="0" w:color="auto"/>
        <w:left w:val="none" w:sz="0" w:space="0" w:color="auto"/>
        <w:bottom w:val="none" w:sz="0" w:space="0" w:color="auto"/>
        <w:right w:val="none" w:sz="0" w:space="0" w:color="auto"/>
      </w:divBdr>
    </w:div>
    <w:div w:id="456144706">
      <w:marLeft w:val="0"/>
      <w:marRight w:val="0"/>
      <w:marTop w:val="0"/>
      <w:marBottom w:val="0"/>
      <w:divBdr>
        <w:top w:val="none" w:sz="0" w:space="0" w:color="auto"/>
        <w:left w:val="none" w:sz="0" w:space="0" w:color="auto"/>
        <w:bottom w:val="none" w:sz="0" w:space="0" w:color="auto"/>
        <w:right w:val="none" w:sz="0" w:space="0" w:color="auto"/>
      </w:divBdr>
    </w:div>
    <w:div w:id="456144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956376-53AD-4ECD-8D8E-7CD52B3E87F6}">
  <ds:schemaRefs>
    <ds:schemaRef ds:uri="http://schemas.microsoft.com/sharepoint/v3/contenttype/forms"/>
  </ds:schemaRefs>
</ds:datastoreItem>
</file>

<file path=customXml/itemProps2.xml><?xml version="1.0" encoding="utf-8"?>
<ds:datastoreItem xmlns:ds="http://schemas.openxmlformats.org/officeDocument/2006/customXml" ds:itemID="{12CAA206-FD99-4102-A66F-47AD117A4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DFB0A-55A3-494D-9035-60A88B9E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MZV SR</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cp:lastModifiedBy>URBANOVA Jana</cp:lastModifiedBy>
  <cp:revision>2</cp:revision>
  <cp:lastPrinted>2017-02-28T11:18:00Z</cp:lastPrinted>
  <dcterms:created xsi:type="dcterms:W3CDTF">2019-07-16T11:33:00Z</dcterms:created>
  <dcterms:modified xsi:type="dcterms:W3CDTF">2019-07-16T11:33:00Z</dcterms:modified>
</cp:coreProperties>
</file>